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Default Extension="jpeg" ContentType="image/jpeg"/>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10"/>
        <w:rPr>
          <w:sz w:val="25"/>
        </w:rPr>
      </w:pPr>
    </w:p>
    <w:p>
      <w:pPr>
        <w:spacing w:before="63"/>
        <w:ind w:left="2775" w:right="0" w:hanging="20"/>
        <w:jc w:val="left"/>
        <w:rPr>
          <w:sz w:val="28"/>
        </w:rPr>
      </w:pPr>
      <w:r>
        <w:rPr/>
        <w:drawing>
          <wp:anchor distT="0" distB="0" distL="0" distR="0" allowOverlap="1" layoutInCell="1" locked="0" behindDoc="0" simplePos="0" relativeHeight="0">
            <wp:simplePos x="0" y="0"/>
            <wp:positionH relativeFrom="page">
              <wp:posOffset>304800</wp:posOffset>
            </wp:positionH>
            <wp:positionV relativeFrom="paragraph">
              <wp:posOffset>-117343</wp:posOffset>
            </wp:positionV>
            <wp:extent cx="1563624" cy="1383792"/>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563624" cy="1383792"/>
                    </a:xfrm>
                    <a:prstGeom prst="rect">
                      <a:avLst/>
                    </a:prstGeom>
                  </pic:spPr>
                </pic:pic>
              </a:graphicData>
            </a:graphic>
          </wp:anchor>
        </w:drawing>
      </w:r>
      <w:r>
        <w:rPr>
          <w:sz w:val="28"/>
        </w:rPr>
        <w:t>UNIVERSIDAD AUTÓNOMA DEL ESTADO DE MÉXICO</w:t>
      </w:r>
    </w:p>
    <w:p>
      <w:pPr>
        <w:pStyle w:val="BodyText"/>
        <w:spacing w:before="1"/>
        <w:rPr>
          <w:sz w:val="22"/>
        </w:rPr>
      </w:pPr>
    </w:p>
    <w:p>
      <w:pPr>
        <w:spacing w:line="271" w:lineRule="auto" w:before="0"/>
        <w:ind w:left="2971" w:right="0" w:hanging="197"/>
        <w:jc w:val="left"/>
        <w:rPr>
          <w:sz w:val="28"/>
        </w:rPr>
      </w:pPr>
      <w:r>
        <w:rPr>
          <w:sz w:val="28"/>
        </w:rPr>
        <w:t>PROGRAMA MAESTRÍA Y DOCTORADO EN CIENCIAS AGROPECUARIAS Y RECURSOS NATURALES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8"/>
        </w:rPr>
      </w:pPr>
    </w:p>
    <w:p>
      <w:pPr>
        <w:spacing w:line="278" w:lineRule="auto" w:before="66"/>
        <w:ind w:left="2501" w:right="0" w:firstLine="912"/>
        <w:jc w:val="left"/>
        <w:rPr>
          <w:sz w:val="26"/>
        </w:rPr>
      </w:pPr>
      <w:r>
        <w:rPr>
          <w:sz w:val="26"/>
        </w:rPr>
        <w:t>DETERMINACIÓN DE LA EXPRESIÓN DE RESPUESTA INMUNE INESPECÍFICA MEDIADA POR IFN TIPO I (IFN-I(α)) EN</w:t>
      </w:r>
    </w:p>
    <w:p>
      <w:pPr>
        <w:spacing w:line="278" w:lineRule="auto" w:before="0"/>
        <w:ind w:left="2739" w:right="347" w:firstLine="0"/>
        <w:jc w:val="center"/>
        <w:rPr>
          <w:sz w:val="26"/>
        </w:rPr>
      </w:pPr>
      <w:r>
        <w:rPr>
          <w:sz w:val="26"/>
        </w:rPr>
        <w:t>SALMÓNIDOS, ANTE LA INFECCIÓN POR EL VIRUS DE LA NECROSIS PANCREÁTICA INFECCIOSA (IPNV).</w:t>
      </w:r>
    </w:p>
    <w:p>
      <w:pPr>
        <w:pStyle w:val="BodyText"/>
        <w:rPr>
          <w:sz w:val="26"/>
        </w:rPr>
      </w:pPr>
    </w:p>
    <w:p>
      <w:pPr>
        <w:pStyle w:val="BodyText"/>
        <w:spacing w:before="10"/>
        <w:rPr>
          <w:sz w:val="31"/>
        </w:rPr>
      </w:pPr>
    </w:p>
    <w:p>
      <w:pPr>
        <w:spacing w:before="0"/>
        <w:ind w:left="2739" w:right="344" w:firstLine="0"/>
        <w:jc w:val="center"/>
        <w:rPr>
          <w:b/>
          <w:sz w:val="72"/>
        </w:rPr>
      </w:pPr>
      <w:r>
        <w:rPr>
          <w:b/>
          <w:sz w:val="72"/>
        </w:rPr>
        <w:t>TESIS</w:t>
      </w:r>
    </w:p>
    <w:p>
      <w:pPr>
        <w:pStyle w:val="BodyText"/>
        <w:spacing w:before="1"/>
        <w:rPr>
          <w:b/>
          <w:sz w:val="75"/>
        </w:rPr>
      </w:pPr>
    </w:p>
    <w:p>
      <w:pPr>
        <w:spacing w:line="278" w:lineRule="auto" w:before="1"/>
        <w:ind w:left="3183" w:right="0" w:hanging="490"/>
        <w:jc w:val="left"/>
        <w:rPr>
          <w:sz w:val="26"/>
        </w:rPr>
      </w:pPr>
      <w:r>
        <w:rPr>
          <w:sz w:val="26"/>
        </w:rPr>
        <w:t>QUE PARA OBTENER EL GRADO DE DOCTOR EN CIENCIAS AGROPECUARIAS Y RECURSOS NATURALES</w:t>
      </w:r>
    </w:p>
    <w:p>
      <w:pPr>
        <w:pStyle w:val="BodyText"/>
        <w:rPr>
          <w:sz w:val="26"/>
        </w:rPr>
      </w:pPr>
    </w:p>
    <w:p>
      <w:pPr>
        <w:pStyle w:val="BodyText"/>
        <w:rPr>
          <w:sz w:val="26"/>
        </w:rPr>
      </w:pPr>
    </w:p>
    <w:p>
      <w:pPr>
        <w:pStyle w:val="BodyText"/>
        <w:rPr>
          <w:sz w:val="26"/>
        </w:rPr>
      </w:pPr>
    </w:p>
    <w:p>
      <w:pPr>
        <w:pStyle w:val="BodyText"/>
        <w:spacing w:before="10"/>
        <w:rPr>
          <w:sz w:val="33"/>
        </w:rPr>
      </w:pPr>
    </w:p>
    <w:p>
      <w:pPr>
        <w:spacing w:before="1"/>
        <w:ind w:left="2738" w:right="347" w:firstLine="0"/>
        <w:jc w:val="center"/>
        <w:rPr>
          <w:sz w:val="26"/>
        </w:rPr>
      </w:pPr>
      <w:r>
        <w:rPr>
          <w:sz w:val="26"/>
        </w:rPr>
        <w:t>PRESENTA:</w:t>
      </w:r>
    </w:p>
    <w:p>
      <w:pPr>
        <w:pStyle w:val="BodyText"/>
        <w:spacing w:before="4"/>
        <w:rPr>
          <w:sz w:val="21"/>
        </w:rPr>
      </w:pPr>
    </w:p>
    <w:p>
      <w:pPr>
        <w:spacing w:before="0"/>
        <w:ind w:left="2739" w:right="345" w:firstLine="0"/>
        <w:jc w:val="center"/>
        <w:rPr>
          <w:b/>
          <w:sz w:val="32"/>
        </w:rPr>
      </w:pPr>
      <w:r>
        <w:rPr>
          <w:b/>
          <w:sz w:val="32"/>
        </w:rPr>
        <w:t>DONALD ARGUEDAS CORTES</w:t>
      </w:r>
    </w:p>
    <w:p>
      <w:pPr>
        <w:pStyle w:val="BodyText"/>
        <w:rPr>
          <w:b/>
          <w:sz w:val="32"/>
        </w:rPr>
      </w:pPr>
    </w:p>
    <w:p>
      <w:pPr>
        <w:pStyle w:val="BodyText"/>
        <w:rPr>
          <w:b/>
          <w:sz w:val="32"/>
        </w:rPr>
      </w:pPr>
    </w:p>
    <w:p>
      <w:pPr>
        <w:pStyle w:val="BodyText"/>
        <w:rPr>
          <w:b/>
          <w:sz w:val="32"/>
        </w:rPr>
      </w:pPr>
    </w:p>
    <w:p>
      <w:pPr>
        <w:spacing w:before="240"/>
        <w:ind w:left="2739" w:right="341" w:firstLine="0"/>
        <w:jc w:val="center"/>
        <w:rPr>
          <w:sz w:val="26"/>
        </w:rPr>
      </w:pPr>
      <w:r>
        <w:rPr>
          <w:sz w:val="26"/>
        </w:rPr>
        <w:t>El Cerrillo Piedras Blancas, Toluca, Estado de México, julio 2015.</w:t>
      </w:r>
    </w:p>
    <w:p>
      <w:pPr>
        <w:spacing w:after="0"/>
        <w:jc w:val="center"/>
        <w:rPr>
          <w:sz w:val="26"/>
        </w:rPr>
        <w:sectPr>
          <w:type w:val="continuous"/>
          <w:pgSz w:w="12240" w:h="15840"/>
          <w:pgMar w:top="1500" w:bottom="280" w:left="380" w:right="1720"/>
        </w:sectPr>
      </w:pPr>
    </w:p>
    <w:p>
      <w:pPr>
        <w:pStyle w:val="BodyText"/>
        <w:spacing w:before="3"/>
        <w:rPr>
          <w:sz w:val="26"/>
        </w:rPr>
      </w:pPr>
    </w:p>
    <w:p>
      <w:pPr>
        <w:spacing w:before="63"/>
        <w:ind w:left="2592" w:right="0" w:firstLine="14"/>
        <w:jc w:val="left"/>
        <w:rPr>
          <w:b/>
          <w:sz w:val="28"/>
        </w:rPr>
      </w:pPr>
      <w:r>
        <w:rPr/>
        <w:drawing>
          <wp:anchor distT="0" distB="0" distL="0" distR="0" allowOverlap="1" layoutInCell="1" locked="0" behindDoc="0" simplePos="0" relativeHeight="1048">
            <wp:simplePos x="0" y="0"/>
            <wp:positionH relativeFrom="page">
              <wp:posOffset>304800</wp:posOffset>
            </wp:positionH>
            <wp:positionV relativeFrom="paragraph">
              <wp:posOffset>-120392</wp:posOffset>
            </wp:positionV>
            <wp:extent cx="1563624" cy="1383792"/>
            <wp:effectExtent l="0" t="0" r="0" b="0"/>
            <wp:wrapNone/>
            <wp:docPr id="3" name="image1.png" descr=""/>
            <wp:cNvGraphicFramePr>
              <a:graphicFrameLocks noChangeAspect="1"/>
            </wp:cNvGraphicFramePr>
            <a:graphic>
              <a:graphicData uri="http://schemas.openxmlformats.org/drawingml/2006/picture">
                <pic:pic>
                  <pic:nvPicPr>
                    <pic:cNvPr id="4" name="image1.png"/>
                    <pic:cNvPicPr/>
                  </pic:nvPicPr>
                  <pic:blipFill>
                    <a:blip r:embed="rId5" cstate="print"/>
                    <a:stretch>
                      <a:fillRect/>
                    </a:stretch>
                  </pic:blipFill>
                  <pic:spPr>
                    <a:xfrm>
                      <a:off x="0" y="0"/>
                      <a:ext cx="1563624" cy="1383792"/>
                    </a:xfrm>
                    <a:prstGeom prst="rect">
                      <a:avLst/>
                    </a:prstGeom>
                  </pic:spPr>
                </pic:pic>
              </a:graphicData>
            </a:graphic>
          </wp:anchor>
        </w:drawing>
      </w:r>
      <w:r>
        <w:rPr>
          <w:b/>
          <w:sz w:val="28"/>
        </w:rPr>
        <w:t>UNIVERSIDAD AUTÓNOMA DEL ESTADO DE MÉXICO</w:t>
      </w:r>
    </w:p>
    <w:p>
      <w:pPr>
        <w:pStyle w:val="BodyText"/>
        <w:spacing w:before="1"/>
        <w:rPr>
          <w:b/>
          <w:sz w:val="22"/>
        </w:rPr>
      </w:pPr>
    </w:p>
    <w:p>
      <w:pPr>
        <w:spacing w:line="271" w:lineRule="auto" w:before="0"/>
        <w:ind w:left="2842" w:right="0" w:hanging="250"/>
        <w:jc w:val="left"/>
        <w:rPr>
          <w:b/>
          <w:sz w:val="28"/>
        </w:rPr>
      </w:pPr>
      <w:r>
        <w:rPr>
          <w:b/>
          <w:sz w:val="28"/>
        </w:rPr>
        <w:t>PROGRAMA MAESTRÍA Y DOCTORADO EN CIENCIAS AGROPECUARIAS Y RECURSOS NATURALES</w:t>
      </w:r>
    </w:p>
    <w:p>
      <w:pPr>
        <w:pStyle w:val="BodyText"/>
        <w:rPr>
          <w:b/>
          <w:sz w:val="20"/>
        </w:rPr>
      </w:pPr>
    </w:p>
    <w:p>
      <w:pPr>
        <w:pStyle w:val="BodyText"/>
        <w:rPr>
          <w:b/>
          <w:sz w:val="20"/>
        </w:rPr>
      </w:pPr>
    </w:p>
    <w:p>
      <w:pPr>
        <w:pStyle w:val="BodyText"/>
        <w:spacing w:before="8"/>
        <w:rPr>
          <w:b/>
          <w:sz w:val="20"/>
        </w:rPr>
      </w:pPr>
    </w:p>
    <w:p>
      <w:pPr>
        <w:spacing w:line="273" w:lineRule="auto" w:before="0"/>
        <w:ind w:left="2501" w:right="0" w:firstLine="912"/>
        <w:jc w:val="left"/>
        <w:rPr>
          <w:sz w:val="26"/>
        </w:rPr>
      </w:pPr>
      <w:r>
        <w:rPr>
          <w:sz w:val="26"/>
        </w:rPr>
        <w:t>DETERMINACIÓN DE LA EXPRESIÓN DE RESPUESTA INMUNE INESPECÍFICA MEDIADA POR IFN TIPO I (IFN-I(α)) EN</w:t>
      </w:r>
    </w:p>
    <w:p>
      <w:pPr>
        <w:spacing w:line="278" w:lineRule="auto" w:before="6"/>
        <w:ind w:left="2739" w:right="649" w:firstLine="0"/>
        <w:jc w:val="center"/>
        <w:rPr>
          <w:sz w:val="26"/>
        </w:rPr>
      </w:pPr>
      <w:r>
        <w:rPr>
          <w:sz w:val="26"/>
        </w:rPr>
        <w:t>SALMÓNIDOS, ANTE LA INFECCIÓN POR EL VIRUS DE LA NECROSIS PANCREÁTICA INFECCIOSA (IPNV).</w:t>
      </w:r>
    </w:p>
    <w:p>
      <w:pPr>
        <w:pStyle w:val="BodyText"/>
        <w:rPr>
          <w:sz w:val="26"/>
        </w:rPr>
      </w:pPr>
    </w:p>
    <w:p>
      <w:pPr>
        <w:pStyle w:val="BodyText"/>
        <w:spacing w:before="9"/>
      </w:pPr>
    </w:p>
    <w:p>
      <w:pPr>
        <w:spacing w:before="0"/>
        <w:ind w:left="2739" w:right="644" w:firstLine="0"/>
        <w:jc w:val="center"/>
        <w:rPr>
          <w:b/>
          <w:sz w:val="72"/>
        </w:rPr>
      </w:pPr>
      <w:r>
        <w:rPr>
          <w:b/>
          <w:sz w:val="72"/>
        </w:rPr>
        <w:t>TESIS</w:t>
      </w:r>
    </w:p>
    <w:p>
      <w:pPr>
        <w:pStyle w:val="BodyText"/>
        <w:spacing w:before="4"/>
        <w:rPr>
          <w:b/>
          <w:sz w:val="61"/>
        </w:rPr>
      </w:pPr>
    </w:p>
    <w:p>
      <w:pPr>
        <w:spacing w:line="278" w:lineRule="auto" w:before="0"/>
        <w:ind w:left="3183" w:right="0" w:hanging="490"/>
        <w:jc w:val="left"/>
        <w:rPr>
          <w:sz w:val="26"/>
        </w:rPr>
      </w:pPr>
      <w:r>
        <w:rPr>
          <w:sz w:val="26"/>
        </w:rPr>
        <w:t>QUE PARA OBTENER EL GRADO DE DOCTOR EN CIENCIAS AGROPECUARIAS Y RECURSOS NATURALES</w:t>
      </w:r>
    </w:p>
    <w:p>
      <w:pPr>
        <w:pStyle w:val="BodyText"/>
        <w:rPr>
          <w:sz w:val="26"/>
        </w:rPr>
      </w:pPr>
    </w:p>
    <w:p>
      <w:pPr>
        <w:pStyle w:val="BodyText"/>
        <w:spacing w:before="6"/>
      </w:pPr>
    </w:p>
    <w:p>
      <w:pPr>
        <w:spacing w:before="0"/>
        <w:ind w:left="2739" w:right="648" w:firstLine="0"/>
        <w:jc w:val="center"/>
        <w:rPr>
          <w:sz w:val="26"/>
        </w:rPr>
      </w:pPr>
      <w:r>
        <w:rPr>
          <w:sz w:val="26"/>
        </w:rPr>
        <w:t>PRESENTA:</w:t>
      </w:r>
    </w:p>
    <w:p>
      <w:pPr>
        <w:spacing w:before="173"/>
        <w:ind w:left="3937" w:right="0" w:firstLine="0"/>
        <w:jc w:val="left"/>
        <w:rPr>
          <w:b/>
          <w:sz w:val="32"/>
        </w:rPr>
      </w:pPr>
      <w:r>
        <w:rPr>
          <w:b/>
          <w:sz w:val="32"/>
        </w:rPr>
        <w:t>DONALD ARGUEDAS CORTES</w:t>
      </w:r>
    </w:p>
    <w:p>
      <w:pPr>
        <w:pStyle w:val="BodyText"/>
        <w:rPr>
          <w:b/>
          <w:sz w:val="32"/>
        </w:rPr>
      </w:pPr>
    </w:p>
    <w:p>
      <w:pPr>
        <w:pStyle w:val="BodyText"/>
        <w:spacing w:before="10"/>
        <w:rPr>
          <w:b/>
          <w:sz w:val="29"/>
        </w:rPr>
      </w:pPr>
    </w:p>
    <w:p>
      <w:pPr>
        <w:spacing w:before="0"/>
        <w:ind w:left="2033" w:right="649" w:firstLine="0"/>
        <w:jc w:val="center"/>
        <w:rPr>
          <w:b/>
          <w:sz w:val="32"/>
        </w:rPr>
      </w:pPr>
      <w:r>
        <w:rPr>
          <w:b/>
          <w:sz w:val="32"/>
        </w:rPr>
        <w:t>COMITÉ DE TUTORES</w:t>
      </w:r>
    </w:p>
    <w:p>
      <w:pPr>
        <w:spacing w:before="252"/>
        <w:ind w:left="2765" w:right="1338" w:firstLine="350"/>
        <w:jc w:val="left"/>
        <w:rPr>
          <w:sz w:val="32"/>
        </w:rPr>
      </w:pPr>
      <w:r>
        <w:rPr>
          <w:sz w:val="32"/>
        </w:rPr>
        <w:t>Dr. César Ortega Santana. Tutor académico Dr. Alex Patricio Romero Zúñiga. Tutor Adjunto</w:t>
      </w:r>
    </w:p>
    <w:p>
      <w:pPr>
        <w:spacing w:line="365" w:lineRule="exact" w:before="0"/>
        <w:ind w:left="2616" w:right="0" w:firstLine="0"/>
        <w:jc w:val="left"/>
        <w:rPr>
          <w:sz w:val="32"/>
        </w:rPr>
      </w:pPr>
      <w:r>
        <w:rPr>
          <w:sz w:val="32"/>
        </w:rPr>
        <w:t>Dr. José Simón Martínez Castañeda. Tutor Adjunto</w:t>
      </w:r>
    </w:p>
    <w:p>
      <w:pPr>
        <w:pStyle w:val="BodyText"/>
        <w:rPr>
          <w:sz w:val="32"/>
        </w:rPr>
      </w:pPr>
    </w:p>
    <w:p>
      <w:pPr>
        <w:pStyle w:val="BodyText"/>
        <w:rPr>
          <w:sz w:val="32"/>
        </w:rPr>
      </w:pPr>
    </w:p>
    <w:p>
      <w:pPr>
        <w:pStyle w:val="BodyText"/>
        <w:spacing w:before="9"/>
        <w:rPr>
          <w:sz w:val="30"/>
        </w:rPr>
      </w:pPr>
    </w:p>
    <w:p>
      <w:pPr>
        <w:spacing w:before="0"/>
        <w:ind w:left="3394" w:right="0" w:firstLine="0"/>
        <w:jc w:val="left"/>
        <w:rPr>
          <w:sz w:val="26"/>
        </w:rPr>
      </w:pPr>
      <w:r>
        <w:rPr>
          <w:sz w:val="26"/>
        </w:rPr>
        <w:t>El Cerrillo Piedras Blancas, Toluca, Estado de México, julio 2015.</w:t>
      </w:r>
    </w:p>
    <w:p>
      <w:pPr>
        <w:spacing w:after="0"/>
        <w:jc w:val="left"/>
        <w:rPr>
          <w:sz w:val="26"/>
        </w:rPr>
        <w:sectPr>
          <w:pgSz w:w="12240" w:h="15840"/>
          <w:pgMar w:top="1500" w:bottom="280" w:left="380" w:right="1420"/>
        </w:sectPr>
      </w:pPr>
    </w:p>
    <w:p>
      <w:pPr>
        <w:pStyle w:val="BodyText"/>
        <w:spacing w:before="1"/>
        <w:rPr>
          <w:sz w:val="26"/>
        </w:rPr>
      </w:pPr>
    </w:p>
    <w:p>
      <w:pPr>
        <w:pStyle w:val="Heading1"/>
        <w:ind w:left="775" w:right="735"/>
        <w:jc w:val="center"/>
      </w:pPr>
      <w:bookmarkStart w:name="_bookmark0" w:id="1"/>
      <w:bookmarkEnd w:id="1"/>
      <w:r>
        <w:rPr>
          <w:b w:val="0"/>
        </w:rPr>
      </w:r>
      <w:r>
        <w:rPr/>
        <w:t>RESUMEN</w:t>
      </w:r>
    </w:p>
    <w:p>
      <w:pPr>
        <w:pStyle w:val="BodyText"/>
        <w:spacing w:line="360" w:lineRule="auto" w:before="132"/>
        <w:ind w:left="152" w:right="102"/>
        <w:jc w:val="both"/>
      </w:pPr>
      <w:r>
        <w:rPr/>
        <w:t>El virus de </w:t>
      </w:r>
      <w:r>
        <w:rPr>
          <w:spacing w:val="-3"/>
        </w:rPr>
        <w:t>la </w:t>
      </w:r>
      <w:r>
        <w:rPr/>
        <w:t>necrosis pancreática infecciosa (IPNV) es un Birnavirus que causa una enfermedad que afecta predominantemente a peces salmónidos jóvenes. Su genoma está compuesto por dos segmentos de RNA de </w:t>
      </w:r>
      <w:r>
        <w:rPr>
          <w:spacing w:val="-3"/>
        </w:rPr>
        <w:t>cadena </w:t>
      </w:r>
      <w:r>
        <w:rPr/>
        <w:t>doble (dsRNA) que codifican cinco proteínas; el segmento A codifica VP2, VP3, VP4 y VP5, mientras que el B sólo codifica a </w:t>
      </w:r>
      <w:r>
        <w:rPr>
          <w:spacing w:val="-3"/>
        </w:rPr>
        <w:t>la</w:t>
      </w:r>
      <w:r>
        <w:rPr>
          <w:spacing w:val="-12"/>
        </w:rPr>
        <w:t> </w:t>
      </w:r>
      <w:r>
        <w:rPr/>
        <w:t>VP1.</w:t>
      </w:r>
      <w:r>
        <w:rPr>
          <w:spacing w:val="-8"/>
        </w:rPr>
        <w:t> </w:t>
      </w:r>
      <w:r>
        <w:rPr/>
        <w:t>La</w:t>
      </w:r>
      <w:r>
        <w:rPr>
          <w:spacing w:val="-12"/>
        </w:rPr>
        <w:t> </w:t>
      </w:r>
      <w:r>
        <w:rPr/>
        <w:t>respuesta</w:t>
      </w:r>
      <w:r>
        <w:rPr>
          <w:spacing w:val="-14"/>
        </w:rPr>
        <w:t> </w:t>
      </w:r>
      <w:r>
        <w:rPr/>
        <w:t>celular</w:t>
      </w:r>
      <w:r>
        <w:rPr>
          <w:spacing w:val="-8"/>
        </w:rPr>
        <w:t> </w:t>
      </w:r>
      <w:r>
        <w:rPr/>
        <w:t>contra</w:t>
      </w:r>
      <w:r>
        <w:rPr>
          <w:spacing w:val="-15"/>
        </w:rPr>
        <w:t> </w:t>
      </w:r>
      <w:r>
        <w:rPr/>
        <w:t>IPNV</w:t>
      </w:r>
      <w:r>
        <w:rPr>
          <w:spacing w:val="-15"/>
        </w:rPr>
        <w:t> </w:t>
      </w:r>
      <w:r>
        <w:rPr/>
        <w:t>activa</w:t>
      </w:r>
      <w:r>
        <w:rPr>
          <w:spacing w:val="-12"/>
        </w:rPr>
        <w:t> </w:t>
      </w:r>
      <w:r>
        <w:rPr/>
        <w:t>IFN-I(α)</w:t>
      </w:r>
      <w:r>
        <w:rPr>
          <w:spacing w:val="-13"/>
        </w:rPr>
        <w:t> </w:t>
      </w:r>
      <w:r>
        <w:rPr/>
        <w:t>y</w:t>
      </w:r>
      <w:r>
        <w:rPr>
          <w:spacing w:val="-19"/>
        </w:rPr>
        <w:t> </w:t>
      </w:r>
      <w:r>
        <w:rPr/>
        <w:t>ISGs</w:t>
      </w:r>
      <w:r>
        <w:rPr>
          <w:spacing w:val="-13"/>
        </w:rPr>
        <w:t> </w:t>
      </w:r>
      <w:r>
        <w:rPr/>
        <w:t>mediante</w:t>
      </w:r>
      <w:r>
        <w:rPr>
          <w:spacing w:val="-12"/>
        </w:rPr>
        <w:t> </w:t>
      </w:r>
      <w:r>
        <w:rPr>
          <w:spacing w:val="-5"/>
        </w:rPr>
        <w:t>la</w:t>
      </w:r>
      <w:r>
        <w:rPr>
          <w:spacing w:val="-12"/>
        </w:rPr>
        <w:t> </w:t>
      </w:r>
      <w:r>
        <w:rPr/>
        <w:t>vía</w:t>
      </w:r>
      <w:r>
        <w:rPr>
          <w:spacing w:val="-12"/>
        </w:rPr>
        <w:t> </w:t>
      </w:r>
      <w:r>
        <w:rPr/>
        <w:t>JAK-STAT. Variaciones en </w:t>
      </w:r>
      <w:r>
        <w:rPr>
          <w:spacing w:val="-3"/>
        </w:rPr>
        <w:t>la </w:t>
      </w:r>
      <w:r>
        <w:rPr/>
        <w:t>temperatura del agua impactan </w:t>
      </w:r>
      <w:r>
        <w:rPr>
          <w:spacing w:val="-5"/>
        </w:rPr>
        <w:t>la </w:t>
      </w:r>
      <w:r>
        <w:rPr/>
        <w:t>fisiología de </w:t>
      </w:r>
      <w:r>
        <w:rPr>
          <w:spacing w:val="-3"/>
        </w:rPr>
        <w:t>la </w:t>
      </w:r>
      <w:r>
        <w:rPr/>
        <w:t>trucha arcoíris (</w:t>
      </w:r>
      <w:r>
        <w:rPr>
          <w:i/>
        </w:rPr>
        <w:t>Oncorhynchus mykiss</w:t>
      </w:r>
      <w:r>
        <w:rPr/>
        <w:t>) incluyendo su tasa metabólica y </w:t>
      </w:r>
      <w:r>
        <w:rPr>
          <w:spacing w:val="-3"/>
        </w:rPr>
        <w:t>la </w:t>
      </w:r>
      <w:r>
        <w:rPr/>
        <w:t>respuesta inmune específica</w:t>
      </w:r>
      <w:r>
        <w:rPr>
          <w:spacing w:val="-36"/>
        </w:rPr>
        <w:t> </w:t>
      </w:r>
      <w:r>
        <w:rPr/>
        <w:t>pero se desconoce su efecto sobre </w:t>
      </w:r>
      <w:r>
        <w:rPr>
          <w:spacing w:val="-5"/>
        </w:rPr>
        <w:t>la </w:t>
      </w:r>
      <w:r>
        <w:rPr/>
        <w:t>respuesta inespecífica, considerada el </w:t>
      </w:r>
      <w:r>
        <w:rPr>
          <w:spacing w:val="-3"/>
        </w:rPr>
        <w:t>medio </w:t>
      </w:r>
      <w:r>
        <w:rPr/>
        <w:t>de defensa más importante para peces. Con objeto de conocer </w:t>
      </w:r>
      <w:r>
        <w:rPr>
          <w:spacing w:val="-5"/>
        </w:rPr>
        <w:t>la </w:t>
      </w:r>
      <w:r>
        <w:rPr/>
        <w:t>respuesta inmune inespecífica mediada por IFN-I(</w:t>
      </w:r>
      <w:r>
        <w:rPr>
          <w:i/>
        </w:rPr>
        <w:t>α</w:t>
      </w:r>
      <w:r>
        <w:rPr/>
        <w:t>)</w:t>
      </w:r>
      <w:r>
        <w:rPr>
          <w:spacing w:val="-11"/>
        </w:rPr>
        <w:t> </w:t>
      </w:r>
      <w:r>
        <w:rPr/>
        <w:t>en</w:t>
      </w:r>
      <w:r>
        <w:rPr>
          <w:spacing w:val="-16"/>
        </w:rPr>
        <w:t> </w:t>
      </w:r>
      <w:r>
        <w:rPr/>
        <w:t>salmónidos</w:t>
      </w:r>
      <w:r>
        <w:rPr>
          <w:spacing w:val="-14"/>
        </w:rPr>
        <w:t> </w:t>
      </w:r>
      <w:r>
        <w:rPr/>
        <w:t>ante</w:t>
      </w:r>
      <w:r>
        <w:rPr>
          <w:spacing w:val="-12"/>
        </w:rPr>
        <w:t> </w:t>
      </w:r>
      <w:r>
        <w:rPr>
          <w:spacing w:val="-3"/>
        </w:rPr>
        <w:t>la</w:t>
      </w:r>
      <w:r>
        <w:rPr>
          <w:spacing w:val="-9"/>
        </w:rPr>
        <w:t> </w:t>
      </w:r>
      <w:r>
        <w:rPr/>
        <w:t>infección</w:t>
      </w:r>
      <w:r>
        <w:rPr>
          <w:spacing w:val="-16"/>
        </w:rPr>
        <w:t> </w:t>
      </w:r>
      <w:r>
        <w:rPr/>
        <w:t>con</w:t>
      </w:r>
      <w:r>
        <w:rPr>
          <w:spacing w:val="-16"/>
        </w:rPr>
        <w:t> </w:t>
      </w:r>
      <w:r>
        <w:rPr/>
        <w:t>IPNV,</w:t>
      </w:r>
      <w:r>
        <w:rPr>
          <w:spacing w:val="-10"/>
        </w:rPr>
        <w:t> </w:t>
      </w:r>
      <w:r>
        <w:rPr/>
        <w:t>se</w:t>
      </w:r>
      <w:r>
        <w:rPr>
          <w:spacing w:val="-17"/>
        </w:rPr>
        <w:t> </w:t>
      </w:r>
      <w:r>
        <w:rPr/>
        <w:t>realizó</w:t>
      </w:r>
      <w:r>
        <w:rPr>
          <w:spacing w:val="-7"/>
        </w:rPr>
        <w:t> </w:t>
      </w:r>
      <w:r>
        <w:rPr/>
        <w:t>un</w:t>
      </w:r>
      <w:r>
        <w:rPr>
          <w:spacing w:val="-16"/>
        </w:rPr>
        <w:t> </w:t>
      </w:r>
      <w:r>
        <w:rPr/>
        <w:t>ensayo</w:t>
      </w:r>
      <w:r>
        <w:rPr>
          <w:spacing w:val="-8"/>
        </w:rPr>
        <w:t> </w:t>
      </w:r>
      <w:r>
        <w:rPr>
          <w:i/>
        </w:rPr>
        <w:t>in</w:t>
      </w:r>
      <w:r>
        <w:rPr>
          <w:i/>
          <w:spacing w:val="-12"/>
        </w:rPr>
        <w:t> </w:t>
      </w:r>
      <w:r>
        <w:rPr>
          <w:i/>
        </w:rPr>
        <w:t>vivo</w:t>
      </w:r>
      <w:r>
        <w:rPr>
          <w:i/>
          <w:spacing w:val="-12"/>
        </w:rPr>
        <w:t> </w:t>
      </w:r>
      <w:r>
        <w:rPr/>
        <w:t>para</w:t>
      </w:r>
      <w:r>
        <w:rPr>
          <w:spacing w:val="-13"/>
        </w:rPr>
        <w:t> </w:t>
      </w:r>
      <w:r>
        <w:rPr/>
        <w:t>conocer el efecto de </w:t>
      </w:r>
      <w:r>
        <w:rPr>
          <w:spacing w:val="-5"/>
        </w:rPr>
        <w:t>la </w:t>
      </w:r>
      <w:r>
        <w:rPr/>
        <w:t>temperatura sobre </w:t>
      </w:r>
      <w:r>
        <w:rPr>
          <w:spacing w:val="-5"/>
        </w:rPr>
        <w:t>la </w:t>
      </w:r>
      <w:r>
        <w:rPr/>
        <w:t>replicación viral y </w:t>
      </w:r>
      <w:r>
        <w:rPr>
          <w:spacing w:val="-3"/>
        </w:rPr>
        <w:t>la </w:t>
      </w:r>
      <w:r>
        <w:rPr/>
        <w:t>expresión de ISGs. Otro estudio </w:t>
      </w:r>
      <w:r>
        <w:rPr>
          <w:i/>
        </w:rPr>
        <w:t>in </w:t>
      </w:r>
      <w:r>
        <w:rPr>
          <w:i/>
        </w:rPr>
        <w:t>vitro </w:t>
      </w:r>
      <w:r>
        <w:rPr/>
        <w:t>utilizando células RTG-2 se </w:t>
      </w:r>
      <w:r>
        <w:rPr>
          <w:spacing w:val="-3"/>
        </w:rPr>
        <w:t>llevó </w:t>
      </w:r>
      <w:r>
        <w:rPr/>
        <w:t>acabo para determinar el efecto de </w:t>
      </w:r>
      <w:r>
        <w:rPr>
          <w:spacing w:val="-5"/>
        </w:rPr>
        <w:t>la </w:t>
      </w:r>
      <w:r>
        <w:rPr/>
        <w:t>virulencia de dos serotipos de IPNV sobre </w:t>
      </w:r>
      <w:r>
        <w:rPr>
          <w:spacing w:val="-3"/>
        </w:rPr>
        <w:t>la </w:t>
      </w:r>
      <w:r>
        <w:rPr/>
        <w:t>activación de </w:t>
      </w:r>
      <w:r>
        <w:rPr>
          <w:spacing w:val="-5"/>
        </w:rPr>
        <w:t>la </w:t>
      </w:r>
      <w:r>
        <w:rPr/>
        <w:t>Y-701</w:t>
      </w:r>
      <w:r>
        <w:rPr>
          <w:spacing w:val="8"/>
        </w:rPr>
        <w:t> </w:t>
      </w:r>
      <w:r>
        <w:rPr/>
        <w:t>STAT1(α/β).</w:t>
      </w:r>
    </w:p>
    <w:p>
      <w:pPr>
        <w:pStyle w:val="BodyText"/>
        <w:spacing w:line="360" w:lineRule="auto" w:before="210"/>
        <w:ind w:left="152" w:right="101" w:firstLine="62"/>
        <w:jc w:val="both"/>
      </w:pPr>
      <w:r>
        <w:rPr/>
        <w:t>De</w:t>
      </w:r>
      <w:r>
        <w:rPr>
          <w:spacing w:val="-8"/>
        </w:rPr>
        <w:t> </w:t>
      </w:r>
      <w:r>
        <w:rPr/>
        <w:t>acuerdo</w:t>
      </w:r>
      <w:r>
        <w:rPr>
          <w:spacing w:val="-7"/>
        </w:rPr>
        <w:t> </w:t>
      </w:r>
      <w:r>
        <w:rPr/>
        <w:t>a</w:t>
      </w:r>
      <w:r>
        <w:rPr>
          <w:spacing w:val="-8"/>
        </w:rPr>
        <w:t> </w:t>
      </w:r>
      <w:r>
        <w:rPr/>
        <w:t>los</w:t>
      </w:r>
      <w:r>
        <w:rPr>
          <w:spacing w:val="-9"/>
        </w:rPr>
        <w:t> </w:t>
      </w:r>
      <w:r>
        <w:rPr/>
        <w:t>estudios</w:t>
      </w:r>
      <w:r>
        <w:rPr>
          <w:spacing w:val="-9"/>
        </w:rPr>
        <w:t> </w:t>
      </w:r>
      <w:r>
        <w:rPr/>
        <w:t>realizados,</w:t>
      </w:r>
      <w:r>
        <w:rPr>
          <w:spacing w:val="-1"/>
        </w:rPr>
        <w:t> </w:t>
      </w:r>
      <w:r>
        <w:rPr>
          <w:spacing w:val="-5"/>
        </w:rPr>
        <w:t>la</w:t>
      </w:r>
      <w:r>
        <w:rPr>
          <w:spacing w:val="-8"/>
        </w:rPr>
        <w:t> </w:t>
      </w:r>
      <w:r>
        <w:rPr/>
        <w:t>enfermedad</w:t>
      </w:r>
      <w:r>
        <w:rPr>
          <w:spacing w:val="-7"/>
        </w:rPr>
        <w:t> </w:t>
      </w:r>
      <w:r>
        <w:rPr/>
        <w:t>clínica</w:t>
      </w:r>
      <w:r>
        <w:rPr>
          <w:spacing w:val="-8"/>
        </w:rPr>
        <w:t> </w:t>
      </w:r>
      <w:r>
        <w:rPr/>
        <w:t>únicamente</w:t>
      </w:r>
      <w:r>
        <w:rPr>
          <w:spacing w:val="-4"/>
        </w:rPr>
        <w:t> </w:t>
      </w:r>
      <w:r>
        <w:rPr/>
        <w:t>se</w:t>
      </w:r>
      <w:r>
        <w:rPr>
          <w:spacing w:val="-8"/>
        </w:rPr>
        <w:t> </w:t>
      </w:r>
      <w:r>
        <w:rPr/>
        <w:t>desarrolló</w:t>
      </w:r>
      <w:r>
        <w:rPr>
          <w:spacing w:val="-2"/>
        </w:rPr>
        <w:t> </w:t>
      </w:r>
      <w:r>
        <w:rPr/>
        <w:t>a</w:t>
      </w:r>
      <w:r>
        <w:rPr>
          <w:spacing w:val="-8"/>
        </w:rPr>
        <w:t> </w:t>
      </w:r>
      <w:r>
        <w:rPr/>
        <w:t>12°C con 100% de mortalidad desde el día 6, presentándose disminución de mRNA de STAT-1 antes del día 11 en comparación con expresiones obtenidas a 8 y 16°C, además existió disminución de IFN-I(α) durante todo el ensayo comparado con valores obtenidos en peces a 16°C, que </w:t>
      </w:r>
      <w:r>
        <w:rPr>
          <w:spacing w:val="-3"/>
        </w:rPr>
        <w:t>fue </w:t>
      </w:r>
      <w:r>
        <w:rPr/>
        <w:t>aumentado desde el día 2. La proteína Mx-1 se incrementó los días 2, 4, 7 y 14,</w:t>
      </w:r>
      <w:r>
        <w:rPr>
          <w:spacing w:val="-10"/>
        </w:rPr>
        <w:t> </w:t>
      </w:r>
      <w:r>
        <w:rPr/>
        <w:t>comparado</w:t>
      </w:r>
      <w:r>
        <w:rPr>
          <w:spacing w:val="-7"/>
        </w:rPr>
        <w:t> </w:t>
      </w:r>
      <w:r>
        <w:rPr/>
        <w:t>con</w:t>
      </w:r>
      <w:r>
        <w:rPr>
          <w:spacing w:val="-16"/>
        </w:rPr>
        <w:t> </w:t>
      </w:r>
      <w:r>
        <w:rPr/>
        <w:t>los</w:t>
      </w:r>
      <w:r>
        <w:rPr>
          <w:spacing w:val="-14"/>
        </w:rPr>
        <w:t> </w:t>
      </w:r>
      <w:r>
        <w:rPr/>
        <w:t>valores</w:t>
      </w:r>
      <w:r>
        <w:rPr>
          <w:spacing w:val="-14"/>
        </w:rPr>
        <w:t> </w:t>
      </w:r>
      <w:r>
        <w:rPr/>
        <w:t>obtenidos</w:t>
      </w:r>
      <w:r>
        <w:rPr>
          <w:spacing w:val="-14"/>
        </w:rPr>
        <w:t> </w:t>
      </w:r>
      <w:r>
        <w:rPr/>
        <w:t>a</w:t>
      </w:r>
      <w:r>
        <w:rPr>
          <w:spacing w:val="-13"/>
        </w:rPr>
        <w:t> </w:t>
      </w:r>
      <w:r>
        <w:rPr/>
        <w:t>8</w:t>
      </w:r>
      <w:r>
        <w:rPr>
          <w:spacing w:val="-16"/>
        </w:rPr>
        <w:t> </w:t>
      </w:r>
      <w:r>
        <w:rPr/>
        <w:t>y</w:t>
      </w:r>
      <w:r>
        <w:rPr>
          <w:spacing w:val="-20"/>
        </w:rPr>
        <w:t> </w:t>
      </w:r>
      <w:r>
        <w:rPr/>
        <w:t>16°C,</w:t>
      </w:r>
      <w:r>
        <w:rPr>
          <w:spacing w:val="-10"/>
        </w:rPr>
        <w:t> </w:t>
      </w:r>
      <w:r>
        <w:rPr>
          <w:spacing w:val="-3"/>
        </w:rPr>
        <w:t>pero</w:t>
      </w:r>
      <w:r>
        <w:rPr>
          <w:spacing w:val="-7"/>
        </w:rPr>
        <w:t> </w:t>
      </w:r>
      <w:r>
        <w:rPr>
          <w:spacing w:val="-3"/>
        </w:rPr>
        <w:t>no</w:t>
      </w:r>
      <w:r>
        <w:rPr>
          <w:spacing w:val="-12"/>
        </w:rPr>
        <w:t> </w:t>
      </w:r>
      <w:r>
        <w:rPr>
          <w:spacing w:val="-3"/>
        </w:rPr>
        <w:t>fue</w:t>
      </w:r>
      <w:r>
        <w:rPr>
          <w:spacing w:val="-13"/>
        </w:rPr>
        <w:t> </w:t>
      </w:r>
      <w:r>
        <w:rPr/>
        <w:t>capaz</w:t>
      </w:r>
      <w:r>
        <w:rPr>
          <w:spacing w:val="-13"/>
        </w:rPr>
        <w:t> </w:t>
      </w:r>
      <w:r>
        <w:rPr/>
        <w:t>de</w:t>
      </w:r>
      <w:r>
        <w:rPr>
          <w:spacing w:val="-13"/>
        </w:rPr>
        <w:t> </w:t>
      </w:r>
      <w:r>
        <w:rPr/>
        <w:t>ejercer</w:t>
      </w:r>
      <w:r>
        <w:rPr>
          <w:spacing w:val="-10"/>
        </w:rPr>
        <w:t> </w:t>
      </w:r>
      <w:r>
        <w:rPr/>
        <w:t>su</w:t>
      </w:r>
      <w:r>
        <w:rPr>
          <w:spacing w:val="-12"/>
        </w:rPr>
        <w:t> </w:t>
      </w:r>
      <w:r>
        <w:rPr/>
        <w:t>actividad biológica. Los peces infectados a 16°C se mostraron normales y con apetito durante el ensayo; </w:t>
      </w:r>
      <w:r>
        <w:rPr>
          <w:spacing w:val="-5"/>
        </w:rPr>
        <w:t>la </w:t>
      </w:r>
      <w:r>
        <w:rPr/>
        <w:t>relación entre el nivel de respuesta y </w:t>
      </w:r>
      <w:r>
        <w:rPr>
          <w:spacing w:val="-5"/>
        </w:rPr>
        <w:t>la </w:t>
      </w:r>
      <w:r>
        <w:rPr/>
        <w:t>virulencia de </w:t>
      </w:r>
      <w:r>
        <w:rPr>
          <w:spacing w:val="-3"/>
        </w:rPr>
        <w:t>la </w:t>
      </w:r>
      <w:r>
        <w:rPr/>
        <w:t>cepa viral es poco </w:t>
      </w:r>
      <w:r>
        <w:rPr>
          <w:spacing w:val="-2"/>
        </w:rPr>
        <w:t>clara. </w:t>
      </w:r>
      <w:r>
        <w:rPr/>
        <w:t>En </w:t>
      </w:r>
      <w:r>
        <w:rPr>
          <w:spacing w:val="-5"/>
        </w:rPr>
        <w:t>la </w:t>
      </w:r>
      <w:r>
        <w:rPr/>
        <w:t>segunda investigación, el serotipo Sp obtuvo mayor nivel de replicación que VR-299, exceptuando</w:t>
      </w:r>
      <w:r>
        <w:rPr>
          <w:spacing w:val="-10"/>
        </w:rPr>
        <w:t> </w:t>
      </w:r>
      <w:r>
        <w:rPr/>
        <w:t>a</w:t>
      </w:r>
      <w:r>
        <w:rPr>
          <w:spacing w:val="-15"/>
        </w:rPr>
        <w:t> </w:t>
      </w:r>
      <w:r>
        <w:rPr>
          <w:spacing w:val="-3"/>
        </w:rPr>
        <w:t>las</w:t>
      </w:r>
      <w:r>
        <w:rPr>
          <w:spacing w:val="-17"/>
        </w:rPr>
        <w:t> </w:t>
      </w:r>
      <w:r>
        <w:rPr/>
        <w:t>60</w:t>
      </w:r>
      <w:r>
        <w:rPr>
          <w:spacing w:val="-14"/>
        </w:rPr>
        <w:t> </w:t>
      </w:r>
      <w:r>
        <w:rPr/>
        <w:t>hpi;</w:t>
      </w:r>
      <w:r>
        <w:rPr>
          <w:spacing w:val="-12"/>
        </w:rPr>
        <w:t> </w:t>
      </w:r>
      <w:r>
        <w:rPr/>
        <w:t>contrario</w:t>
      </w:r>
      <w:r>
        <w:rPr>
          <w:spacing w:val="-10"/>
        </w:rPr>
        <w:t> </w:t>
      </w:r>
      <w:r>
        <w:rPr>
          <w:spacing w:val="-5"/>
        </w:rPr>
        <w:t>lo</w:t>
      </w:r>
      <w:r>
        <w:rPr>
          <w:spacing w:val="-10"/>
        </w:rPr>
        <w:t> </w:t>
      </w:r>
      <w:r>
        <w:rPr/>
        <w:t>esperado,</w:t>
      </w:r>
      <w:r>
        <w:rPr>
          <w:spacing w:val="-12"/>
        </w:rPr>
        <w:t> </w:t>
      </w:r>
      <w:r>
        <w:rPr>
          <w:spacing w:val="-5"/>
        </w:rPr>
        <w:t>la</w:t>
      </w:r>
      <w:r>
        <w:rPr>
          <w:spacing w:val="-15"/>
        </w:rPr>
        <w:t> </w:t>
      </w:r>
      <w:r>
        <w:rPr/>
        <w:t>expresión</w:t>
      </w:r>
      <w:r>
        <w:rPr>
          <w:spacing w:val="-19"/>
        </w:rPr>
        <w:t> </w:t>
      </w:r>
      <w:r>
        <w:rPr/>
        <w:t>de</w:t>
      </w:r>
      <w:r>
        <w:rPr>
          <w:spacing w:val="-15"/>
        </w:rPr>
        <w:t> </w:t>
      </w:r>
      <w:r>
        <w:rPr/>
        <w:t>IFN-I(</w:t>
      </w:r>
      <w:r>
        <w:rPr>
          <w:i/>
        </w:rPr>
        <w:t>α</w:t>
      </w:r>
      <w:r>
        <w:rPr/>
        <w:t>)</w:t>
      </w:r>
      <w:r>
        <w:rPr>
          <w:spacing w:val="-13"/>
        </w:rPr>
        <w:t> </w:t>
      </w:r>
      <w:r>
        <w:rPr/>
        <w:t>fue</w:t>
      </w:r>
      <w:r>
        <w:rPr>
          <w:spacing w:val="-11"/>
        </w:rPr>
        <w:t> </w:t>
      </w:r>
      <w:r>
        <w:rPr>
          <w:spacing w:val="-3"/>
        </w:rPr>
        <w:t>mayor</w:t>
      </w:r>
      <w:r>
        <w:rPr>
          <w:spacing w:val="-13"/>
        </w:rPr>
        <w:t> </w:t>
      </w:r>
      <w:r>
        <w:rPr/>
        <w:t>en</w:t>
      </w:r>
      <w:r>
        <w:rPr>
          <w:spacing w:val="-19"/>
        </w:rPr>
        <w:t> </w:t>
      </w:r>
      <w:r>
        <w:rPr/>
        <w:t>células expuestas a </w:t>
      </w:r>
      <w:r>
        <w:rPr>
          <w:spacing w:val="-3"/>
        </w:rPr>
        <w:t>la </w:t>
      </w:r>
      <w:r>
        <w:rPr/>
        <w:t>cepa Sp, por </w:t>
      </w:r>
      <w:r>
        <w:rPr>
          <w:spacing w:val="-5"/>
        </w:rPr>
        <w:t>lo </w:t>
      </w:r>
      <w:r>
        <w:rPr/>
        <w:t>que aparentemente </w:t>
      </w:r>
      <w:r>
        <w:rPr>
          <w:spacing w:val="-3"/>
        </w:rPr>
        <w:t>la </w:t>
      </w:r>
      <w:r>
        <w:rPr/>
        <w:t>virulencia de </w:t>
      </w:r>
      <w:r>
        <w:rPr>
          <w:spacing w:val="-5"/>
        </w:rPr>
        <w:t>la </w:t>
      </w:r>
      <w:r>
        <w:rPr/>
        <w:t>cepa se correlaciona positivamente</w:t>
      </w:r>
      <w:r>
        <w:rPr>
          <w:spacing w:val="-5"/>
        </w:rPr>
        <w:t> </w:t>
      </w:r>
      <w:r>
        <w:rPr/>
        <w:t>con</w:t>
      </w:r>
      <w:r>
        <w:rPr>
          <w:spacing w:val="-9"/>
        </w:rPr>
        <w:t> </w:t>
      </w:r>
      <w:r>
        <w:rPr/>
        <w:t>el</w:t>
      </w:r>
      <w:r>
        <w:rPr>
          <w:spacing w:val="-8"/>
        </w:rPr>
        <w:t> </w:t>
      </w:r>
      <w:r>
        <w:rPr/>
        <w:t>nivel</w:t>
      </w:r>
      <w:r>
        <w:rPr>
          <w:spacing w:val="-8"/>
        </w:rPr>
        <w:t> </w:t>
      </w:r>
      <w:r>
        <w:rPr/>
        <w:t>de</w:t>
      </w:r>
      <w:r>
        <w:rPr>
          <w:spacing w:val="-5"/>
        </w:rPr>
        <w:t> </w:t>
      </w:r>
      <w:r>
        <w:rPr/>
        <w:t>respuesta</w:t>
      </w:r>
      <w:r>
        <w:rPr>
          <w:spacing w:val="-5"/>
        </w:rPr>
        <w:t> </w:t>
      </w:r>
      <w:r>
        <w:rPr/>
        <w:t>por</w:t>
      </w:r>
      <w:r>
        <w:rPr>
          <w:spacing w:val="-3"/>
        </w:rPr>
        <w:t> </w:t>
      </w:r>
      <w:r>
        <w:rPr/>
        <w:t>IFN-I(</w:t>
      </w:r>
      <w:r>
        <w:rPr>
          <w:i/>
        </w:rPr>
        <w:t>α</w:t>
      </w:r>
      <w:r>
        <w:rPr/>
        <w:t>);</w:t>
      </w:r>
      <w:r>
        <w:rPr>
          <w:spacing w:val="-8"/>
        </w:rPr>
        <w:t> </w:t>
      </w:r>
      <w:r>
        <w:rPr/>
        <w:t>sin</w:t>
      </w:r>
      <w:r>
        <w:rPr>
          <w:spacing w:val="-4"/>
        </w:rPr>
        <w:t> </w:t>
      </w:r>
      <w:r>
        <w:rPr/>
        <w:t>embargo,</w:t>
      </w:r>
      <w:r>
        <w:rPr>
          <w:spacing w:val="-2"/>
        </w:rPr>
        <w:t> </w:t>
      </w:r>
      <w:r>
        <w:rPr>
          <w:spacing w:val="-5"/>
        </w:rPr>
        <w:t>la </w:t>
      </w:r>
      <w:r>
        <w:rPr/>
        <w:t>expresión</w:t>
      </w:r>
      <w:r>
        <w:rPr>
          <w:spacing w:val="-9"/>
        </w:rPr>
        <w:t> </w:t>
      </w:r>
      <w:r>
        <w:rPr/>
        <w:t>de</w:t>
      </w:r>
      <w:r>
        <w:rPr>
          <w:spacing w:val="-3"/>
        </w:rPr>
        <w:t> </w:t>
      </w:r>
      <w:r>
        <w:rPr/>
        <w:t>transcrito decreció</w:t>
      </w:r>
      <w:r>
        <w:rPr>
          <w:spacing w:val="-6"/>
        </w:rPr>
        <w:t> </w:t>
      </w:r>
      <w:r>
        <w:rPr/>
        <w:t>en</w:t>
      </w:r>
      <w:r>
        <w:rPr>
          <w:spacing w:val="-15"/>
        </w:rPr>
        <w:t> </w:t>
      </w:r>
      <w:r>
        <w:rPr/>
        <w:t>el</w:t>
      </w:r>
      <w:r>
        <w:rPr>
          <w:spacing w:val="-15"/>
        </w:rPr>
        <w:t> </w:t>
      </w:r>
      <w:r>
        <w:rPr/>
        <w:t>tiempo.</w:t>
      </w:r>
      <w:r>
        <w:rPr>
          <w:spacing w:val="-6"/>
        </w:rPr>
        <w:t> </w:t>
      </w:r>
      <w:r>
        <w:rPr/>
        <w:t>Sorprendentemente,</w:t>
      </w:r>
      <w:r>
        <w:rPr>
          <w:spacing w:val="-9"/>
        </w:rPr>
        <w:t> </w:t>
      </w:r>
      <w:r>
        <w:rPr/>
        <w:t>el</w:t>
      </w:r>
      <w:r>
        <w:rPr>
          <w:spacing w:val="-15"/>
        </w:rPr>
        <w:t> </w:t>
      </w:r>
      <w:r>
        <w:rPr/>
        <w:t>nivel</w:t>
      </w:r>
      <w:r>
        <w:rPr>
          <w:spacing w:val="-15"/>
        </w:rPr>
        <w:t> </w:t>
      </w:r>
      <w:r>
        <w:rPr/>
        <w:t>de</w:t>
      </w:r>
      <w:r>
        <w:rPr>
          <w:spacing w:val="-7"/>
        </w:rPr>
        <w:t> </w:t>
      </w:r>
      <w:r>
        <w:rPr/>
        <w:t>mRNA</w:t>
      </w:r>
      <w:r>
        <w:rPr>
          <w:spacing w:val="-16"/>
        </w:rPr>
        <w:t> </w:t>
      </w:r>
      <w:r>
        <w:rPr/>
        <w:t>de</w:t>
      </w:r>
      <w:r>
        <w:rPr>
          <w:spacing w:val="-12"/>
        </w:rPr>
        <w:t> </w:t>
      </w:r>
      <w:r>
        <w:rPr/>
        <w:t>Mx-1</w:t>
      </w:r>
      <w:r>
        <w:rPr>
          <w:spacing w:val="-6"/>
        </w:rPr>
        <w:t> </w:t>
      </w:r>
      <w:r>
        <w:rPr>
          <w:spacing w:val="-3"/>
        </w:rPr>
        <w:t>no</w:t>
      </w:r>
      <w:r>
        <w:rPr>
          <w:spacing w:val="-6"/>
        </w:rPr>
        <w:t> </w:t>
      </w:r>
      <w:r>
        <w:rPr/>
        <w:t>mostró</w:t>
      </w:r>
      <w:r>
        <w:rPr>
          <w:spacing w:val="-6"/>
        </w:rPr>
        <w:t> </w:t>
      </w:r>
      <w:r>
        <w:rPr/>
        <w:t>diferencias significativas entre serotipos. En </w:t>
      </w:r>
      <w:r>
        <w:rPr>
          <w:spacing w:val="-4"/>
        </w:rPr>
        <w:t>las</w:t>
      </w:r>
      <w:r>
        <w:rPr>
          <w:spacing w:val="52"/>
        </w:rPr>
        <w:t> </w:t>
      </w:r>
      <w:r>
        <w:rPr/>
        <w:t>células infectadas con el virus Sp, se </w:t>
      </w:r>
      <w:r>
        <w:rPr>
          <w:spacing w:val="-3"/>
        </w:rPr>
        <w:t>indujo </w:t>
      </w:r>
      <w:r>
        <w:rPr/>
        <w:t>significativamente una </w:t>
      </w:r>
      <w:r>
        <w:rPr>
          <w:spacing w:val="-3"/>
        </w:rPr>
        <w:t>mayor </w:t>
      </w:r>
      <w:r>
        <w:rPr/>
        <w:t>tasa de fosforilación de Y701-STAT1 (α/β) a los 4, 8,12 y</w:t>
      </w:r>
      <w:r>
        <w:rPr>
          <w:spacing w:val="42"/>
        </w:rPr>
        <w:t> </w:t>
      </w:r>
      <w:r>
        <w:rPr/>
        <w:t>24</w:t>
      </w:r>
    </w:p>
    <w:p>
      <w:pPr>
        <w:spacing w:after="0" w:line="360" w:lineRule="auto"/>
        <w:jc w:val="both"/>
        <w:sectPr>
          <w:footerReference w:type="default" r:id="rId6"/>
          <w:pgSz w:w="12240" w:h="15840"/>
          <w:pgMar w:footer="1382" w:header="0" w:top="1500" w:bottom="1580" w:left="1720" w:right="1420"/>
          <w:pgNumType w:start="2"/>
        </w:sectPr>
      </w:pPr>
    </w:p>
    <w:p>
      <w:pPr>
        <w:pStyle w:val="BodyText"/>
        <w:spacing w:before="7"/>
        <w:rPr>
          <w:sz w:val="25"/>
        </w:rPr>
      </w:pPr>
    </w:p>
    <w:p>
      <w:pPr>
        <w:pStyle w:val="BodyText"/>
        <w:spacing w:line="360" w:lineRule="auto" w:before="70"/>
        <w:ind w:left="152" w:right="101"/>
        <w:jc w:val="both"/>
      </w:pPr>
      <w:r>
        <w:rPr/>
        <w:t>hpi</w:t>
      </w:r>
      <w:r>
        <w:rPr>
          <w:spacing w:val="-14"/>
        </w:rPr>
        <w:t> </w:t>
      </w:r>
      <w:r>
        <w:rPr/>
        <w:t>comparados</w:t>
      </w:r>
      <w:r>
        <w:rPr>
          <w:spacing w:val="-7"/>
        </w:rPr>
        <w:t> </w:t>
      </w:r>
      <w:r>
        <w:rPr/>
        <w:t>con</w:t>
      </w:r>
      <w:r>
        <w:rPr>
          <w:spacing w:val="-10"/>
        </w:rPr>
        <w:t> </w:t>
      </w:r>
      <w:r>
        <w:rPr/>
        <w:t>los</w:t>
      </w:r>
      <w:r>
        <w:rPr>
          <w:spacing w:val="-7"/>
        </w:rPr>
        <w:t> </w:t>
      </w:r>
      <w:r>
        <w:rPr/>
        <w:t>valores</w:t>
      </w:r>
      <w:r>
        <w:rPr>
          <w:spacing w:val="-12"/>
        </w:rPr>
        <w:t> </w:t>
      </w:r>
      <w:r>
        <w:rPr/>
        <w:t>obtenidos</w:t>
      </w:r>
      <w:r>
        <w:rPr>
          <w:spacing w:val="-7"/>
        </w:rPr>
        <w:t> </w:t>
      </w:r>
      <w:r>
        <w:rPr/>
        <w:t>en</w:t>
      </w:r>
      <w:r>
        <w:rPr>
          <w:spacing w:val="-10"/>
        </w:rPr>
        <w:t> </w:t>
      </w:r>
      <w:r>
        <w:rPr/>
        <w:t>células</w:t>
      </w:r>
      <w:r>
        <w:rPr>
          <w:spacing w:val="-7"/>
        </w:rPr>
        <w:t> </w:t>
      </w:r>
      <w:r>
        <w:rPr/>
        <w:t>infectadas</w:t>
      </w:r>
      <w:r>
        <w:rPr>
          <w:spacing w:val="-7"/>
        </w:rPr>
        <w:t> </w:t>
      </w:r>
      <w:r>
        <w:rPr/>
        <w:t>con</w:t>
      </w:r>
      <w:r>
        <w:rPr>
          <w:spacing w:val="-10"/>
        </w:rPr>
        <w:t> </w:t>
      </w:r>
      <w:r>
        <w:rPr/>
        <w:t>VR-299.</w:t>
      </w:r>
      <w:r>
        <w:rPr>
          <w:spacing w:val="-7"/>
        </w:rPr>
        <w:t> </w:t>
      </w:r>
      <w:r>
        <w:rPr/>
        <w:t>De</w:t>
      </w:r>
      <w:r>
        <w:rPr>
          <w:spacing w:val="-11"/>
        </w:rPr>
        <w:t> </w:t>
      </w:r>
      <w:r>
        <w:rPr/>
        <w:t>acuerdo</w:t>
      </w:r>
      <w:r>
        <w:rPr>
          <w:spacing w:val="-5"/>
        </w:rPr>
        <w:t> </w:t>
      </w:r>
      <w:r>
        <w:rPr/>
        <w:t>con nuestros resultados, IPNV contrarresta el efecto de IFN-I(α) y algunos ISGs, interfiriendo </w:t>
      </w:r>
      <w:r>
        <w:rPr>
          <w:spacing w:val="-5"/>
        </w:rPr>
        <w:t>la </w:t>
      </w:r>
      <w:r>
        <w:rPr/>
        <w:t>ruta de señalamiento JAK-STAT. </w:t>
      </w:r>
      <w:r>
        <w:rPr>
          <w:spacing w:val="-4"/>
        </w:rPr>
        <w:t>Sin </w:t>
      </w:r>
      <w:r>
        <w:rPr/>
        <w:t>embargo IPNV, </w:t>
      </w:r>
      <w:r>
        <w:rPr>
          <w:spacing w:val="-3"/>
        </w:rPr>
        <w:t>no </w:t>
      </w:r>
      <w:r>
        <w:rPr/>
        <w:t>bloquea </w:t>
      </w:r>
      <w:r>
        <w:rPr>
          <w:spacing w:val="-5"/>
        </w:rPr>
        <w:t>la </w:t>
      </w:r>
      <w:r>
        <w:rPr/>
        <w:t>fosforilación de </w:t>
      </w:r>
      <w:r>
        <w:rPr>
          <w:spacing w:val="-5"/>
        </w:rPr>
        <w:t>la </w:t>
      </w:r>
      <w:r>
        <w:rPr/>
        <w:t>tirosina 701-STAT1(α/β), contrario a otros virus de</w:t>
      </w:r>
      <w:r>
        <w:rPr>
          <w:spacing w:val="-30"/>
        </w:rPr>
        <w:t> </w:t>
      </w:r>
      <w:r>
        <w:rPr/>
        <w:t>RNA.</w:t>
      </w:r>
    </w:p>
    <w:p>
      <w:pPr>
        <w:spacing w:after="0" w:line="360" w:lineRule="auto"/>
        <w:jc w:val="both"/>
        <w:sectPr>
          <w:pgSz w:w="12240" w:h="15840"/>
          <w:pgMar w:header="0" w:footer="1382" w:top="1500" w:bottom="1580" w:left="1720" w:right="1420"/>
        </w:sectPr>
      </w:pPr>
    </w:p>
    <w:p>
      <w:pPr>
        <w:pStyle w:val="BodyText"/>
        <w:spacing w:before="1"/>
        <w:rPr>
          <w:sz w:val="26"/>
        </w:rPr>
      </w:pPr>
    </w:p>
    <w:p>
      <w:pPr>
        <w:pStyle w:val="Heading1"/>
        <w:ind w:left="777" w:right="735"/>
        <w:jc w:val="center"/>
      </w:pPr>
      <w:bookmarkStart w:name="_bookmark1" w:id="2"/>
      <w:bookmarkEnd w:id="2"/>
      <w:r>
        <w:rPr>
          <w:b w:val="0"/>
        </w:rPr>
      </w:r>
      <w:r>
        <w:rPr/>
        <w:t>ABSTRACT</w:t>
      </w:r>
    </w:p>
    <w:p>
      <w:pPr>
        <w:pStyle w:val="BodyText"/>
        <w:spacing w:line="360" w:lineRule="auto" w:before="132"/>
        <w:ind w:left="152" w:right="101"/>
        <w:jc w:val="both"/>
      </w:pPr>
      <w:r>
        <w:rPr/>
        <w:t>Infectious</w:t>
      </w:r>
      <w:r>
        <w:rPr>
          <w:spacing w:val="-9"/>
        </w:rPr>
        <w:t> </w:t>
      </w:r>
      <w:r>
        <w:rPr/>
        <w:t>pancreatic</w:t>
      </w:r>
      <w:r>
        <w:rPr>
          <w:spacing w:val="-3"/>
        </w:rPr>
        <w:t> </w:t>
      </w:r>
      <w:r>
        <w:rPr/>
        <w:t>necrosis</w:t>
      </w:r>
      <w:r>
        <w:rPr>
          <w:spacing w:val="-4"/>
        </w:rPr>
        <w:t> </w:t>
      </w:r>
      <w:r>
        <w:rPr/>
        <w:t>virus</w:t>
      </w:r>
      <w:r>
        <w:rPr>
          <w:spacing w:val="-9"/>
        </w:rPr>
        <w:t> </w:t>
      </w:r>
      <w:r>
        <w:rPr/>
        <w:t>(IPNV)</w:t>
      </w:r>
      <w:r>
        <w:rPr>
          <w:spacing w:val="-5"/>
        </w:rPr>
        <w:t> </w:t>
      </w:r>
      <w:r>
        <w:rPr>
          <w:spacing w:val="-3"/>
        </w:rPr>
        <w:t>is</w:t>
      </w:r>
      <w:r>
        <w:rPr>
          <w:spacing w:val="-9"/>
        </w:rPr>
        <w:t> </w:t>
      </w:r>
      <w:r>
        <w:rPr/>
        <w:t>an</w:t>
      </w:r>
      <w:r>
        <w:rPr>
          <w:spacing w:val="-12"/>
        </w:rPr>
        <w:t> </w:t>
      </w:r>
      <w:r>
        <w:rPr/>
        <w:t>aquabirnavirus</w:t>
      </w:r>
      <w:r>
        <w:rPr>
          <w:spacing w:val="-4"/>
        </w:rPr>
        <w:t> </w:t>
      </w:r>
      <w:r>
        <w:rPr/>
        <w:t>member</w:t>
      </w:r>
      <w:r>
        <w:rPr>
          <w:spacing w:val="-5"/>
        </w:rPr>
        <w:t> </w:t>
      </w:r>
      <w:r>
        <w:rPr/>
        <w:t>of</w:t>
      </w:r>
      <w:r>
        <w:rPr>
          <w:spacing w:val="-15"/>
        </w:rPr>
        <w:t> </w:t>
      </w:r>
      <w:r>
        <w:rPr/>
        <w:t>the</w:t>
      </w:r>
      <w:r>
        <w:rPr>
          <w:spacing w:val="-8"/>
        </w:rPr>
        <w:t> </w:t>
      </w:r>
      <w:r>
        <w:rPr/>
        <w:t>Birnaviridae family that causes an emerging disease, which affects predominantly salmonids. The IPNV genome </w:t>
      </w:r>
      <w:r>
        <w:rPr>
          <w:spacing w:val="-3"/>
        </w:rPr>
        <w:t>is </w:t>
      </w:r>
      <w:r>
        <w:rPr/>
        <w:t>composed by two segments of RNA, double-stranded (dsRNA) that encodes </w:t>
      </w:r>
      <w:r>
        <w:rPr>
          <w:spacing w:val="-4"/>
        </w:rPr>
        <w:t>five </w:t>
      </w:r>
      <w:r>
        <w:rPr/>
        <w:t>viral</w:t>
      </w:r>
      <w:r>
        <w:rPr>
          <w:spacing w:val="-15"/>
        </w:rPr>
        <w:t> </w:t>
      </w:r>
      <w:r>
        <w:rPr/>
        <w:t>proteins.</w:t>
      </w:r>
      <w:r>
        <w:rPr>
          <w:spacing w:val="-4"/>
        </w:rPr>
        <w:t> </w:t>
      </w:r>
      <w:r>
        <w:rPr/>
        <w:t>The</w:t>
      </w:r>
      <w:r>
        <w:rPr>
          <w:spacing w:val="-7"/>
        </w:rPr>
        <w:t> </w:t>
      </w:r>
      <w:r>
        <w:rPr/>
        <w:t>segment</w:t>
      </w:r>
      <w:r>
        <w:rPr>
          <w:spacing w:val="3"/>
        </w:rPr>
        <w:t> </w:t>
      </w:r>
      <w:r>
        <w:rPr/>
        <w:t>A</w:t>
      </w:r>
      <w:r>
        <w:rPr>
          <w:spacing w:val="-11"/>
        </w:rPr>
        <w:t> </w:t>
      </w:r>
      <w:r>
        <w:rPr/>
        <w:t>encodes</w:t>
      </w:r>
      <w:r>
        <w:rPr>
          <w:spacing w:val="-8"/>
        </w:rPr>
        <w:t> </w:t>
      </w:r>
      <w:r>
        <w:rPr/>
        <w:t>VP2,</w:t>
      </w:r>
      <w:r>
        <w:rPr>
          <w:spacing w:val="-3"/>
        </w:rPr>
        <w:t> </w:t>
      </w:r>
      <w:r>
        <w:rPr/>
        <w:t>VP3,</w:t>
      </w:r>
      <w:r>
        <w:rPr>
          <w:spacing w:val="-9"/>
        </w:rPr>
        <w:t> </w:t>
      </w:r>
      <w:r>
        <w:rPr/>
        <w:t>VP4</w:t>
      </w:r>
      <w:r>
        <w:rPr>
          <w:spacing w:val="-5"/>
        </w:rPr>
        <w:t> </w:t>
      </w:r>
      <w:r>
        <w:rPr/>
        <w:t>and</w:t>
      </w:r>
      <w:r>
        <w:rPr>
          <w:spacing w:val="-6"/>
        </w:rPr>
        <w:t> </w:t>
      </w:r>
      <w:r>
        <w:rPr/>
        <w:t>VP5,</w:t>
      </w:r>
      <w:r>
        <w:rPr>
          <w:spacing w:val="-1"/>
        </w:rPr>
        <w:t> </w:t>
      </w:r>
      <w:r>
        <w:rPr/>
        <w:t>while</w:t>
      </w:r>
      <w:r>
        <w:rPr>
          <w:spacing w:val="-7"/>
        </w:rPr>
        <w:t> </w:t>
      </w:r>
      <w:r>
        <w:rPr/>
        <w:t>B</w:t>
      </w:r>
      <w:r>
        <w:rPr>
          <w:spacing w:val="-8"/>
        </w:rPr>
        <w:t> </w:t>
      </w:r>
      <w:r>
        <w:rPr/>
        <w:t>encodes</w:t>
      </w:r>
      <w:r>
        <w:rPr>
          <w:spacing w:val="-8"/>
        </w:rPr>
        <w:t> </w:t>
      </w:r>
      <w:r>
        <w:rPr/>
        <w:t>only</w:t>
      </w:r>
      <w:r>
        <w:rPr>
          <w:spacing w:val="-11"/>
        </w:rPr>
        <w:t> </w:t>
      </w:r>
      <w:r>
        <w:rPr/>
        <w:t>VP1. These proteins can activate or </w:t>
      </w:r>
      <w:r>
        <w:rPr>
          <w:spacing w:val="-3"/>
        </w:rPr>
        <w:t>inhibit </w:t>
      </w:r>
      <w:r>
        <w:rPr/>
        <w:t>certain mechanisms </w:t>
      </w:r>
      <w:r>
        <w:rPr>
          <w:spacing w:val="4"/>
        </w:rPr>
        <w:t>of </w:t>
      </w:r>
      <w:r>
        <w:rPr/>
        <w:t>the immune system including the expression of interferon-stimulated genes (ISGs) IFN type-I(</w:t>
      </w:r>
      <w:r>
        <w:rPr>
          <w:i/>
        </w:rPr>
        <w:t>α</w:t>
      </w:r>
      <w:r>
        <w:rPr/>
        <w:t>), which </w:t>
      </w:r>
      <w:r>
        <w:rPr>
          <w:spacing w:val="-3"/>
        </w:rPr>
        <w:t>is </w:t>
      </w:r>
      <w:r>
        <w:rPr/>
        <w:t>considered the first </w:t>
      </w:r>
      <w:r>
        <w:rPr>
          <w:spacing w:val="-3"/>
        </w:rPr>
        <w:t>line </w:t>
      </w:r>
      <w:r>
        <w:rPr>
          <w:spacing w:val="4"/>
        </w:rPr>
        <w:t>of </w:t>
      </w:r>
      <w:r>
        <w:rPr/>
        <w:t>defense against viral infection </w:t>
      </w:r>
      <w:r>
        <w:rPr>
          <w:spacing w:val="-3"/>
        </w:rPr>
        <w:t>in </w:t>
      </w:r>
      <w:r>
        <w:rPr/>
        <w:t>teleost. The JAK-STAT pathway and transcription factors associated with the family </w:t>
      </w:r>
      <w:r>
        <w:rPr>
          <w:spacing w:val="4"/>
        </w:rPr>
        <w:t>of </w:t>
      </w:r>
      <w:r>
        <w:rPr/>
        <w:t>STAT proteins have been well studied in mammals but poorly </w:t>
      </w:r>
      <w:r>
        <w:rPr>
          <w:spacing w:val="-3"/>
        </w:rPr>
        <w:t>in </w:t>
      </w:r>
      <w:r>
        <w:rPr/>
        <w:t>teleost. It </w:t>
      </w:r>
      <w:r>
        <w:rPr>
          <w:spacing w:val="-3"/>
        </w:rPr>
        <w:t>is </w:t>
      </w:r>
      <w:r>
        <w:rPr/>
        <w:t>well known that change </w:t>
      </w:r>
      <w:r>
        <w:rPr>
          <w:spacing w:val="-3"/>
        </w:rPr>
        <w:t>in </w:t>
      </w:r>
      <w:r>
        <w:rPr/>
        <w:t>water temperature has an impact on rainbow trout physiology including their metabolic rate. Additionally, immune- related functions such as endocytosis, immune gene transcription, immunoglobulins concentration, and C-reactive protein were reported </w:t>
      </w:r>
      <w:r>
        <w:rPr>
          <w:spacing w:val="-3"/>
        </w:rPr>
        <w:t>be </w:t>
      </w:r>
      <w:r>
        <w:rPr/>
        <w:t>dependent on the ambient temperature. For </w:t>
      </w:r>
      <w:r>
        <w:rPr>
          <w:color w:val="202020"/>
        </w:rPr>
        <w:t>studing the specific immune response mediated by interferon type I </w:t>
      </w:r>
      <w:r>
        <w:rPr>
          <w:color w:val="202020"/>
          <w:spacing w:val="-3"/>
        </w:rPr>
        <w:t>in </w:t>
      </w:r>
      <w:r>
        <w:rPr>
          <w:color w:val="202020"/>
        </w:rPr>
        <w:t>salmonids</w:t>
      </w:r>
      <w:r>
        <w:rPr>
          <w:color w:val="202020"/>
          <w:spacing w:val="-3"/>
        </w:rPr>
        <w:t> </w:t>
      </w:r>
      <w:r>
        <w:rPr>
          <w:color w:val="202020"/>
        </w:rPr>
        <w:t>infected</w:t>
      </w:r>
      <w:r>
        <w:rPr>
          <w:color w:val="202020"/>
          <w:spacing w:val="-6"/>
        </w:rPr>
        <w:t> </w:t>
      </w:r>
      <w:r>
        <w:rPr>
          <w:color w:val="202020"/>
        </w:rPr>
        <w:t>with</w:t>
      </w:r>
      <w:r>
        <w:rPr>
          <w:color w:val="202020"/>
          <w:spacing w:val="-11"/>
        </w:rPr>
        <w:t> </w:t>
      </w:r>
      <w:r>
        <w:rPr>
          <w:color w:val="202020"/>
        </w:rPr>
        <w:t>IPNV,</w:t>
      </w:r>
      <w:r>
        <w:rPr>
          <w:color w:val="202020"/>
          <w:spacing w:val="-4"/>
        </w:rPr>
        <w:t> </w:t>
      </w:r>
      <w:r>
        <w:rPr>
          <w:color w:val="202020"/>
        </w:rPr>
        <w:t>we</w:t>
      </w:r>
      <w:r>
        <w:rPr>
          <w:color w:val="202020"/>
          <w:spacing w:val="-7"/>
        </w:rPr>
        <w:t> </w:t>
      </w:r>
      <w:r>
        <w:rPr>
          <w:color w:val="202020"/>
          <w:spacing w:val="-4"/>
        </w:rPr>
        <w:t>did</w:t>
      </w:r>
      <w:r>
        <w:rPr>
          <w:color w:val="202020"/>
          <w:spacing w:val="-6"/>
        </w:rPr>
        <w:t> </w:t>
      </w:r>
      <w:r>
        <w:rPr>
          <w:color w:val="202020"/>
        </w:rPr>
        <w:t>a</w:t>
      </w:r>
      <w:r>
        <w:rPr>
          <w:color w:val="202020"/>
          <w:spacing w:val="-2"/>
        </w:rPr>
        <w:t> </w:t>
      </w:r>
      <w:r>
        <w:rPr>
          <w:color w:val="202020"/>
          <w:spacing w:val="-3"/>
        </w:rPr>
        <w:t>first</w:t>
      </w:r>
      <w:r>
        <w:rPr>
          <w:color w:val="202020"/>
          <w:spacing w:val="-1"/>
        </w:rPr>
        <w:t> </w:t>
      </w:r>
      <w:r>
        <w:rPr>
          <w:color w:val="202020"/>
        </w:rPr>
        <w:t>experiment</w:t>
      </w:r>
      <w:r>
        <w:rPr>
          <w:color w:val="202020"/>
          <w:spacing w:val="-1"/>
        </w:rPr>
        <w:t> </w:t>
      </w:r>
      <w:r>
        <w:rPr>
          <w:color w:val="202020"/>
        </w:rPr>
        <w:t>(</w:t>
      </w:r>
      <w:r>
        <w:rPr>
          <w:i/>
          <w:color w:val="202020"/>
        </w:rPr>
        <w:t>in</w:t>
      </w:r>
      <w:r>
        <w:rPr>
          <w:i/>
          <w:color w:val="202020"/>
          <w:spacing w:val="-5"/>
        </w:rPr>
        <w:t> </w:t>
      </w:r>
      <w:r>
        <w:rPr>
          <w:i/>
          <w:color w:val="202020"/>
        </w:rPr>
        <w:t>viv</w:t>
      </w:r>
      <w:r>
        <w:rPr>
          <w:color w:val="202020"/>
        </w:rPr>
        <w:t>o)</w:t>
      </w:r>
      <w:r>
        <w:rPr>
          <w:color w:val="202020"/>
          <w:spacing w:val="-4"/>
        </w:rPr>
        <w:t> </w:t>
      </w:r>
      <w:r>
        <w:rPr>
          <w:color w:val="202020"/>
        </w:rPr>
        <w:t>infecting</w:t>
      </w:r>
      <w:r>
        <w:rPr>
          <w:color w:val="202020"/>
          <w:spacing w:val="-6"/>
        </w:rPr>
        <w:t> </w:t>
      </w:r>
      <w:r>
        <w:rPr>
          <w:color w:val="202020"/>
        </w:rPr>
        <w:t>trout</w:t>
      </w:r>
      <w:r>
        <w:rPr>
          <w:color w:val="202020"/>
          <w:spacing w:val="-5"/>
        </w:rPr>
        <w:t> </w:t>
      </w:r>
      <w:r>
        <w:rPr>
          <w:color w:val="202020"/>
        </w:rPr>
        <w:t>fry</w:t>
      </w:r>
      <w:r>
        <w:rPr>
          <w:color w:val="202020"/>
          <w:spacing w:val="-14"/>
        </w:rPr>
        <w:t> </w:t>
      </w:r>
      <w:r>
        <w:rPr>
          <w:color w:val="202020"/>
          <w:spacing w:val="2"/>
        </w:rPr>
        <w:t>to</w:t>
      </w:r>
      <w:r>
        <w:rPr>
          <w:color w:val="202020"/>
          <w:spacing w:val="-1"/>
        </w:rPr>
        <w:t> </w:t>
      </w:r>
      <w:r>
        <w:rPr>
          <w:color w:val="202020"/>
        </w:rPr>
        <w:t>know the effect of temperature on the interferon response. A second study was done </w:t>
      </w:r>
      <w:r>
        <w:rPr>
          <w:i/>
          <w:color w:val="202020"/>
        </w:rPr>
        <w:t>in vitro </w:t>
      </w:r>
      <w:r>
        <w:rPr>
          <w:color w:val="202020"/>
        </w:rPr>
        <w:t>infecting (RTG- 2 </w:t>
      </w:r>
      <w:r>
        <w:rPr>
          <w:color w:val="202020"/>
          <w:spacing w:val="-3"/>
        </w:rPr>
        <w:t>cells) </w:t>
      </w:r>
      <w:r>
        <w:rPr>
          <w:color w:val="202020"/>
          <w:spacing w:val="2"/>
        </w:rPr>
        <w:t>to </w:t>
      </w:r>
      <w:r>
        <w:rPr>
          <w:color w:val="202020"/>
        </w:rPr>
        <w:t>determine the effect of the IPNV virulence on activation </w:t>
      </w:r>
      <w:r>
        <w:rPr>
          <w:color w:val="202020"/>
          <w:spacing w:val="4"/>
        </w:rPr>
        <w:t>of </w:t>
      </w:r>
      <w:r>
        <w:rPr>
          <w:color w:val="202020"/>
        </w:rPr>
        <w:t>Y- 701 STAT1(α/β). According to the experiments conducted, clinical disease and mortality occurred </w:t>
      </w:r>
      <w:r>
        <w:rPr>
          <w:color w:val="202020"/>
          <w:spacing w:val="-3"/>
        </w:rPr>
        <w:t>at </w:t>
      </w:r>
      <w:r>
        <w:rPr>
          <w:color w:val="202020"/>
        </w:rPr>
        <w:t>12°C with 100 % mortality from day 6 </w:t>
      </w:r>
      <w:r>
        <w:rPr>
          <w:color w:val="202020"/>
          <w:spacing w:val="-3"/>
        </w:rPr>
        <w:t>in </w:t>
      </w:r>
      <w:r>
        <w:rPr>
          <w:color w:val="202020"/>
        </w:rPr>
        <w:t>fish exposed, showing the mRNA of STAT-1 a decreased after day 11 compared with the expressions obtained 8 and 16°C. Further, IFN-I(α) decreased </w:t>
      </w:r>
      <w:r>
        <w:rPr>
          <w:color w:val="202020"/>
          <w:spacing w:val="-3"/>
        </w:rPr>
        <w:t>at </w:t>
      </w:r>
      <w:r>
        <w:rPr>
          <w:color w:val="202020"/>
        </w:rPr>
        <w:t>21 </w:t>
      </w:r>
      <w:r>
        <w:rPr>
          <w:color w:val="202020"/>
          <w:spacing w:val="-3"/>
        </w:rPr>
        <w:t>days </w:t>
      </w:r>
      <w:r>
        <w:rPr>
          <w:color w:val="202020"/>
        </w:rPr>
        <w:t>compared to the values obtained </w:t>
      </w:r>
      <w:r>
        <w:rPr>
          <w:color w:val="202020"/>
          <w:spacing w:val="-3"/>
        </w:rPr>
        <w:t>in </w:t>
      </w:r>
      <w:r>
        <w:rPr>
          <w:color w:val="202020"/>
        </w:rPr>
        <w:t>fish infected </w:t>
      </w:r>
      <w:r>
        <w:rPr>
          <w:color w:val="202020"/>
          <w:spacing w:val="-3"/>
        </w:rPr>
        <w:t>at </w:t>
      </w:r>
      <w:r>
        <w:rPr>
          <w:color w:val="202020"/>
        </w:rPr>
        <w:t>16°C. Mx-1 was increased on days 2, 4, 7 and 14, compared with the values obtained at 8 and 16 </w:t>
      </w:r>
      <w:r>
        <w:rPr>
          <w:color w:val="202020"/>
          <w:spacing w:val="-3"/>
        </w:rPr>
        <w:t>°C, </w:t>
      </w:r>
      <w:r>
        <w:rPr>
          <w:color w:val="202020"/>
        </w:rPr>
        <w:t>but was unable to exert its biological activity reported. Infected fish at 16°C showed normal and with appetite during the experiment. In our second experimentation, serotype Sp showed a </w:t>
      </w:r>
      <w:r>
        <w:rPr>
          <w:color w:val="202020"/>
          <w:spacing w:val="-2"/>
        </w:rPr>
        <w:t>higher </w:t>
      </w:r>
      <w:r>
        <w:rPr>
          <w:color w:val="202020"/>
        </w:rPr>
        <w:t>replication level compared with VR-299, except at 60 </w:t>
      </w:r>
      <w:r>
        <w:rPr>
          <w:color w:val="202020"/>
          <w:spacing w:val="-4"/>
        </w:rPr>
        <w:t>hpi.</w:t>
      </w:r>
      <w:r>
        <w:rPr>
          <w:color w:val="202020"/>
          <w:spacing w:val="52"/>
        </w:rPr>
        <w:t> </w:t>
      </w:r>
      <w:r>
        <w:rPr>
          <w:color w:val="202020"/>
        </w:rPr>
        <w:t>However, contrary </w:t>
      </w:r>
      <w:r>
        <w:rPr>
          <w:color w:val="202020"/>
          <w:spacing w:val="2"/>
        </w:rPr>
        <w:t>to </w:t>
      </w:r>
      <w:r>
        <w:rPr>
          <w:color w:val="202020"/>
        </w:rPr>
        <w:t>the hypothesized; the IFN-I(α) expression was higher </w:t>
      </w:r>
      <w:r>
        <w:rPr>
          <w:color w:val="202020"/>
          <w:spacing w:val="-3"/>
        </w:rPr>
        <w:t>in </w:t>
      </w:r>
      <w:r>
        <w:rPr>
          <w:color w:val="202020"/>
        </w:rPr>
        <w:t>infected cells with</w:t>
      </w:r>
      <w:r>
        <w:rPr>
          <w:color w:val="202020"/>
          <w:spacing w:val="-11"/>
        </w:rPr>
        <w:t> </w:t>
      </w:r>
      <w:r>
        <w:rPr>
          <w:color w:val="202020"/>
        </w:rPr>
        <w:t>serotype</w:t>
      </w:r>
      <w:r>
        <w:rPr>
          <w:color w:val="202020"/>
          <w:spacing w:val="-7"/>
        </w:rPr>
        <w:t> </w:t>
      </w:r>
      <w:r>
        <w:rPr>
          <w:color w:val="202020"/>
        </w:rPr>
        <w:t>Sp</w:t>
      </w:r>
      <w:r>
        <w:rPr>
          <w:color w:val="202020"/>
          <w:spacing w:val="-4"/>
        </w:rPr>
        <w:t> </w:t>
      </w:r>
      <w:r>
        <w:rPr>
          <w:color w:val="202020"/>
        </w:rPr>
        <w:t>virus,</w:t>
      </w:r>
      <w:r>
        <w:rPr>
          <w:color w:val="202020"/>
          <w:spacing w:val="-4"/>
        </w:rPr>
        <w:t> </w:t>
      </w:r>
      <w:r>
        <w:rPr>
          <w:color w:val="202020"/>
        </w:rPr>
        <w:t>suggesting</w:t>
      </w:r>
      <w:r>
        <w:rPr>
          <w:color w:val="202020"/>
          <w:spacing w:val="-6"/>
        </w:rPr>
        <w:t> </w:t>
      </w:r>
      <w:r>
        <w:rPr>
          <w:color w:val="202020"/>
        </w:rPr>
        <w:t>a</w:t>
      </w:r>
      <w:r>
        <w:rPr>
          <w:color w:val="202020"/>
          <w:spacing w:val="-3"/>
        </w:rPr>
        <w:t> </w:t>
      </w:r>
      <w:r>
        <w:rPr>
          <w:color w:val="202020"/>
        </w:rPr>
        <w:t>lineal</w:t>
      </w:r>
      <w:r>
        <w:rPr>
          <w:color w:val="202020"/>
          <w:spacing w:val="-15"/>
        </w:rPr>
        <w:t> </w:t>
      </w:r>
      <w:r>
        <w:rPr>
          <w:color w:val="202020"/>
        </w:rPr>
        <w:t>positive</w:t>
      </w:r>
      <w:r>
        <w:rPr>
          <w:color w:val="202020"/>
          <w:spacing w:val="-7"/>
        </w:rPr>
        <w:t> </w:t>
      </w:r>
      <w:r>
        <w:rPr>
          <w:color w:val="202020"/>
        </w:rPr>
        <w:t>correlation</w:t>
      </w:r>
      <w:r>
        <w:rPr>
          <w:color w:val="202020"/>
          <w:spacing w:val="-11"/>
        </w:rPr>
        <w:t> </w:t>
      </w:r>
      <w:r>
        <w:rPr>
          <w:color w:val="202020"/>
        </w:rPr>
        <w:t>between</w:t>
      </w:r>
      <w:r>
        <w:rPr>
          <w:color w:val="202020"/>
          <w:spacing w:val="-11"/>
        </w:rPr>
        <w:t> </w:t>
      </w:r>
      <w:r>
        <w:rPr>
          <w:color w:val="202020"/>
        </w:rPr>
        <w:t>strain</w:t>
      </w:r>
      <w:r>
        <w:rPr>
          <w:color w:val="202020"/>
          <w:spacing w:val="-11"/>
        </w:rPr>
        <w:t> </w:t>
      </w:r>
      <w:r>
        <w:rPr>
          <w:color w:val="202020"/>
        </w:rPr>
        <w:t>virulences</w:t>
      </w:r>
      <w:r>
        <w:rPr>
          <w:color w:val="202020"/>
          <w:spacing w:val="-8"/>
        </w:rPr>
        <w:t> </w:t>
      </w:r>
      <w:r>
        <w:rPr>
          <w:color w:val="202020"/>
        </w:rPr>
        <w:t>and alpha interferon immune response. </w:t>
      </w:r>
      <w:r>
        <w:rPr/>
        <w:t>Although the </w:t>
      </w:r>
      <w:r>
        <w:rPr>
          <w:color w:val="202020"/>
        </w:rPr>
        <w:t>IFN-I(α) </w:t>
      </w:r>
      <w:r>
        <w:rPr/>
        <w:t>mRNA decreased during the experiment.</w:t>
      </w:r>
      <w:r>
        <w:rPr>
          <w:spacing w:val="-9"/>
        </w:rPr>
        <w:t> </w:t>
      </w:r>
      <w:r>
        <w:rPr/>
        <w:t>Interestingly,</w:t>
      </w:r>
      <w:r>
        <w:rPr>
          <w:spacing w:val="-11"/>
        </w:rPr>
        <w:t> </w:t>
      </w:r>
      <w:r>
        <w:rPr/>
        <w:t>the</w:t>
      </w:r>
      <w:r>
        <w:rPr>
          <w:spacing w:val="-9"/>
        </w:rPr>
        <w:t> </w:t>
      </w:r>
      <w:r>
        <w:rPr/>
        <w:t>Mx-1</w:t>
      </w:r>
      <w:r>
        <w:rPr>
          <w:spacing w:val="-8"/>
        </w:rPr>
        <w:t> </w:t>
      </w:r>
      <w:r>
        <w:rPr/>
        <w:t>transcript</w:t>
      </w:r>
      <w:r>
        <w:rPr>
          <w:spacing w:val="-7"/>
        </w:rPr>
        <w:t> </w:t>
      </w:r>
      <w:r>
        <w:rPr/>
        <w:t>level</w:t>
      </w:r>
      <w:r>
        <w:rPr>
          <w:spacing w:val="-7"/>
        </w:rPr>
        <w:t> </w:t>
      </w:r>
      <w:r>
        <w:rPr/>
        <w:t>between</w:t>
      </w:r>
      <w:r>
        <w:rPr>
          <w:spacing w:val="-12"/>
        </w:rPr>
        <w:t> </w:t>
      </w:r>
      <w:r>
        <w:rPr/>
        <w:t>both</w:t>
      </w:r>
      <w:r>
        <w:rPr>
          <w:spacing w:val="-12"/>
        </w:rPr>
        <w:t> </w:t>
      </w:r>
      <w:r>
        <w:rPr/>
        <w:t>strains</w:t>
      </w:r>
      <w:r>
        <w:rPr>
          <w:spacing w:val="-10"/>
        </w:rPr>
        <w:t> </w:t>
      </w:r>
      <w:r>
        <w:rPr/>
        <w:t>was</w:t>
      </w:r>
      <w:r>
        <w:rPr>
          <w:spacing w:val="-10"/>
        </w:rPr>
        <w:t> </w:t>
      </w:r>
      <w:r>
        <w:rPr/>
        <w:t>similar. In</w:t>
      </w:r>
      <w:r>
        <w:rPr>
          <w:spacing w:val="-12"/>
        </w:rPr>
        <w:t> </w:t>
      </w:r>
      <w:r>
        <w:rPr>
          <w:spacing w:val="-3"/>
        </w:rPr>
        <w:t>cells</w:t>
      </w:r>
    </w:p>
    <w:p>
      <w:pPr>
        <w:spacing w:after="0" w:line="360" w:lineRule="auto"/>
        <w:jc w:val="both"/>
        <w:sectPr>
          <w:pgSz w:w="12240" w:h="15840"/>
          <w:pgMar w:header="0" w:footer="1382" w:top="1500" w:bottom="1580" w:left="1720" w:right="1420"/>
        </w:sectPr>
      </w:pPr>
    </w:p>
    <w:p>
      <w:pPr>
        <w:pStyle w:val="BodyText"/>
        <w:spacing w:before="7"/>
        <w:rPr>
          <w:sz w:val="25"/>
        </w:rPr>
      </w:pPr>
    </w:p>
    <w:p>
      <w:pPr>
        <w:pStyle w:val="BodyText"/>
        <w:spacing w:line="360" w:lineRule="auto" w:before="70"/>
        <w:ind w:left="152" w:right="106"/>
        <w:jc w:val="both"/>
      </w:pPr>
      <w:r>
        <w:rPr/>
        <w:t>infected with serotype Sp virus, the level of 701-tyrosine STAT1(α/β) activation showed a significant increase at 4, 8, 12 y 24 hpi compared to activation level registered in infected cells with serotype VR-299 virus. Our results showed that IPNV inhibits IFN-I(α) signaling and some ISGs interfering the JAK-STAT pathway. However, IPNV does not block the phosphorylation of 701-tyrosine STAT1(α/β), contrary to other RNA viruses.</w:t>
      </w:r>
    </w:p>
    <w:p>
      <w:pPr>
        <w:spacing w:after="0" w:line="360" w:lineRule="auto"/>
        <w:jc w:val="both"/>
        <w:sectPr>
          <w:pgSz w:w="12240" w:h="15840"/>
          <w:pgMar w:header="0" w:footer="1382" w:top="1500" w:bottom="1580" w:left="1720" w:right="1420"/>
        </w:sectPr>
      </w:pPr>
    </w:p>
    <w:p>
      <w:pPr>
        <w:pStyle w:val="BodyText"/>
        <w:spacing w:before="1"/>
        <w:rPr>
          <w:sz w:val="26"/>
        </w:rPr>
      </w:pPr>
    </w:p>
    <w:p>
      <w:pPr>
        <w:pStyle w:val="Heading1"/>
        <w:ind w:left="773" w:right="735"/>
        <w:jc w:val="center"/>
      </w:pPr>
      <w:bookmarkStart w:name="_bookmark2" w:id="3"/>
      <w:bookmarkEnd w:id="3"/>
      <w:r>
        <w:rPr>
          <w:b w:val="0"/>
        </w:rPr>
      </w:r>
      <w:r>
        <w:rPr/>
        <w:t>AGRADECIMIENTOS</w:t>
      </w:r>
    </w:p>
    <w:p>
      <w:pPr>
        <w:pStyle w:val="BodyText"/>
        <w:rPr>
          <w:b/>
        </w:rPr>
      </w:pPr>
    </w:p>
    <w:p>
      <w:pPr>
        <w:pStyle w:val="BodyText"/>
        <w:spacing w:before="9"/>
        <w:rPr>
          <w:b/>
          <w:sz w:val="18"/>
        </w:rPr>
      </w:pPr>
    </w:p>
    <w:p>
      <w:pPr>
        <w:spacing w:line="312" w:lineRule="auto" w:before="0"/>
        <w:ind w:left="152" w:right="101" w:firstLine="0"/>
        <w:jc w:val="both"/>
        <w:rPr>
          <w:sz w:val="24"/>
        </w:rPr>
      </w:pPr>
      <w:r>
        <w:rPr>
          <w:sz w:val="24"/>
        </w:rPr>
        <w:t>Al convenio de cooperación entre el </w:t>
      </w:r>
      <w:r>
        <w:rPr>
          <w:b/>
          <w:sz w:val="24"/>
        </w:rPr>
        <w:t>Consejo Nacional de Ciencia y Tecnología </w:t>
      </w:r>
      <w:r>
        <w:rPr>
          <w:sz w:val="24"/>
        </w:rPr>
        <w:t>y </w:t>
      </w:r>
      <w:r>
        <w:rPr>
          <w:spacing w:val="4"/>
          <w:sz w:val="24"/>
        </w:rPr>
        <w:t>el </w:t>
      </w:r>
      <w:r>
        <w:rPr>
          <w:b/>
          <w:sz w:val="24"/>
        </w:rPr>
        <w:t>Instituto de Cooperación para </w:t>
      </w:r>
      <w:r>
        <w:rPr>
          <w:b/>
          <w:spacing w:val="-3"/>
          <w:sz w:val="24"/>
        </w:rPr>
        <w:t>la </w:t>
      </w:r>
      <w:r>
        <w:rPr>
          <w:b/>
          <w:sz w:val="24"/>
        </w:rPr>
        <w:t>Agricultura </w:t>
      </w:r>
      <w:r>
        <w:rPr>
          <w:sz w:val="24"/>
        </w:rPr>
        <w:t>(CONACYT-IICA) por </w:t>
      </w:r>
      <w:r>
        <w:rPr>
          <w:spacing w:val="-5"/>
          <w:sz w:val="24"/>
        </w:rPr>
        <w:t>la </w:t>
      </w:r>
      <w:r>
        <w:rPr>
          <w:sz w:val="24"/>
        </w:rPr>
        <w:t>beca con</w:t>
      </w:r>
      <w:r>
        <w:rPr>
          <w:spacing w:val="-40"/>
          <w:sz w:val="24"/>
        </w:rPr>
        <w:t> </w:t>
      </w:r>
      <w:r>
        <w:rPr>
          <w:sz w:val="24"/>
        </w:rPr>
        <w:t>número de </w:t>
      </w:r>
      <w:r>
        <w:rPr>
          <w:color w:val="202020"/>
          <w:sz w:val="24"/>
        </w:rPr>
        <w:t>registro No. </w:t>
      </w:r>
      <w:r>
        <w:rPr>
          <w:sz w:val="24"/>
        </w:rPr>
        <w:t>283454 otorgada durante el periodo 08/08/2012 al 31/07/2015 para realizar mis estudios de</w:t>
      </w:r>
      <w:r>
        <w:rPr>
          <w:spacing w:val="-7"/>
          <w:sz w:val="24"/>
        </w:rPr>
        <w:t> </w:t>
      </w:r>
      <w:r>
        <w:rPr>
          <w:sz w:val="24"/>
        </w:rPr>
        <w:t>doctorado.</w:t>
      </w:r>
    </w:p>
    <w:p>
      <w:pPr>
        <w:spacing w:line="309" w:lineRule="auto" w:before="4"/>
        <w:ind w:left="152" w:right="109" w:firstLine="0"/>
        <w:jc w:val="both"/>
        <w:rPr>
          <w:sz w:val="24"/>
        </w:rPr>
      </w:pPr>
      <w:r>
        <w:rPr>
          <w:sz w:val="24"/>
        </w:rPr>
        <w:t>A la </w:t>
      </w:r>
      <w:r>
        <w:rPr>
          <w:b/>
          <w:sz w:val="24"/>
        </w:rPr>
        <w:t>Universidad Técnica Nacional (UTN) </w:t>
      </w:r>
      <w:r>
        <w:rPr>
          <w:sz w:val="24"/>
        </w:rPr>
        <w:t>mi lugar de trabajo por haberme otorgado una beca laboral para realizar mis estudios de doctorado.</w:t>
      </w:r>
    </w:p>
    <w:p>
      <w:pPr>
        <w:spacing w:line="312" w:lineRule="auto" w:before="7"/>
        <w:ind w:left="152" w:right="110" w:firstLine="0"/>
        <w:jc w:val="both"/>
        <w:rPr>
          <w:sz w:val="24"/>
        </w:rPr>
      </w:pPr>
      <w:r>
        <w:rPr>
          <w:sz w:val="24"/>
        </w:rPr>
        <w:t>A </w:t>
      </w:r>
      <w:r>
        <w:rPr>
          <w:spacing w:val="-3"/>
          <w:sz w:val="24"/>
        </w:rPr>
        <w:t>la </w:t>
      </w:r>
      <w:r>
        <w:rPr>
          <w:b/>
          <w:sz w:val="24"/>
        </w:rPr>
        <w:t>Universidad Autónoma del Estado de México </w:t>
      </w:r>
      <w:r>
        <w:rPr>
          <w:sz w:val="24"/>
        </w:rPr>
        <w:t>y a </w:t>
      </w:r>
      <w:r>
        <w:rPr>
          <w:spacing w:val="-5"/>
          <w:sz w:val="24"/>
        </w:rPr>
        <w:t>la </w:t>
      </w:r>
      <w:r>
        <w:rPr>
          <w:b/>
          <w:sz w:val="24"/>
        </w:rPr>
        <w:t>Secretaria de Investigación y Estudios</w:t>
      </w:r>
      <w:r>
        <w:rPr>
          <w:b/>
          <w:spacing w:val="-17"/>
          <w:sz w:val="24"/>
        </w:rPr>
        <w:t> </w:t>
      </w:r>
      <w:r>
        <w:rPr>
          <w:b/>
          <w:sz w:val="24"/>
        </w:rPr>
        <w:t>Avanzados</w:t>
      </w:r>
      <w:r>
        <w:rPr>
          <w:b/>
          <w:spacing w:val="-16"/>
          <w:sz w:val="24"/>
        </w:rPr>
        <w:t> </w:t>
      </w:r>
      <w:r>
        <w:rPr>
          <w:sz w:val="24"/>
        </w:rPr>
        <w:t>por</w:t>
      </w:r>
      <w:r>
        <w:rPr>
          <w:spacing w:val="-13"/>
          <w:sz w:val="24"/>
        </w:rPr>
        <w:t> </w:t>
      </w:r>
      <w:r>
        <w:rPr>
          <w:sz w:val="24"/>
        </w:rPr>
        <w:t>el</w:t>
      </w:r>
      <w:r>
        <w:rPr>
          <w:spacing w:val="-24"/>
          <w:sz w:val="24"/>
        </w:rPr>
        <w:t> </w:t>
      </w:r>
      <w:r>
        <w:rPr>
          <w:sz w:val="24"/>
        </w:rPr>
        <w:t>espacio</w:t>
      </w:r>
      <w:r>
        <w:rPr>
          <w:spacing w:val="-11"/>
          <w:sz w:val="24"/>
        </w:rPr>
        <w:t> </w:t>
      </w:r>
      <w:r>
        <w:rPr>
          <w:sz w:val="24"/>
        </w:rPr>
        <w:t>académico</w:t>
      </w:r>
      <w:r>
        <w:rPr>
          <w:spacing w:val="-9"/>
          <w:sz w:val="24"/>
        </w:rPr>
        <w:t> </w:t>
      </w:r>
      <w:r>
        <w:rPr>
          <w:sz w:val="24"/>
        </w:rPr>
        <w:t>otorgado</w:t>
      </w:r>
      <w:r>
        <w:rPr>
          <w:spacing w:val="-11"/>
          <w:sz w:val="24"/>
        </w:rPr>
        <w:t> </w:t>
      </w:r>
      <w:r>
        <w:rPr>
          <w:sz w:val="24"/>
        </w:rPr>
        <w:t>y</w:t>
      </w:r>
      <w:r>
        <w:rPr>
          <w:spacing w:val="-20"/>
          <w:sz w:val="24"/>
        </w:rPr>
        <w:t> </w:t>
      </w:r>
      <w:r>
        <w:rPr>
          <w:spacing w:val="-3"/>
          <w:sz w:val="24"/>
        </w:rPr>
        <w:t>las</w:t>
      </w:r>
      <w:r>
        <w:rPr>
          <w:spacing w:val="-13"/>
          <w:sz w:val="24"/>
        </w:rPr>
        <w:t> </w:t>
      </w:r>
      <w:r>
        <w:rPr>
          <w:sz w:val="24"/>
        </w:rPr>
        <w:t>instalaciones</w:t>
      </w:r>
      <w:r>
        <w:rPr>
          <w:spacing w:val="-18"/>
          <w:sz w:val="24"/>
        </w:rPr>
        <w:t> </w:t>
      </w:r>
      <w:r>
        <w:rPr>
          <w:sz w:val="24"/>
        </w:rPr>
        <w:t>para</w:t>
      </w:r>
      <w:r>
        <w:rPr>
          <w:spacing w:val="-12"/>
          <w:sz w:val="24"/>
        </w:rPr>
        <w:t> </w:t>
      </w:r>
      <w:r>
        <w:rPr>
          <w:spacing w:val="-3"/>
          <w:sz w:val="24"/>
        </w:rPr>
        <w:t>llevar</w:t>
      </w:r>
      <w:r>
        <w:rPr>
          <w:spacing w:val="-14"/>
          <w:sz w:val="24"/>
        </w:rPr>
        <w:t> </w:t>
      </w:r>
      <w:r>
        <w:rPr>
          <w:sz w:val="24"/>
        </w:rPr>
        <w:t>a</w:t>
      </w:r>
      <w:r>
        <w:rPr>
          <w:spacing w:val="-16"/>
          <w:sz w:val="24"/>
        </w:rPr>
        <w:t> </w:t>
      </w:r>
      <w:r>
        <w:rPr>
          <w:sz w:val="24"/>
        </w:rPr>
        <w:t>cabo las metodologías del</w:t>
      </w:r>
      <w:r>
        <w:rPr>
          <w:spacing w:val="-15"/>
          <w:sz w:val="24"/>
        </w:rPr>
        <w:t> </w:t>
      </w:r>
      <w:r>
        <w:rPr>
          <w:sz w:val="24"/>
        </w:rPr>
        <w:t>experimento.</w:t>
      </w:r>
    </w:p>
    <w:p>
      <w:pPr>
        <w:spacing w:line="312" w:lineRule="auto" w:before="0"/>
        <w:ind w:left="152" w:right="102" w:firstLine="0"/>
        <w:jc w:val="both"/>
        <w:rPr>
          <w:sz w:val="24"/>
        </w:rPr>
      </w:pPr>
      <w:r>
        <w:rPr>
          <w:sz w:val="24"/>
        </w:rPr>
        <w:t>Al </w:t>
      </w:r>
      <w:r>
        <w:rPr>
          <w:b/>
          <w:sz w:val="24"/>
        </w:rPr>
        <w:t>Centro de Investigación y Estudios Avanzados en Salud Animal </w:t>
      </w:r>
      <w:r>
        <w:rPr>
          <w:sz w:val="24"/>
        </w:rPr>
        <w:t>(CIESA) por todo el apoyo brindado en cuanto a infraestructura y equipo necesarios para la conclusión de este trabajo.</w:t>
      </w:r>
    </w:p>
    <w:p>
      <w:pPr>
        <w:pStyle w:val="BodyText"/>
        <w:spacing w:line="309" w:lineRule="auto" w:before="4"/>
        <w:ind w:left="152" w:right="111"/>
        <w:jc w:val="both"/>
      </w:pPr>
      <w:r>
        <w:rPr/>
        <w:t>Al </w:t>
      </w:r>
      <w:r>
        <w:rPr>
          <w:b/>
        </w:rPr>
        <w:t>Dr. César Ortega Santana </w:t>
      </w:r>
      <w:r>
        <w:rPr/>
        <w:t>mi tutor académico por darme la oportunidad de ser su estudiante y por todas sus enseñanzas que permitieron la conclusión de este trabajo.</w:t>
      </w:r>
    </w:p>
    <w:p>
      <w:pPr>
        <w:spacing w:line="312" w:lineRule="auto" w:before="7"/>
        <w:ind w:left="152" w:right="107" w:firstLine="0"/>
        <w:jc w:val="both"/>
        <w:rPr>
          <w:sz w:val="24"/>
        </w:rPr>
      </w:pPr>
      <w:r>
        <w:rPr>
          <w:sz w:val="24"/>
        </w:rPr>
        <w:t>Al </w:t>
      </w:r>
      <w:r>
        <w:rPr>
          <w:b/>
          <w:sz w:val="24"/>
        </w:rPr>
        <w:t>Dr. José Simón Martínez Castañeda </w:t>
      </w:r>
      <w:r>
        <w:rPr>
          <w:sz w:val="24"/>
        </w:rPr>
        <w:t>por sus consejos y observaciones, las cuales contribuyeron a la realización de este trabajo.</w:t>
      </w:r>
    </w:p>
    <w:p>
      <w:pPr>
        <w:pStyle w:val="BodyText"/>
        <w:spacing w:line="312" w:lineRule="auto" w:before="4"/>
        <w:ind w:left="152" w:right="108"/>
        <w:jc w:val="both"/>
      </w:pPr>
      <w:r>
        <w:rPr/>
        <w:t>Al </w:t>
      </w:r>
      <w:r>
        <w:rPr>
          <w:b/>
        </w:rPr>
        <w:t>Dr. Alex Romero Zúñiga </w:t>
      </w:r>
      <w:r>
        <w:rPr/>
        <w:t>por darme </w:t>
      </w:r>
      <w:r>
        <w:rPr>
          <w:spacing w:val="-5"/>
        </w:rPr>
        <w:t>la </w:t>
      </w:r>
      <w:r>
        <w:rPr/>
        <w:t>oportunidad de realizar una estancia en el Laboratorio de Biotecnología y Patología Acuática del Instituto de Patología Animal de </w:t>
      </w:r>
      <w:r>
        <w:rPr>
          <w:spacing w:val="-5"/>
        </w:rPr>
        <w:t>la </w:t>
      </w:r>
      <w:r>
        <w:rPr/>
        <w:t>UACh,</w:t>
      </w:r>
      <w:r>
        <w:rPr>
          <w:spacing w:val="-3"/>
        </w:rPr>
        <w:t> </w:t>
      </w:r>
      <w:r>
        <w:rPr/>
        <w:t>ciudad</w:t>
      </w:r>
      <w:r>
        <w:rPr>
          <w:spacing w:val="-5"/>
        </w:rPr>
        <w:t> </w:t>
      </w:r>
      <w:r>
        <w:rPr/>
        <w:t>de</w:t>
      </w:r>
      <w:r>
        <w:rPr>
          <w:spacing w:val="-6"/>
        </w:rPr>
        <w:t> </w:t>
      </w:r>
      <w:r>
        <w:rPr/>
        <w:t>Valdivia,</w:t>
      </w:r>
      <w:r>
        <w:rPr>
          <w:spacing w:val="-3"/>
        </w:rPr>
        <w:t> </w:t>
      </w:r>
      <w:r>
        <w:rPr/>
        <w:t>Chile.</w:t>
      </w:r>
      <w:r>
        <w:rPr>
          <w:spacing w:val="-3"/>
        </w:rPr>
        <w:t> </w:t>
      </w:r>
      <w:r>
        <w:rPr/>
        <w:t>Sobre</w:t>
      </w:r>
      <w:r>
        <w:rPr>
          <w:spacing w:val="-6"/>
        </w:rPr>
        <w:t> </w:t>
      </w:r>
      <w:r>
        <w:rPr/>
        <w:t>todo</w:t>
      </w:r>
      <w:r>
        <w:rPr>
          <w:spacing w:val="-5"/>
        </w:rPr>
        <w:t> </w:t>
      </w:r>
      <w:r>
        <w:rPr/>
        <w:t>por</w:t>
      </w:r>
      <w:r>
        <w:rPr>
          <w:spacing w:val="-3"/>
        </w:rPr>
        <w:t> </w:t>
      </w:r>
      <w:r>
        <w:rPr>
          <w:spacing w:val="-4"/>
        </w:rPr>
        <w:t>su</w:t>
      </w:r>
      <w:r>
        <w:rPr>
          <w:spacing w:val="-5"/>
        </w:rPr>
        <w:t> </w:t>
      </w:r>
      <w:r>
        <w:rPr/>
        <w:t>gran</w:t>
      </w:r>
      <w:r>
        <w:rPr>
          <w:spacing w:val="-10"/>
        </w:rPr>
        <w:t> </w:t>
      </w:r>
      <w:r>
        <w:rPr/>
        <w:t>ayuda,</w:t>
      </w:r>
      <w:r>
        <w:rPr>
          <w:spacing w:val="-3"/>
        </w:rPr>
        <w:t> </w:t>
      </w:r>
      <w:r>
        <w:rPr/>
        <w:t>amistad y</w:t>
      </w:r>
      <w:r>
        <w:rPr>
          <w:spacing w:val="-10"/>
        </w:rPr>
        <w:t> </w:t>
      </w:r>
      <w:r>
        <w:rPr/>
        <w:t>consejos</w:t>
      </w:r>
      <w:r>
        <w:rPr>
          <w:spacing w:val="-7"/>
        </w:rPr>
        <w:t> </w:t>
      </w:r>
      <w:r>
        <w:rPr/>
        <w:t>que</w:t>
      </w:r>
      <w:r>
        <w:rPr>
          <w:spacing w:val="-6"/>
        </w:rPr>
        <w:t> </w:t>
      </w:r>
      <w:r>
        <w:rPr/>
        <w:t>han sido baluarte para </w:t>
      </w:r>
      <w:r>
        <w:rPr>
          <w:spacing w:val="-3"/>
        </w:rPr>
        <w:t>mi</w:t>
      </w:r>
      <w:r>
        <w:rPr>
          <w:spacing w:val="-11"/>
        </w:rPr>
        <w:t> </w:t>
      </w:r>
      <w:r>
        <w:rPr/>
        <w:t>vida.</w:t>
      </w:r>
    </w:p>
    <w:p>
      <w:pPr>
        <w:pStyle w:val="BodyText"/>
        <w:spacing w:line="309" w:lineRule="auto" w:before="4"/>
        <w:ind w:left="152" w:right="116"/>
        <w:jc w:val="both"/>
      </w:pPr>
      <w:r>
        <w:rPr/>
        <w:t>A la </w:t>
      </w:r>
      <w:r>
        <w:rPr>
          <w:b/>
        </w:rPr>
        <w:t>Dra. Giovanna Piñuelas Rivas </w:t>
      </w:r>
      <w:r>
        <w:rPr/>
        <w:t>por su ayuda, colaboración y orientación durante la realización de este posgrado, en especial toda la brinda desde el principio.</w:t>
      </w:r>
    </w:p>
    <w:p>
      <w:pPr>
        <w:pStyle w:val="BodyText"/>
        <w:spacing w:line="314" w:lineRule="auto" w:before="7"/>
        <w:ind w:left="152" w:right="101"/>
        <w:jc w:val="both"/>
      </w:pPr>
      <w:r>
        <w:rPr/>
        <w:t>A la </w:t>
      </w:r>
      <w:r>
        <w:rPr>
          <w:b/>
        </w:rPr>
        <w:t>Dra. Jaqueline Mena Huertas </w:t>
      </w:r>
      <w:r>
        <w:rPr/>
        <w:t>por su enseñanza incondicional y consejos durante mi segunda estancia de trabajo en el Laboratorio de Farmacología Molecular del Instituto de Farmacología, UACH, ciudad de Valdivia, Chile.</w:t>
      </w:r>
    </w:p>
    <w:p>
      <w:pPr>
        <w:pStyle w:val="BodyText"/>
        <w:spacing w:line="312" w:lineRule="auto"/>
        <w:ind w:left="152" w:right="113"/>
        <w:jc w:val="both"/>
      </w:pPr>
      <w:r>
        <w:rPr/>
        <w:t>A </w:t>
      </w:r>
      <w:r>
        <w:rPr>
          <w:b/>
        </w:rPr>
        <w:t>Carol, Ángel y Jorge </w:t>
      </w:r>
      <w:r>
        <w:rPr/>
        <w:t>por sus consejos, enseñanzas y amistad plena en el Laboratorio de Biotecnología y Patología Acuática, muy en especial por estar siempre atentos conmigo.</w:t>
      </w:r>
    </w:p>
    <w:p>
      <w:pPr>
        <w:pStyle w:val="BodyText"/>
        <w:spacing w:line="312" w:lineRule="auto" w:before="4"/>
        <w:ind w:left="152" w:right="108"/>
        <w:jc w:val="both"/>
      </w:pPr>
      <w:r>
        <w:rPr/>
        <w:t>A la T.Q.L </w:t>
      </w:r>
      <w:r>
        <w:rPr>
          <w:b/>
        </w:rPr>
        <w:t>Alicia López Reyes </w:t>
      </w:r>
      <w:r>
        <w:rPr/>
        <w:t>por su gran ayuda técnica en el área de cultivo celular del CIESA y su amistad.</w:t>
      </w:r>
    </w:p>
    <w:p>
      <w:pPr>
        <w:pStyle w:val="BodyText"/>
        <w:spacing w:line="275" w:lineRule="exact"/>
        <w:ind w:left="152"/>
        <w:jc w:val="both"/>
      </w:pPr>
      <w:r>
        <w:rPr/>
        <w:t>A todos mis compañeros y compañeras del CIESA y el personal de Sanidad Acuícola.</w:t>
      </w:r>
    </w:p>
    <w:p>
      <w:pPr>
        <w:spacing w:after="0" w:line="275" w:lineRule="exact"/>
        <w:jc w:val="both"/>
        <w:sectPr>
          <w:pgSz w:w="12240" w:h="15840"/>
          <w:pgMar w:header="0" w:footer="1382" w:top="1500" w:bottom="1580" w:left="1720" w:right="1420"/>
        </w:sectPr>
      </w:pPr>
    </w:p>
    <w:p>
      <w:pPr>
        <w:pStyle w:val="BodyText"/>
        <w:spacing w:before="7"/>
        <w:rPr>
          <w:sz w:val="25"/>
        </w:rPr>
      </w:pPr>
    </w:p>
    <w:p>
      <w:pPr>
        <w:pStyle w:val="Heading1"/>
        <w:spacing w:before="70"/>
        <w:ind w:left="770" w:right="735"/>
        <w:jc w:val="center"/>
      </w:pPr>
      <w:r>
        <w:rPr/>
        <w:t>CONTENIDO</w:t>
      </w:r>
    </w:p>
    <w:p>
      <w:pPr>
        <w:spacing w:after="0"/>
        <w:jc w:val="center"/>
        <w:sectPr>
          <w:pgSz w:w="12240" w:h="15840"/>
          <w:pgMar w:header="0" w:footer="1382" w:top="1500" w:bottom="1997" w:left="1720" w:right="1420"/>
        </w:sectPr>
      </w:pPr>
    </w:p>
    <w:sdt>
      <w:sdtPr>
        <w:docPartObj>
          <w:docPartGallery w:val="Table of Contents"/>
          <w:docPartUnique/>
        </w:docPartObj>
      </w:sdtPr>
      <w:sdtEndPr/>
      <w:sdtContent>
        <w:p>
          <w:pPr>
            <w:pStyle w:val="TOC1"/>
            <w:tabs>
              <w:tab w:pos="8982" w:val="right" w:leader="dot"/>
            </w:tabs>
            <w:spacing w:before="137"/>
            <w:ind w:firstLine="0"/>
          </w:pPr>
          <w:r>
            <w:rPr/>
            <w:t>DEDICATORIAS</w:t>
            <w:tab/>
            <w:t>i</w:t>
          </w:r>
        </w:p>
        <w:p>
          <w:pPr>
            <w:pStyle w:val="TOC1"/>
            <w:tabs>
              <w:tab w:pos="8983" w:val="right" w:leader="dot"/>
            </w:tabs>
            <w:ind w:firstLine="0"/>
          </w:pPr>
          <w:hyperlink w:history="true" w:anchor="_bookmark0">
            <w:r>
              <w:rPr/>
              <w:t>RESUMEN</w:t>
              <w:tab/>
              <w:t>ii</w:t>
            </w:r>
          </w:hyperlink>
        </w:p>
        <w:p>
          <w:pPr>
            <w:pStyle w:val="TOC1"/>
            <w:tabs>
              <w:tab w:pos="8974" w:val="right" w:leader="dot"/>
            </w:tabs>
            <w:ind w:firstLine="0"/>
          </w:pPr>
          <w:hyperlink w:history="true" w:anchor="_bookmark1">
            <w:r>
              <w:rPr/>
              <w:t>ABSTRACT</w:t>
              <w:tab/>
            </w:r>
            <w:r>
              <w:rPr>
                <w:spacing w:val="-5"/>
              </w:rPr>
              <w:t>iv</w:t>
            </w:r>
          </w:hyperlink>
        </w:p>
        <w:p>
          <w:pPr>
            <w:pStyle w:val="TOC1"/>
            <w:tabs>
              <w:tab w:pos="8982" w:val="right" w:leader="dot"/>
            </w:tabs>
            <w:ind w:firstLine="0"/>
          </w:pPr>
          <w:hyperlink w:history="true" w:anchor="_bookmark2">
            <w:r>
              <w:rPr/>
              <w:t>AGRADECIMIENTOS</w:t>
              <w:tab/>
              <w:t>vi</w:t>
            </w:r>
          </w:hyperlink>
        </w:p>
        <w:p>
          <w:pPr>
            <w:pStyle w:val="TOC1"/>
            <w:numPr>
              <w:ilvl w:val="0"/>
              <w:numId w:val="1"/>
            </w:numPr>
            <w:tabs>
              <w:tab w:pos="355" w:val="left" w:leader="none"/>
              <w:tab w:pos="8983" w:val="right" w:leader="dot"/>
            </w:tabs>
            <w:spacing w:line="240" w:lineRule="auto" w:before="142" w:after="0"/>
            <w:ind w:left="354" w:right="0" w:hanging="202"/>
            <w:jc w:val="left"/>
          </w:pPr>
          <w:hyperlink w:history="true" w:anchor="_bookmark3">
            <w:r>
              <w:rPr/>
              <w:t>INTRODUCCIÓN</w:t>
              <w:tab/>
              <w:t>1</w:t>
            </w:r>
          </w:hyperlink>
        </w:p>
        <w:p>
          <w:pPr>
            <w:pStyle w:val="TOC1"/>
            <w:numPr>
              <w:ilvl w:val="0"/>
              <w:numId w:val="1"/>
            </w:numPr>
            <w:tabs>
              <w:tab w:pos="436" w:val="left" w:leader="none"/>
              <w:tab w:pos="8983" w:val="right" w:leader="dot"/>
            </w:tabs>
            <w:spacing w:line="240" w:lineRule="auto" w:before="141" w:after="0"/>
            <w:ind w:left="435" w:right="0" w:hanging="283"/>
            <w:jc w:val="left"/>
          </w:pPr>
          <w:hyperlink w:history="true" w:anchor="_bookmark4">
            <w:r>
              <w:rPr/>
              <w:t>REVISIÓN</w:t>
            </w:r>
            <w:r>
              <w:rPr>
                <w:spacing w:val="2"/>
              </w:rPr>
              <w:t> </w:t>
            </w:r>
            <w:r>
              <w:rPr/>
              <w:t>DE</w:t>
            </w:r>
            <w:r>
              <w:rPr>
                <w:spacing w:val="-2"/>
              </w:rPr>
              <w:t> </w:t>
            </w:r>
            <w:r>
              <w:rPr/>
              <w:t>LITERATURA</w:t>
              <w:tab/>
              <w:t>4</w:t>
            </w:r>
          </w:hyperlink>
        </w:p>
        <w:p>
          <w:pPr>
            <w:pStyle w:val="TOC2"/>
            <w:tabs>
              <w:tab w:pos="8983" w:val="right" w:leader="dot"/>
            </w:tabs>
            <w:spacing w:before="137"/>
            <w:ind w:left="373" w:firstLine="0"/>
            <w:rPr>
              <w:i w:val="0"/>
            </w:rPr>
          </w:pPr>
          <w:hyperlink w:history="true" w:anchor="_bookmark5">
            <w:r>
              <w:rPr>
                <w:i/>
              </w:rPr>
              <w:t>2.1 Necrosis</w:t>
            </w:r>
            <w:r>
              <w:rPr>
                <w:i/>
                <w:spacing w:val="1"/>
              </w:rPr>
              <w:t> </w:t>
            </w:r>
            <w:r>
              <w:rPr>
                <w:i/>
              </w:rPr>
              <w:t>Pancreática</w:t>
            </w:r>
            <w:r>
              <w:rPr>
                <w:i/>
                <w:spacing w:val="1"/>
              </w:rPr>
              <w:t> </w:t>
            </w:r>
            <w:r>
              <w:rPr>
                <w:i/>
              </w:rPr>
              <w:t>Infecciosa</w:t>
            </w:r>
            <w:r>
              <w:rPr>
                <w:i w:val="0"/>
              </w:rPr>
              <w:tab/>
              <w:t>4</w:t>
            </w:r>
          </w:hyperlink>
        </w:p>
        <w:p>
          <w:pPr>
            <w:pStyle w:val="TOC2"/>
            <w:numPr>
              <w:ilvl w:val="1"/>
              <w:numId w:val="2"/>
            </w:numPr>
            <w:tabs>
              <w:tab w:pos="796" w:val="left" w:leader="none"/>
              <w:tab w:pos="8983" w:val="right" w:leader="dot"/>
            </w:tabs>
            <w:spacing w:line="240" w:lineRule="auto" w:before="141" w:after="0"/>
            <w:ind w:left="795" w:right="0" w:hanging="422"/>
            <w:jc w:val="left"/>
            <w:rPr>
              <w:i w:val="0"/>
            </w:rPr>
          </w:pPr>
          <w:hyperlink w:history="true" w:anchor="_bookmark6">
            <w:r>
              <w:rPr>
                <w:i/>
              </w:rPr>
              <w:t>Agente Etiológico y</w:t>
            </w:r>
            <w:r>
              <w:rPr>
                <w:i/>
                <w:spacing w:val="-6"/>
              </w:rPr>
              <w:t> </w:t>
            </w:r>
            <w:r>
              <w:rPr>
                <w:i/>
              </w:rPr>
              <w:t>Taxonomía</w:t>
            </w:r>
            <w:r>
              <w:rPr>
                <w:i/>
                <w:spacing w:val="1"/>
              </w:rPr>
              <w:t> </w:t>
            </w:r>
            <w:r>
              <w:rPr>
                <w:i/>
              </w:rPr>
              <w:t>Viral</w:t>
            </w:r>
            <w:r>
              <w:rPr>
                <w:i w:val="0"/>
              </w:rPr>
              <w:tab/>
              <w:t>5</w:t>
            </w:r>
          </w:hyperlink>
        </w:p>
        <w:p>
          <w:pPr>
            <w:pStyle w:val="TOC4"/>
            <w:numPr>
              <w:ilvl w:val="2"/>
              <w:numId w:val="2"/>
            </w:numPr>
            <w:tabs>
              <w:tab w:pos="1199" w:val="left" w:leader="none"/>
              <w:tab w:pos="8983" w:val="right" w:leader="dot"/>
            </w:tabs>
            <w:spacing w:line="240" w:lineRule="auto" w:before="142" w:after="0"/>
            <w:ind w:left="1198" w:right="0" w:hanging="604"/>
            <w:jc w:val="left"/>
            <w:rPr>
              <w:i w:val="0"/>
            </w:rPr>
          </w:pPr>
          <w:hyperlink w:history="true" w:anchor="_bookmark7">
            <w:r>
              <w:rPr>
                <w:i/>
              </w:rPr>
              <w:t>El Genoma, Estructura y Organización</w:t>
            </w:r>
            <w:r>
              <w:rPr>
                <w:i/>
                <w:spacing w:val="4"/>
              </w:rPr>
              <w:t> </w:t>
            </w:r>
            <w:r>
              <w:rPr>
                <w:i/>
              </w:rPr>
              <w:t>de </w:t>
            </w:r>
            <w:r>
              <w:rPr>
                <w:i/>
                <w:spacing w:val="-3"/>
              </w:rPr>
              <w:t>IPNV</w:t>
            </w:r>
            <w:r>
              <w:rPr>
                <w:i w:val="0"/>
                <w:spacing w:val="-3"/>
              </w:rPr>
              <w:tab/>
            </w:r>
            <w:r>
              <w:rPr>
                <w:i w:val="0"/>
              </w:rPr>
              <w:t>6</w:t>
            </w:r>
          </w:hyperlink>
        </w:p>
        <w:p>
          <w:pPr>
            <w:pStyle w:val="TOC4"/>
            <w:numPr>
              <w:ilvl w:val="2"/>
              <w:numId w:val="2"/>
            </w:numPr>
            <w:tabs>
              <w:tab w:pos="1199" w:val="left" w:leader="none"/>
              <w:tab w:pos="8983" w:val="right" w:leader="dot"/>
            </w:tabs>
            <w:spacing w:line="240" w:lineRule="auto" w:before="141" w:after="0"/>
            <w:ind w:left="1198" w:right="0" w:hanging="604"/>
            <w:jc w:val="left"/>
            <w:rPr>
              <w:i w:val="0"/>
            </w:rPr>
          </w:pPr>
          <w:hyperlink w:history="true" w:anchor="_bookmark8">
            <w:r>
              <w:rPr>
                <w:i/>
              </w:rPr>
              <w:t>Ciclo de</w:t>
            </w:r>
            <w:r>
              <w:rPr>
                <w:i/>
                <w:spacing w:val="-3"/>
              </w:rPr>
              <w:t> </w:t>
            </w:r>
            <w:r>
              <w:rPr>
                <w:i/>
              </w:rPr>
              <w:t>replicación</w:t>
            </w:r>
            <w:r>
              <w:rPr>
                <w:i/>
                <w:spacing w:val="1"/>
              </w:rPr>
              <w:t> </w:t>
            </w:r>
            <w:r>
              <w:rPr>
                <w:i/>
              </w:rPr>
              <w:t>viral</w:t>
            </w:r>
            <w:r>
              <w:rPr>
                <w:i w:val="0"/>
              </w:rPr>
              <w:tab/>
              <w:t>10</w:t>
            </w:r>
          </w:hyperlink>
        </w:p>
        <w:p>
          <w:pPr>
            <w:pStyle w:val="TOC4"/>
            <w:tabs>
              <w:tab w:pos="8983" w:val="right" w:leader="dot"/>
            </w:tabs>
            <w:ind w:left="594" w:firstLine="0"/>
            <w:rPr>
              <w:i w:val="0"/>
            </w:rPr>
          </w:pPr>
          <w:hyperlink w:history="true" w:anchor="_bookmark9">
            <w:r>
              <w:rPr>
                <w:i/>
              </w:rPr>
              <w:t>2.2.3 Determinantes moleculares de virulencia</w:t>
            </w:r>
            <w:r>
              <w:rPr>
                <w:i/>
                <w:spacing w:val="-3"/>
              </w:rPr>
              <w:t> </w:t>
            </w:r>
            <w:r>
              <w:rPr>
                <w:i/>
              </w:rPr>
              <w:t>de IPNV</w:t>
            </w:r>
            <w:r>
              <w:rPr>
                <w:i w:val="0"/>
              </w:rPr>
              <w:tab/>
              <w:t>12</w:t>
            </w:r>
          </w:hyperlink>
        </w:p>
        <w:p>
          <w:pPr>
            <w:pStyle w:val="TOC2"/>
            <w:numPr>
              <w:ilvl w:val="1"/>
              <w:numId w:val="2"/>
            </w:numPr>
            <w:tabs>
              <w:tab w:pos="796" w:val="left" w:leader="none"/>
              <w:tab w:pos="8983" w:val="right" w:leader="dot"/>
            </w:tabs>
            <w:spacing w:line="240" w:lineRule="auto" w:before="141" w:after="0"/>
            <w:ind w:left="795" w:right="0" w:hanging="422"/>
            <w:jc w:val="left"/>
            <w:rPr>
              <w:i w:val="0"/>
            </w:rPr>
          </w:pPr>
          <w:hyperlink w:history="true" w:anchor="_bookmark10">
            <w:r>
              <w:rPr>
                <w:i/>
              </w:rPr>
              <w:t>Epidemiología</w:t>
            </w:r>
            <w:r>
              <w:rPr>
                <w:i w:val="0"/>
              </w:rPr>
              <w:tab/>
              <w:t>13</w:t>
            </w:r>
          </w:hyperlink>
        </w:p>
        <w:p>
          <w:pPr>
            <w:pStyle w:val="TOC3"/>
            <w:numPr>
              <w:ilvl w:val="1"/>
              <w:numId w:val="2"/>
            </w:numPr>
            <w:tabs>
              <w:tab w:pos="796" w:val="left" w:leader="none"/>
              <w:tab w:pos="8983" w:val="right" w:leader="dot"/>
            </w:tabs>
            <w:spacing w:line="240" w:lineRule="auto" w:before="142" w:after="0"/>
            <w:ind w:left="795" w:right="0" w:hanging="422"/>
            <w:jc w:val="left"/>
            <w:rPr>
              <w:b w:val="0"/>
              <w:i w:val="0"/>
              <w:sz w:val="24"/>
            </w:rPr>
          </w:pPr>
          <w:hyperlink w:history="true" w:anchor="_bookmark11">
            <w:r>
              <w:rPr>
                <w:b w:val="0"/>
                <w:i/>
                <w:sz w:val="24"/>
              </w:rPr>
              <w:t>Diagnostico</w:t>
            </w:r>
            <w:r>
              <w:rPr>
                <w:b w:val="0"/>
                <w:i w:val="0"/>
                <w:sz w:val="24"/>
              </w:rPr>
              <w:tab/>
              <w:t>14</w:t>
            </w:r>
          </w:hyperlink>
        </w:p>
        <w:p>
          <w:pPr>
            <w:pStyle w:val="TOC3"/>
            <w:numPr>
              <w:ilvl w:val="1"/>
              <w:numId w:val="2"/>
            </w:numPr>
            <w:tabs>
              <w:tab w:pos="796" w:val="left" w:leader="none"/>
              <w:tab w:pos="8983" w:val="right" w:leader="dot"/>
            </w:tabs>
            <w:spacing w:line="240" w:lineRule="auto" w:before="141" w:after="0"/>
            <w:ind w:left="795" w:right="0" w:hanging="422"/>
            <w:jc w:val="left"/>
            <w:rPr>
              <w:b w:val="0"/>
              <w:i w:val="0"/>
              <w:sz w:val="24"/>
            </w:rPr>
          </w:pPr>
          <w:hyperlink w:history="true" w:anchor="_bookmark12">
            <w:r>
              <w:rPr>
                <w:b w:val="0"/>
                <w:i/>
                <w:sz w:val="24"/>
              </w:rPr>
              <w:t>Patogénesis</w:t>
            </w:r>
            <w:r>
              <w:rPr>
                <w:b w:val="0"/>
                <w:i w:val="0"/>
                <w:sz w:val="24"/>
              </w:rPr>
              <w:tab/>
              <w:t>15</w:t>
            </w:r>
          </w:hyperlink>
        </w:p>
        <w:p>
          <w:pPr>
            <w:pStyle w:val="TOC2"/>
            <w:numPr>
              <w:ilvl w:val="1"/>
              <w:numId w:val="2"/>
            </w:numPr>
            <w:tabs>
              <w:tab w:pos="796" w:val="left" w:leader="none"/>
              <w:tab w:pos="8983" w:val="right" w:leader="dot"/>
            </w:tabs>
            <w:spacing w:line="240" w:lineRule="auto" w:before="141" w:after="0"/>
            <w:ind w:left="795" w:right="0" w:hanging="422"/>
            <w:jc w:val="left"/>
            <w:rPr>
              <w:i w:val="0"/>
            </w:rPr>
          </w:pPr>
          <w:hyperlink w:history="true" w:anchor="_bookmark13">
            <w:r>
              <w:rPr>
                <w:i/>
              </w:rPr>
              <w:t>Patología y</w:t>
            </w:r>
            <w:r>
              <w:rPr>
                <w:i/>
                <w:spacing w:val="2"/>
              </w:rPr>
              <w:t> </w:t>
            </w:r>
            <w:r>
              <w:rPr>
                <w:i/>
              </w:rPr>
              <w:t>Signología</w:t>
            </w:r>
            <w:r>
              <w:rPr>
                <w:i/>
                <w:spacing w:val="1"/>
              </w:rPr>
              <w:t> </w:t>
            </w:r>
            <w:r>
              <w:rPr>
                <w:i/>
              </w:rPr>
              <w:t>Clínica.</w:t>
            </w:r>
            <w:r>
              <w:rPr>
                <w:i w:val="0"/>
              </w:rPr>
              <w:tab/>
              <w:t>15</w:t>
            </w:r>
          </w:hyperlink>
        </w:p>
        <w:p>
          <w:pPr>
            <w:pStyle w:val="TOC2"/>
            <w:numPr>
              <w:ilvl w:val="1"/>
              <w:numId w:val="2"/>
            </w:numPr>
            <w:tabs>
              <w:tab w:pos="796" w:val="left" w:leader="none"/>
              <w:tab w:pos="8983" w:val="right" w:leader="dot"/>
            </w:tabs>
            <w:spacing w:line="240" w:lineRule="auto" w:before="141" w:after="0"/>
            <w:ind w:left="795" w:right="0" w:hanging="422"/>
            <w:jc w:val="left"/>
            <w:rPr>
              <w:i w:val="0"/>
            </w:rPr>
          </w:pPr>
          <w:hyperlink w:history="true" w:anchor="_bookmark14">
            <w:r>
              <w:rPr>
                <w:i/>
              </w:rPr>
              <w:t>Prevención y control</w:t>
            </w:r>
            <w:r>
              <w:rPr>
                <w:i/>
                <w:spacing w:val="4"/>
              </w:rPr>
              <w:t> </w:t>
            </w:r>
            <w:r>
              <w:rPr>
                <w:i/>
              </w:rPr>
              <w:t>de IPNV</w:t>
            </w:r>
            <w:r>
              <w:rPr>
                <w:i w:val="0"/>
              </w:rPr>
              <w:tab/>
              <w:t>16</w:t>
            </w:r>
          </w:hyperlink>
        </w:p>
        <w:p>
          <w:pPr>
            <w:pStyle w:val="TOC2"/>
            <w:numPr>
              <w:ilvl w:val="0"/>
              <w:numId w:val="3"/>
            </w:numPr>
            <w:tabs>
              <w:tab w:pos="619" w:val="left" w:leader="none"/>
              <w:tab w:pos="8983" w:val="right" w:leader="dot"/>
            </w:tabs>
            <w:spacing w:line="240" w:lineRule="auto" w:before="141" w:after="0"/>
            <w:ind w:left="618" w:right="0" w:hanging="245"/>
            <w:jc w:val="left"/>
            <w:rPr>
              <w:i w:val="0"/>
            </w:rPr>
          </w:pPr>
          <w:hyperlink w:history="true" w:anchor="_bookmark15">
            <w:r>
              <w:rPr>
                <w:i/>
              </w:rPr>
              <w:t>La respuesta inmunológica en</w:t>
            </w:r>
            <w:r>
              <w:rPr>
                <w:i/>
                <w:spacing w:val="1"/>
              </w:rPr>
              <w:t> </w:t>
            </w:r>
            <w:r>
              <w:rPr>
                <w:i/>
              </w:rPr>
              <w:t>peces</w:t>
            </w:r>
            <w:r>
              <w:rPr>
                <w:i w:val="0"/>
              </w:rPr>
              <w:tab/>
              <w:t>17</w:t>
            </w:r>
          </w:hyperlink>
        </w:p>
        <w:p>
          <w:pPr>
            <w:pStyle w:val="TOC2"/>
            <w:numPr>
              <w:ilvl w:val="1"/>
              <w:numId w:val="3"/>
            </w:numPr>
            <w:tabs>
              <w:tab w:pos="796" w:val="left" w:leader="none"/>
              <w:tab w:pos="8983" w:val="right" w:leader="dot"/>
            </w:tabs>
            <w:spacing w:line="240" w:lineRule="auto" w:before="142" w:after="0"/>
            <w:ind w:left="795" w:right="0" w:hanging="422"/>
            <w:jc w:val="left"/>
            <w:rPr>
              <w:i w:val="0"/>
            </w:rPr>
          </w:pPr>
          <w:hyperlink w:history="true" w:anchor="_bookmark16">
            <w:r>
              <w:rPr>
                <w:i/>
              </w:rPr>
              <w:t>Inmunidad Innata, fisiología del pez y temperatura</w:t>
            </w:r>
            <w:r>
              <w:rPr>
                <w:i/>
                <w:spacing w:val="-6"/>
              </w:rPr>
              <w:t> </w:t>
            </w:r>
            <w:r>
              <w:rPr>
                <w:i/>
              </w:rPr>
              <w:t>del</w:t>
            </w:r>
            <w:r>
              <w:rPr>
                <w:i/>
                <w:spacing w:val="1"/>
              </w:rPr>
              <w:t> </w:t>
            </w:r>
            <w:r>
              <w:rPr>
                <w:i/>
              </w:rPr>
              <w:t>agua</w:t>
            </w:r>
            <w:r>
              <w:rPr>
                <w:i w:val="0"/>
              </w:rPr>
              <w:tab/>
              <w:t>19</w:t>
            </w:r>
          </w:hyperlink>
        </w:p>
        <w:p>
          <w:pPr>
            <w:pStyle w:val="TOC4"/>
            <w:numPr>
              <w:ilvl w:val="2"/>
              <w:numId w:val="3"/>
            </w:numPr>
            <w:tabs>
              <w:tab w:pos="1199" w:val="left" w:leader="none"/>
              <w:tab w:pos="8983" w:val="right" w:leader="dot"/>
            </w:tabs>
            <w:spacing w:line="240" w:lineRule="auto" w:before="141" w:after="0"/>
            <w:ind w:left="1198" w:right="0" w:hanging="604"/>
            <w:jc w:val="left"/>
            <w:rPr>
              <w:i w:val="0"/>
            </w:rPr>
          </w:pPr>
          <w:hyperlink w:history="true" w:anchor="_bookmark17">
            <w:r>
              <w:rPr>
                <w:i/>
              </w:rPr>
              <w:t>Reconocimiento de IPNV por el sistema</w:t>
            </w:r>
            <w:r>
              <w:rPr>
                <w:i/>
                <w:spacing w:val="-1"/>
              </w:rPr>
              <w:t> </w:t>
            </w:r>
            <w:r>
              <w:rPr>
                <w:i/>
              </w:rPr>
              <w:t>inmune innato.</w:t>
            </w:r>
            <w:r>
              <w:rPr>
                <w:i w:val="0"/>
              </w:rPr>
              <w:tab/>
              <w:t>19</w:t>
            </w:r>
          </w:hyperlink>
        </w:p>
        <w:p>
          <w:pPr>
            <w:pStyle w:val="TOC4"/>
            <w:numPr>
              <w:ilvl w:val="2"/>
              <w:numId w:val="3"/>
            </w:numPr>
            <w:tabs>
              <w:tab w:pos="1199" w:val="left" w:leader="none"/>
              <w:tab w:pos="8983" w:val="right" w:leader="dot"/>
            </w:tabs>
            <w:spacing w:line="240" w:lineRule="auto" w:before="141" w:after="0"/>
            <w:ind w:left="1198" w:right="0" w:hanging="604"/>
            <w:jc w:val="left"/>
            <w:rPr>
              <w:i w:val="0"/>
            </w:rPr>
          </w:pPr>
          <w:hyperlink w:history="true" w:anchor="_bookmark18">
            <w:r>
              <w:rPr>
                <w:i/>
              </w:rPr>
              <w:t>El sistema</w:t>
            </w:r>
            <w:r>
              <w:rPr>
                <w:i/>
                <w:spacing w:val="3"/>
              </w:rPr>
              <w:t> </w:t>
            </w:r>
            <w:r>
              <w:rPr>
                <w:i/>
              </w:rPr>
              <w:t>de Interferón</w:t>
            </w:r>
            <w:r>
              <w:rPr>
                <w:i w:val="0"/>
              </w:rPr>
              <w:tab/>
              <w:t>20</w:t>
            </w:r>
          </w:hyperlink>
        </w:p>
        <w:p>
          <w:pPr>
            <w:pStyle w:val="TOC4"/>
            <w:numPr>
              <w:ilvl w:val="2"/>
              <w:numId w:val="3"/>
            </w:numPr>
            <w:tabs>
              <w:tab w:pos="1199" w:val="left" w:leader="none"/>
              <w:tab w:pos="8983" w:val="right" w:leader="dot"/>
            </w:tabs>
            <w:spacing w:line="240" w:lineRule="auto" w:before="141" w:after="0"/>
            <w:ind w:left="1198" w:right="0" w:hanging="604"/>
            <w:jc w:val="left"/>
            <w:rPr>
              <w:i w:val="0"/>
            </w:rPr>
          </w:pPr>
          <w:hyperlink w:history="true" w:anchor="_bookmark19">
            <w:r>
              <w:rPr>
                <w:i/>
              </w:rPr>
              <w:t>Señalización de IFN tipo I mediante la</w:t>
            </w:r>
            <w:r>
              <w:rPr>
                <w:i/>
                <w:spacing w:val="-5"/>
              </w:rPr>
              <w:t> </w:t>
            </w:r>
            <w:r>
              <w:rPr>
                <w:i/>
              </w:rPr>
              <w:t>ruta</w:t>
            </w:r>
            <w:r>
              <w:rPr>
                <w:i/>
                <w:spacing w:val="-3"/>
              </w:rPr>
              <w:t> </w:t>
            </w:r>
            <w:r>
              <w:rPr>
                <w:i/>
              </w:rPr>
              <w:t>JAK-STAT</w:t>
            </w:r>
            <w:r>
              <w:rPr>
                <w:i w:val="0"/>
              </w:rPr>
              <w:tab/>
              <w:t>22</w:t>
            </w:r>
          </w:hyperlink>
        </w:p>
        <w:p>
          <w:pPr>
            <w:pStyle w:val="TOC6"/>
            <w:numPr>
              <w:ilvl w:val="3"/>
              <w:numId w:val="3"/>
            </w:numPr>
            <w:tabs>
              <w:tab w:pos="1597" w:val="left" w:leader="none"/>
              <w:tab w:pos="8983" w:val="right" w:leader="dot"/>
            </w:tabs>
            <w:spacing w:line="240" w:lineRule="auto" w:before="142" w:after="0"/>
            <w:ind w:left="1596" w:right="0" w:hanging="781"/>
            <w:jc w:val="left"/>
            <w:rPr>
              <w:i w:val="0"/>
            </w:rPr>
          </w:pPr>
          <w:hyperlink w:history="true" w:anchor="_bookmark20">
            <w:r>
              <w:rPr>
                <w:i/>
              </w:rPr>
              <w:t>Antagonismo en la vía de señalización</w:t>
            </w:r>
            <w:r>
              <w:rPr>
                <w:i/>
                <w:spacing w:val="-2"/>
              </w:rPr>
              <w:t> </w:t>
            </w:r>
            <w:r>
              <w:rPr>
                <w:i/>
              </w:rPr>
              <w:t>de IFN-I</w:t>
            </w:r>
            <w:r>
              <w:rPr>
                <w:i w:val="0"/>
              </w:rPr>
              <w:tab/>
              <w:t>23</w:t>
            </w:r>
          </w:hyperlink>
        </w:p>
        <w:p>
          <w:pPr>
            <w:pStyle w:val="TOC4"/>
            <w:numPr>
              <w:ilvl w:val="2"/>
              <w:numId w:val="3"/>
            </w:numPr>
            <w:tabs>
              <w:tab w:pos="1199" w:val="left" w:leader="none"/>
              <w:tab w:pos="8983" w:val="right" w:leader="dot"/>
            </w:tabs>
            <w:spacing w:line="240" w:lineRule="auto" w:before="141" w:after="0"/>
            <w:ind w:left="1198" w:right="0" w:hanging="604"/>
            <w:jc w:val="left"/>
            <w:rPr>
              <w:i w:val="0"/>
            </w:rPr>
          </w:pPr>
          <w:hyperlink w:history="true" w:anchor="_bookmark21">
            <w:r>
              <w:rPr>
                <w:i/>
              </w:rPr>
              <w:t>Genes estimulados por IFN tipo I</w:t>
            </w:r>
            <w:r>
              <w:rPr>
                <w:i/>
                <w:spacing w:val="-2"/>
              </w:rPr>
              <w:t> </w:t>
            </w:r>
            <w:r>
              <w:rPr>
                <w:i/>
              </w:rPr>
              <w:t>(ISGs)</w:t>
            </w:r>
            <w:r>
              <w:rPr>
                <w:i w:val="0"/>
              </w:rPr>
              <w:tab/>
              <w:t>24</w:t>
            </w:r>
          </w:hyperlink>
        </w:p>
        <w:p>
          <w:pPr>
            <w:pStyle w:val="TOC1"/>
            <w:numPr>
              <w:ilvl w:val="0"/>
              <w:numId w:val="1"/>
            </w:numPr>
            <w:tabs>
              <w:tab w:pos="517" w:val="left" w:leader="none"/>
              <w:tab w:pos="8983" w:val="right" w:leader="dot"/>
            </w:tabs>
            <w:spacing w:line="240" w:lineRule="auto" w:before="141" w:after="0"/>
            <w:ind w:left="516" w:right="0" w:hanging="364"/>
            <w:jc w:val="left"/>
          </w:pPr>
          <w:hyperlink w:history="true" w:anchor="_bookmark22">
            <w:r>
              <w:rPr/>
              <w:t>JUSTIFICACIÓN</w:t>
              <w:tab/>
              <w:t>26</w:t>
            </w:r>
          </w:hyperlink>
        </w:p>
        <w:p>
          <w:pPr>
            <w:pStyle w:val="TOC1"/>
            <w:numPr>
              <w:ilvl w:val="0"/>
              <w:numId w:val="1"/>
            </w:numPr>
            <w:tabs>
              <w:tab w:pos="532" w:val="left" w:leader="none"/>
              <w:tab w:pos="8983" w:val="right" w:leader="dot"/>
            </w:tabs>
            <w:spacing w:line="240" w:lineRule="auto" w:before="141" w:after="0"/>
            <w:ind w:left="531" w:right="0" w:hanging="379"/>
            <w:jc w:val="left"/>
          </w:pPr>
          <w:hyperlink w:history="true" w:anchor="_bookmark23">
            <w:r>
              <w:rPr/>
              <w:t>HIPÓTESIS</w:t>
              <w:tab/>
              <w:t>28</w:t>
            </w:r>
          </w:hyperlink>
        </w:p>
        <w:p>
          <w:pPr>
            <w:pStyle w:val="TOC1"/>
            <w:numPr>
              <w:ilvl w:val="0"/>
              <w:numId w:val="1"/>
            </w:numPr>
            <w:tabs>
              <w:tab w:pos="451" w:val="left" w:leader="none"/>
              <w:tab w:pos="8983" w:val="right" w:leader="dot"/>
            </w:tabs>
            <w:spacing w:line="240" w:lineRule="auto" w:before="142" w:after="0"/>
            <w:ind w:left="450" w:right="0" w:hanging="298"/>
            <w:jc w:val="left"/>
          </w:pPr>
          <w:hyperlink w:history="true" w:anchor="_bookmark24">
            <w:r>
              <w:rPr/>
              <w:t>OBJETIVOS</w:t>
              <w:tab/>
              <w:t>29</w:t>
            </w:r>
          </w:hyperlink>
        </w:p>
        <w:p>
          <w:pPr>
            <w:pStyle w:val="TOC2"/>
            <w:tabs>
              <w:tab w:pos="8983" w:val="right" w:leader="dot"/>
            </w:tabs>
            <w:ind w:left="373" w:firstLine="0"/>
            <w:rPr>
              <w:i w:val="0"/>
            </w:rPr>
          </w:pPr>
          <w:hyperlink w:history="true" w:anchor="_bookmark25">
            <w:r>
              <w:rPr>
                <w:i/>
              </w:rPr>
              <w:t>Objetivo</w:t>
            </w:r>
            <w:r>
              <w:rPr>
                <w:i/>
                <w:spacing w:val="1"/>
              </w:rPr>
              <w:t> </w:t>
            </w:r>
            <w:r>
              <w:rPr>
                <w:i/>
              </w:rPr>
              <w:t>general.</w:t>
            </w:r>
            <w:r>
              <w:rPr>
                <w:i w:val="0"/>
              </w:rPr>
              <w:tab/>
              <w:t>29</w:t>
            </w:r>
          </w:hyperlink>
        </w:p>
        <w:p>
          <w:pPr>
            <w:pStyle w:val="TOC2"/>
            <w:tabs>
              <w:tab w:pos="8983" w:val="right" w:leader="dot"/>
            </w:tabs>
            <w:spacing w:before="137"/>
            <w:ind w:left="373" w:firstLine="0"/>
            <w:rPr>
              <w:i w:val="0"/>
            </w:rPr>
          </w:pPr>
          <w:hyperlink w:history="true" w:anchor="_bookmark26">
            <w:r>
              <w:rPr>
                <w:i/>
              </w:rPr>
              <w:t>Objetivos</w:t>
            </w:r>
            <w:r>
              <w:rPr>
                <w:i/>
                <w:spacing w:val="-1"/>
              </w:rPr>
              <w:t> </w:t>
            </w:r>
            <w:r>
              <w:rPr>
                <w:i/>
              </w:rPr>
              <w:t>particulares</w:t>
            </w:r>
            <w:r>
              <w:rPr>
                <w:i w:val="0"/>
              </w:rPr>
              <w:tab/>
              <w:t>29</w:t>
            </w:r>
          </w:hyperlink>
        </w:p>
        <w:p>
          <w:pPr>
            <w:pStyle w:val="TOC1"/>
            <w:numPr>
              <w:ilvl w:val="0"/>
              <w:numId w:val="1"/>
            </w:numPr>
            <w:tabs>
              <w:tab w:pos="532" w:val="left" w:leader="none"/>
              <w:tab w:pos="8983" w:val="right" w:leader="dot"/>
            </w:tabs>
            <w:spacing w:line="240" w:lineRule="auto" w:before="359" w:after="0"/>
            <w:ind w:left="531" w:right="0" w:hanging="379"/>
            <w:jc w:val="left"/>
          </w:pPr>
          <w:hyperlink w:history="true" w:anchor="_bookmark27">
            <w:r>
              <w:rPr/>
              <w:t>MATERIAL</w:t>
            </w:r>
            <w:r>
              <w:rPr>
                <w:spacing w:val="-2"/>
              </w:rPr>
              <w:t> </w:t>
            </w:r>
            <w:r>
              <w:rPr/>
              <w:t>Y MÉTODOS</w:t>
              <w:tab/>
              <w:t>30</w:t>
            </w:r>
          </w:hyperlink>
        </w:p>
        <w:p>
          <w:pPr>
            <w:pStyle w:val="TOC4"/>
            <w:numPr>
              <w:ilvl w:val="2"/>
              <w:numId w:val="4"/>
            </w:numPr>
            <w:tabs>
              <w:tab w:pos="1199" w:val="left" w:leader="none"/>
              <w:tab w:pos="8983" w:val="right" w:leader="dot"/>
            </w:tabs>
            <w:spacing w:line="240" w:lineRule="auto" w:before="142" w:after="0"/>
            <w:ind w:left="1198" w:right="0" w:hanging="604"/>
            <w:jc w:val="left"/>
            <w:rPr>
              <w:i w:val="0"/>
            </w:rPr>
          </w:pPr>
          <w:hyperlink w:history="true" w:anchor="_bookmark28">
            <w:r>
              <w:rPr>
                <w:i/>
              </w:rPr>
              <w:t>Peces (experimento</w:t>
            </w:r>
            <w:r>
              <w:rPr>
                <w:i/>
                <w:spacing w:val="1"/>
              </w:rPr>
              <w:t> </w:t>
            </w:r>
            <w:r>
              <w:rPr>
                <w:i/>
              </w:rPr>
              <w:t>in</w:t>
            </w:r>
            <w:r>
              <w:rPr>
                <w:i/>
                <w:spacing w:val="1"/>
              </w:rPr>
              <w:t> </w:t>
            </w:r>
            <w:r>
              <w:rPr>
                <w:i/>
              </w:rPr>
              <w:t>vivo)</w:t>
            </w:r>
            <w:r>
              <w:rPr>
                <w:i w:val="0"/>
              </w:rPr>
              <w:tab/>
              <w:t>30</w:t>
            </w:r>
          </w:hyperlink>
        </w:p>
        <w:p>
          <w:pPr>
            <w:pStyle w:val="TOC5"/>
            <w:numPr>
              <w:ilvl w:val="2"/>
              <w:numId w:val="4"/>
            </w:numPr>
            <w:tabs>
              <w:tab w:pos="1199" w:val="left" w:leader="none"/>
              <w:tab w:pos="8983" w:val="right" w:leader="dot"/>
            </w:tabs>
            <w:spacing w:line="240" w:lineRule="auto" w:before="141" w:after="0"/>
            <w:ind w:left="1198" w:right="0" w:hanging="604"/>
            <w:jc w:val="left"/>
            <w:rPr>
              <w:b w:val="0"/>
              <w:i w:val="0"/>
              <w:sz w:val="24"/>
            </w:rPr>
          </w:pPr>
          <w:hyperlink w:history="true" w:anchor="_bookmark29">
            <w:r>
              <w:rPr>
                <w:b w:val="0"/>
                <w:i/>
                <w:sz w:val="24"/>
              </w:rPr>
              <w:t>Virus</w:t>
            </w:r>
            <w:r>
              <w:rPr>
                <w:b w:val="0"/>
                <w:i w:val="0"/>
                <w:sz w:val="24"/>
              </w:rPr>
              <w:tab/>
              <w:t>30</w:t>
            </w:r>
          </w:hyperlink>
        </w:p>
        <w:p>
          <w:pPr>
            <w:pStyle w:val="TOC4"/>
            <w:numPr>
              <w:ilvl w:val="2"/>
              <w:numId w:val="4"/>
            </w:numPr>
            <w:tabs>
              <w:tab w:pos="1199" w:val="left" w:leader="none"/>
              <w:tab w:pos="8983" w:val="right" w:leader="dot"/>
            </w:tabs>
            <w:spacing w:line="240" w:lineRule="auto" w:before="141" w:after="0"/>
            <w:ind w:left="1198" w:right="0" w:hanging="604"/>
            <w:jc w:val="left"/>
            <w:rPr>
              <w:i w:val="0"/>
            </w:rPr>
          </w:pPr>
          <w:hyperlink w:history="true" w:anchor="_bookmark30">
            <w:r>
              <w:rPr>
                <w:i/>
              </w:rPr>
              <w:t>Infección</w:t>
            </w:r>
            <w:r>
              <w:rPr>
                <w:i/>
                <w:spacing w:val="-2"/>
              </w:rPr>
              <w:t> </w:t>
            </w:r>
            <w:r>
              <w:rPr>
                <w:i/>
              </w:rPr>
              <w:t>experimental</w:t>
            </w:r>
            <w:r>
              <w:rPr>
                <w:i w:val="0"/>
              </w:rPr>
              <w:tab/>
              <w:t>31</w:t>
            </w:r>
          </w:hyperlink>
        </w:p>
        <w:p>
          <w:pPr>
            <w:pStyle w:val="TOC4"/>
            <w:numPr>
              <w:ilvl w:val="2"/>
              <w:numId w:val="4"/>
            </w:numPr>
            <w:tabs>
              <w:tab w:pos="1199" w:val="left" w:leader="none"/>
              <w:tab w:pos="8983" w:val="right" w:leader="dot"/>
            </w:tabs>
            <w:spacing w:line="240" w:lineRule="auto" w:before="141" w:after="0"/>
            <w:ind w:left="1198" w:right="0" w:hanging="604"/>
            <w:jc w:val="left"/>
            <w:rPr>
              <w:i w:val="0"/>
            </w:rPr>
          </w:pPr>
          <w:hyperlink w:history="true" w:anchor="_bookmark31">
            <w:r>
              <w:rPr>
                <w:i/>
              </w:rPr>
              <w:t>Toma</w:t>
            </w:r>
            <w:r>
              <w:rPr>
                <w:i/>
                <w:spacing w:val="-5"/>
              </w:rPr>
              <w:t> </w:t>
            </w:r>
            <w:r>
              <w:rPr>
                <w:i/>
              </w:rPr>
              <w:t>de muestra</w:t>
            </w:r>
            <w:r>
              <w:rPr>
                <w:i w:val="0"/>
              </w:rPr>
              <w:tab/>
              <w:t>31</w:t>
            </w:r>
          </w:hyperlink>
        </w:p>
        <w:p>
          <w:pPr>
            <w:pStyle w:val="TOC6"/>
            <w:numPr>
              <w:ilvl w:val="3"/>
              <w:numId w:val="4"/>
            </w:numPr>
            <w:tabs>
              <w:tab w:pos="1597" w:val="left" w:leader="none"/>
              <w:tab w:pos="8983" w:val="right" w:leader="dot"/>
            </w:tabs>
            <w:spacing w:line="240" w:lineRule="auto" w:before="142" w:after="0"/>
            <w:ind w:left="1596" w:right="0" w:hanging="781"/>
            <w:jc w:val="left"/>
            <w:rPr>
              <w:i w:val="0"/>
            </w:rPr>
          </w:pPr>
          <w:hyperlink w:history="true" w:anchor="_bookmark32">
            <w:r>
              <w:rPr>
                <w:i/>
              </w:rPr>
              <w:t>Extracción de RNA total y</w:t>
            </w:r>
            <w:r>
              <w:rPr>
                <w:i/>
                <w:spacing w:val="-2"/>
              </w:rPr>
              <w:t> </w:t>
            </w:r>
            <w:r>
              <w:rPr>
                <w:i/>
              </w:rPr>
              <w:t>Retro-transcripción</w:t>
            </w:r>
            <w:r>
              <w:rPr>
                <w:i/>
                <w:spacing w:val="1"/>
              </w:rPr>
              <w:t> </w:t>
            </w:r>
            <w:r>
              <w:rPr>
                <w:i/>
              </w:rPr>
              <w:t>(RT)</w:t>
            </w:r>
            <w:r>
              <w:rPr>
                <w:i w:val="0"/>
              </w:rPr>
              <w:tab/>
              <w:t>31</w:t>
            </w:r>
          </w:hyperlink>
        </w:p>
        <w:p>
          <w:pPr>
            <w:pStyle w:val="TOC4"/>
            <w:numPr>
              <w:ilvl w:val="2"/>
              <w:numId w:val="4"/>
            </w:numPr>
            <w:tabs>
              <w:tab w:pos="1199" w:val="left" w:leader="none"/>
              <w:tab w:pos="8983" w:val="right" w:leader="dot"/>
            </w:tabs>
            <w:spacing w:line="240" w:lineRule="auto" w:before="141" w:after="0"/>
            <w:ind w:left="1198" w:right="0" w:hanging="604"/>
            <w:jc w:val="left"/>
            <w:rPr>
              <w:i w:val="0"/>
            </w:rPr>
          </w:pPr>
          <w:hyperlink w:history="true" w:anchor="_bookmark33">
            <w:r>
              <w:rPr>
                <w:i/>
              </w:rPr>
              <w:t>PCR en tiempo</w:t>
            </w:r>
            <w:r>
              <w:rPr>
                <w:i/>
                <w:spacing w:val="1"/>
              </w:rPr>
              <w:t> </w:t>
            </w:r>
            <w:r>
              <w:rPr>
                <w:i/>
              </w:rPr>
              <w:t>real</w:t>
            </w:r>
            <w:r>
              <w:rPr>
                <w:i/>
                <w:spacing w:val="1"/>
              </w:rPr>
              <w:t> </w:t>
            </w:r>
            <w:r>
              <w:rPr>
                <w:i/>
              </w:rPr>
              <w:t>(qPCR)</w:t>
            </w:r>
            <w:r>
              <w:rPr>
                <w:i w:val="0"/>
              </w:rPr>
              <w:tab/>
              <w:t>32</w:t>
            </w:r>
          </w:hyperlink>
        </w:p>
        <w:p>
          <w:pPr>
            <w:pStyle w:val="TOC4"/>
            <w:numPr>
              <w:ilvl w:val="2"/>
              <w:numId w:val="4"/>
            </w:numPr>
            <w:tabs>
              <w:tab w:pos="1199" w:val="left" w:leader="none"/>
              <w:tab w:pos="8983" w:val="right" w:leader="dot"/>
            </w:tabs>
            <w:spacing w:line="240" w:lineRule="auto" w:before="137" w:after="0"/>
            <w:ind w:left="1198" w:right="0" w:hanging="604"/>
            <w:jc w:val="left"/>
            <w:rPr>
              <w:i w:val="0"/>
            </w:rPr>
          </w:pPr>
          <w:hyperlink w:history="true" w:anchor="_bookmark34">
            <w:r>
              <w:rPr>
                <w:i/>
              </w:rPr>
              <w:t>Análisis</w:t>
            </w:r>
            <w:r>
              <w:rPr>
                <w:i/>
                <w:spacing w:val="-1"/>
              </w:rPr>
              <w:t> </w:t>
            </w:r>
            <w:r>
              <w:rPr>
                <w:i/>
              </w:rPr>
              <w:t>estadístico</w:t>
            </w:r>
            <w:r>
              <w:rPr>
                <w:i w:val="0"/>
              </w:rPr>
              <w:tab/>
              <w:t>33</w:t>
            </w:r>
          </w:hyperlink>
        </w:p>
        <w:p>
          <w:pPr>
            <w:pStyle w:val="TOC2"/>
            <w:numPr>
              <w:ilvl w:val="1"/>
              <w:numId w:val="5"/>
            </w:numPr>
            <w:tabs>
              <w:tab w:pos="796" w:val="left" w:leader="none"/>
              <w:tab w:pos="8983" w:val="right" w:leader="dot"/>
            </w:tabs>
            <w:spacing w:line="240" w:lineRule="auto" w:before="141" w:after="0"/>
            <w:ind w:left="795" w:right="0" w:hanging="422"/>
            <w:jc w:val="left"/>
            <w:rPr>
              <w:i w:val="0"/>
            </w:rPr>
          </w:pPr>
          <w:hyperlink w:history="true" w:anchor="_bookmark35">
            <w:r>
              <w:rPr>
                <w:i/>
              </w:rPr>
              <w:t>Virus y células (experimento</w:t>
            </w:r>
            <w:r>
              <w:rPr>
                <w:i/>
                <w:spacing w:val="2"/>
              </w:rPr>
              <w:t> </w:t>
            </w:r>
            <w:r>
              <w:rPr>
                <w:i/>
              </w:rPr>
              <w:t>in</w:t>
            </w:r>
            <w:r>
              <w:rPr>
                <w:i/>
                <w:spacing w:val="1"/>
              </w:rPr>
              <w:t> </w:t>
            </w:r>
            <w:r>
              <w:rPr>
                <w:i/>
              </w:rPr>
              <w:t>vitro)</w:t>
            </w:r>
            <w:r>
              <w:rPr>
                <w:i w:val="0"/>
              </w:rPr>
              <w:tab/>
              <w:t>34</w:t>
            </w:r>
          </w:hyperlink>
        </w:p>
        <w:p>
          <w:pPr>
            <w:pStyle w:val="TOC4"/>
            <w:numPr>
              <w:ilvl w:val="2"/>
              <w:numId w:val="5"/>
            </w:numPr>
            <w:tabs>
              <w:tab w:pos="1199" w:val="left" w:leader="none"/>
              <w:tab w:pos="8983" w:val="right" w:leader="dot"/>
            </w:tabs>
            <w:spacing w:line="240" w:lineRule="auto" w:before="142" w:after="0"/>
            <w:ind w:left="1198" w:right="0" w:hanging="604"/>
            <w:jc w:val="left"/>
            <w:rPr>
              <w:i w:val="0"/>
            </w:rPr>
          </w:pPr>
          <w:hyperlink w:history="true" w:anchor="_bookmark36">
            <w:r>
              <w:rPr>
                <w:i/>
              </w:rPr>
              <w:t>Infección</w:t>
            </w:r>
            <w:r>
              <w:rPr>
                <w:i/>
                <w:spacing w:val="-4"/>
              </w:rPr>
              <w:t> </w:t>
            </w:r>
            <w:r>
              <w:rPr>
                <w:i/>
              </w:rPr>
              <w:t>celular</w:t>
            </w:r>
            <w:r>
              <w:rPr>
                <w:i w:val="0"/>
              </w:rPr>
              <w:tab/>
              <w:t>34</w:t>
            </w:r>
          </w:hyperlink>
        </w:p>
        <w:p>
          <w:pPr>
            <w:pStyle w:val="TOC4"/>
            <w:numPr>
              <w:ilvl w:val="2"/>
              <w:numId w:val="5"/>
            </w:numPr>
            <w:tabs>
              <w:tab w:pos="1199" w:val="left" w:leader="none"/>
              <w:tab w:pos="8983" w:val="right" w:leader="dot"/>
            </w:tabs>
            <w:spacing w:line="240" w:lineRule="auto" w:before="141" w:after="0"/>
            <w:ind w:left="1198" w:right="0" w:hanging="604"/>
            <w:jc w:val="left"/>
            <w:rPr>
              <w:i w:val="0"/>
            </w:rPr>
          </w:pPr>
          <w:hyperlink w:history="true" w:anchor="_bookmark37">
            <w:r>
              <w:rPr>
                <w:i/>
              </w:rPr>
              <w:t>Extracción de RNA y</w:t>
            </w:r>
            <w:r>
              <w:rPr>
                <w:i/>
                <w:spacing w:val="-4"/>
              </w:rPr>
              <w:t> </w:t>
            </w:r>
            <w:r>
              <w:rPr>
                <w:i/>
              </w:rPr>
              <w:t>retrotranscripción</w:t>
            </w:r>
            <w:r>
              <w:rPr>
                <w:i/>
                <w:spacing w:val="1"/>
              </w:rPr>
              <w:t> </w:t>
            </w:r>
            <w:r>
              <w:rPr>
                <w:i/>
              </w:rPr>
              <w:t>(RT)</w:t>
            </w:r>
            <w:r>
              <w:rPr>
                <w:i w:val="0"/>
              </w:rPr>
              <w:tab/>
              <w:t>34</w:t>
            </w:r>
          </w:hyperlink>
        </w:p>
        <w:p>
          <w:pPr>
            <w:pStyle w:val="TOC4"/>
            <w:numPr>
              <w:ilvl w:val="2"/>
              <w:numId w:val="5"/>
            </w:numPr>
            <w:tabs>
              <w:tab w:pos="1199" w:val="left" w:leader="none"/>
              <w:tab w:pos="8983" w:val="right" w:leader="dot"/>
            </w:tabs>
            <w:spacing w:line="240" w:lineRule="auto" w:before="141" w:after="0"/>
            <w:ind w:left="1198" w:right="0" w:hanging="604"/>
            <w:jc w:val="left"/>
            <w:rPr>
              <w:i w:val="0"/>
            </w:rPr>
          </w:pPr>
          <w:hyperlink w:history="true" w:anchor="_bookmark38">
            <w:r>
              <w:rPr>
                <w:i/>
              </w:rPr>
              <w:t>PCR en tiempo</w:t>
            </w:r>
            <w:r>
              <w:rPr>
                <w:i/>
                <w:spacing w:val="1"/>
              </w:rPr>
              <w:t> </w:t>
            </w:r>
            <w:r>
              <w:rPr>
                <w:i/>
              </w:rPr>
              <w:t>real</w:t>
            </w:r>
            <w:r>
              <w:rPr>
                <w:i/>
                <w:spacing w:val="1"/>
              </w:rPr>
              <w:t> </w:t>
            </w:r>
            <w:r>
              <w:rPr>
                <w:i/>
              </w:rPr>
              <w:t>(qRT-PCR)</w:t>
            </w:r>
            <w:r>
              <w:rPr>
                <w:i w:val="0"/>
              </w:rPr>
              <w:tab/>
              <w:t>35</w:t>
            </w:r>
          </w:hyperlink>
        </w:p>
        <w:p>
          <w:pPr>
            <w:pStyle w:val="TOC4"/>
            <w:numPr>
              <w:ilvl w:val="2"/>
              <w:numId w:val="5"/>
            </w:numPr>
            <w:tabs>
              <w:tab w:pos="1199" w:val="left" w:leader="none"/>
              <w:tab w:pos="8983" w:val="right" w:leader="dot"/>
            </w:tabs>
            <w:spacing w:line="240" w:lineRule="auto" w:before="141" w:after="0"/>
            <w:ind w:left="1198" w:right="0" w:hanging="604"/>
            <w:jc w:val="left"/>
            <w:rPr>
              <w:i w:val="0"/>
            </w:rPr>
          </w:pPr>
          <w:hyperlink w:history="true" w:anchor="_bookmark39">
            <w:r>
              <w:rPr>
                <w:i/>
              </w:rPr>
              <w:t>Inmunotransferencia para fosforilación de</w:t>
            </w:r>
            <w:r>
              <w:rPr>
                <w:i/>
                <w:spacing w:val="-1"/>
              </w:rPr>
              <w:t> </w:t>
            </w:r>
            <w:r>
              <w:rPr>
                <w:i/>
              </w:rPr>
              <w:t>Y701-STAT1</w:t>
            </w:r>
            <w:r>
              <w:rPr>
                <w:i/>
                <w:spacing w:val="-3"/>
              </w:rPr>
              <w:t> </w:t>
            </w:r>
            <w:r>
              <w:rPr>
                <w:i/>
              </w:rPr>
              <w:t>(α/β)</w:t>
            </w:r>
            <w:r>
              <w:rPr>
                <w:i w:val="0"/>
              </w:rPr>
              <w:tab/>
              <w:t>36</w:t>
            </w:r>
          </w:hyperlink>
        </w:p>
        <w:p>
          <w:pPr>
            <w:pStyle w:val="TOC4"/>
            <w:numPr>
              <w:ilvl w:val="2"/>
              <w:numId w:val="5"/>
            </w:numPr>
            <w:tabs>
              <w:tab w:pos="1199" w:val="left" w:leader="none"/>
              <w:tab w:pos="8983" w:val="right" w:leader="dot"/>
            </w:tabs>
            <w:spacing w:line="240" w:lineRule="auto" w:before="142" w:after="0"/>
            <w:ind w:left="1198" w:right="0" w:hanging="604"/>
            <w:jc w:val="left"/>
            <w:rPr>
              <w:i w:val="0"/>
            </w:rPr>
          </w:pPr>
          <w:hyperlink w:history="true" w:anchor="_bookmark40">
            <w:r>
              <w:rPr>
                <w:i/>
              </w:rPr>
              <w:t>Análisis</w:t>
            </w:r>
            <w:r>
              <w:rPr>
                <w:i/>
                <w:spacing w:val="-1"/>
              </w:rPr>
              <w:t> </w:t>
            </w:r>
            <w:r>
              <w:rPr>
                <w:i/>
              </w:rPr>
              <w:t>estadístico</w:t>
            </w:r>
            <w:r>
              <w:rPr>
                <w:i w:val="0"/>
              </w:rPr>
              <w:tab/>
              <w:t>37</w:t>
            </w:r>
          </w:hyperlink>
        </w:p>
        <w:p>
          <w:pPr>
            <w:pStyle w:val="TOC1"/>
            <w:numPr>
              <w:ilvl w:val="0"/>
              <w:numId w:val="1"/>
            </w:numPr>
            <w:tabs>
              <w:tab w:pos="609" w:val="left" w:leader="none"/>
              <w:tab w:pos="8983" w:val="right" w:leader="dot"/>
            </w:tabs>
            <w:spacing w:line="240" w:lineRule="auto" w:before="141" w:after="0"/>
            <w:ind w:left="608" w:right="0" w:hanging="456"/>
            <w:jc w:val="left"/>
          </w:pPr>
          <w:hyperlink w:history="true" w:anchor="_bookmark41">
            <w:r>
              <w:rPr/>
              <w:t>RESULTADOS</w:t>
              <w:tab/>
              <w:t>39</w:t>
            </w:r>
          </w:hyperlink>
        </w:p>
        <w:p>
          <w:pPr>
            <w:pStyle w:val="TOC2"/>
            <w:numPr>
              <w:ilvl w:val="1"/>
              <w:numId w:val="6"/>
            </w:numPr>
            <w:tabs>
              <w:tab w:pos="739" w:val="left" w:leader="none"/>
              <w:tab w:pos="8983" w:val="right" w:leader="dot"/>
            </w:tabs>
            <w:spacing w:line="271" w:lineRule="auto" w:before="146" w:after="0"/>
            <w:ind w:left="373" w:right="114" w:firstLine="0"/>
            <w:jc w:val="left"/>
            <w:rPr>
              <w:i w:val="0"/>
            </w:rPr>
          </w:pPr>
          <w:hyperlink w:history="true" w:anchor="_bookmark42">
            <w:r>
              <w:rPr>
                <w:i/>
              </w:rPr>
              <w:t>Artículo Publicado en International Journal </w:t>
            </w:r>
            <w:r>
              <w:rPr>
                <w:i/>
                <w:spacing w:val="-3"/>
              </w:rPr>
              <w:t>of </w:t>
            </w:r>
            <w:r>
              <w:rPr>
                <w:i/>
              </w:rPr>
              <w:t>Tropical Biology and Conservation,</w:t>
            </w:r>
          </w:hyperlink>
          <w:r>
            <w:rPr>
              <w:i/>
            </w:rPr>
            <w:t> </w:t>
          </w:r>
          <w:hyperlink w:history="true" w:anchor="_bookmark42">
            <w:r>
              <w:rPr/>
              <w:t>Volumen 63: (2)</w:t>
            </w:r>
            <w:r>
              <w:rPr>
                <w:spacing w:val="7"/>
              </w:rPr>
              <w:t> </w:t>
            </w:r>
            <w:r>
              <w:rPr/>
              <w:t>Jun</w:t>
            </w:r>
            <w:r>
              <w:rPr>
                <w:spacing w:val="1"/>
              </w:rPr>
              <w:t> </w:t>
            </w:r>
            <w:r>
              <w:rPr/>
              <w:t>2015</w:t>
            </w:r>
            <w:r>
              <w:rPr>
                <w:i w:val="0"/>
              </w:rPr>
              <w:tab/>
              <w:t>39</w:t>
            </w:r>
          </w:hyperlink>
        </w:p>
        <w:p>
          <w:pPr>
            <w:pStyle w:val="TOC2"/>
            <w:numPr>
              <w:ilvl w:val="1"/>
              <w:numId w:val="6"/>
            </w:numPr>
            <w:tabs>
              <w:tab w:pos="739" w:val="left" w:leader="none"/>
              <w:tab w:pos="8983" w:val="right" w:leader="dot"/>
            </w:tabs>
            <w:spacing w:line="240" w:lineRule="auto" w:before="107" w:after="0"/>
            <w:ind w:left="738" w:right="0" w:hanging="365"/>
            <w:jc w:val="left"/>
            <w:rPr>
              <w:i w:val="0"/>
            </w:rPr>
          </w:pPr>
          <w:hyperlink w:history="true" w:anchor="_bookmark43">
            <w:r>
              <w:rPr>
                <w:i/>
              </w:rPr>
              <w:t>Artículo enviado a Journal </w:t>
            </w:r>
            <w:r>
              <w:rPr>
                <w:i/>
                <w:spacing w:val="-3"/>
              </w:rPr>
              <w:t>of </w:t>
            </w:r>
            <w:r>
              <w:rPr>
                <w:i/>
              </w:rPr>
              <w:t>Aquatic</w:t>
            </w:r>
            <w:r>
              <w:rPr>
                <w:i/>
                <w:spacing w:val="2"/>
              </w:rPr>
              <w:t> </w:t>
            </w:r>
            <w:r>
              <w:rPr>
                <w:i/>
              </w:rPr>
              <w:t>Animal</w:t>
            </w:r>
            <w:r>
              <w:rPr>
                <w:i/>
                <w:spacing w:val="-3"/>
              </w:rPr>
              <w:t> </w:t>
            </w:r>
            <w:r>
              <w:rPr>
                <w:i/>
              </w:rPr>
              <w:t>Health.</w:t>
            </w:r>
            <w:r>
              <w:rPr>
                <w:i w:val="0"/>
              </w:rPr>
              <w:tab/>
              <w:t>51</w:t>
            </w:r>
          </w:hyperlink>
        </w:p>
        <w:p>
          <w:pPr>
            <w:pStyle w:val="TOC1"/>
            <w:numPr>
              <w:ilvl w:val="0"/>
              <w:numId w:val="1"/>
            </w:numPr>
            <w:tabs>
              <w:tab w:pos="690" w:val="left" w:leader="none"/>
              <w:tab w:pos="8983" w:val="right" w:leader="dot"/>
            </w:tabs>
            <w:spacing w:line="240" w:lineRule="auto" w:before="142" w:after="0"/>
            <w:ind w:left="689" w:right="0" w:hanging="537"/>
            <w:jc w:val="left"/>
          </w:pPr>
          <w:hyperlink w:history="true" w:anchor="_bookmark44">
            <w:r>
              <w:rPr/>
              <w:t>DISCUSIÓN</w:t>
              <w:tab/>
              <w:t>79</w:t>
            </w:r>
          </w:hyperlink>
        </w:p>
        <w:p>
          <w:pPr>
            <w:pStyle w:val="TOC1"/>
            <w:numPr>
              <w:ilvl w:val="0"/>
              <w:numId w:val="1"/>
            </w:numPr>
            <w:tabs>
              <w:tab w:pos="532" w:val="left" w:leader="none"/>
              <w:tab w:pos="8983" w:val="right" w:leader="dot"/>
            </w:tabs>
            <w:spacing w:line="240" w:lineRule="auto" w:before="141" w:after="0"/>
            <w:ind w:left="531" w:right="0" w:hanging="379"/>
            <w:jc w:val="left"/>
          </w:pPr>
          <w:hyperlink w:history="true" w:anchor="_bookmark45">
            <w:r>
              <w:rPr/>
              <w:t>CONCLUSIONES</w:t>
              <w:tab/>
              <w:t>86</w:t>
            </w:r>
          </w:hyperlink>
        </w:p>
        <w:p>
          <w:pPr>
            <w:pStyle w:val="TOC1"/>
            <w:numPr>
              <w:ilvl w:val="0"/>
              <w:numId w:val="1"/>
            </w:numPr>
            <w:tabs>
              <w:tab w:pos="451" w:val="left" w:leader="none"/>
              <w:tab w:pos="8983" w:val="right" w:leader="dot"/>
            </w:tabs>
            <w:spacing w:line="240" w:lineRule="auto" w:before="141" w:after="0"/>
            <w:ind w:left="450" w:right="0" w:hanging="298"/>
            <w:jc w:val="left"/>
          </w:pPr>
          <w:hyperlink w:history="true" w:anchor="_bookmark46">
            <w:r>
              <w:rPr/>
              <w:t>REFERENCIAS</w:t>
            </w:r>
            <w:r>
              <w:rPr>
                <w:spacing w:val="1"/>
              </w:rPr>
              <w:t> </w:t>
            </w:r>
            <w:r>
              <w:rPr/>
              <w:t>BIBLIOGRÁFICAS</w:t>
              <w:tab/>
              <w:t>87</w:t>
            </w:r>
          </w:hyperlink>
        </w:p>
        <w:p>
          <w:pPr>
            <w:pStyle w:val="TOC1"/>
            <w:numPr>
              <w:ilvl w:val="0"/>
              <w:numId w:val="1"/>
            </w:numPr>
            <w:tabs>
              <w:tab w:pos="532" w:val="left" w:leader="none"/>
              <w:tab w:pos="8983" w:val="right" w:leader="dot"/>
            </w:tabs>
            <w:spacing w:line="240" w:lineRule="auto" w:before="141" w:after="0"/>
            <w:ind w:left="531" w:right="0" w:hanging="379"/>
            <w:jc w:val="left"/>
          </w:pPr>
          <w:hyperlink w:history="true" w:anchor="_bookmark47">
            <w:r>
              <w:rPr/>
              <w:t>ANEXOS</w:t>
              <w:tab/>
              <w:t>107</w:t>
            </w:r>
          </w:hyperlink>
        </w:p>
      </w:sdtContent>
    </w:sdt>
    <w:p>
      <w:pPr>
        <w:spacing w:after="0" w:line="240" w:lineRule="auto"/>
        <w:jc w:val="left"/>
        <w:sectPr>
          <w:type w:val="continuous"/>
          <w:pgSz w:w="12240" w:h="15840"/>
          <w:pgMar w:top="1500" w:bottom="1997" w:left="1720" w:right="1420"/>
        </w:sectPr>
      </w:pPr>
    </w:p>
    <w:p>
      <w:pPr>
        <w:pStyle w:val="BodyText"/>
        <w:spacing w:before="7"/>
        <w:rPr>
          <w:sz w:val="31"/>
        </w:rPr>
      </w:pPr>
    </w:p>
    <w:p>
      <w:pPr>
        <w:pStyle w:val="Heading1"/>
        <w:spacing w:before="1"/>
      </w:pPr>
      <w:r>
        <w:rPr/>
        <w:t>Lista de cuadros y figuras</w:t>
      </w:r>
    </w:p>
    <w:p>
      <w:pPr>
        <w:pStyle w:val="BodyText"/>
        <w:spacing w:before="5"/>
        <w:rPr>
          <w:b/>
          <w:sz w:val="29"/>
        </w:rPr>
      </w:pPr>
    </w:p>
    <w:p>
      <w:pPr>
        <w:pStyle w:val="BodyText"/>
        <w:tabs>
          <w:tab w:pos="8541" w:val="left" w:leader="dot"/>
        </w:tabs>
        <w:ind w:left="152"/>
      </w:pPr>
      <w:r>
        <w:rPr/>
        <w:t>Cuadro </w:t>
      </w:r>
      <w:r>
        <w:rPr>
          <w:spacing w:val="-3"/>
        </w:rPr>
        <w:t>1. </w:t>
      </w:r>
      <w:r>
        <w:rPr/>
        <w:t>Nomenclatura actual de Serogrupos</w:t>
      </w:r>
      <w:r>
        <w:rPr>
          <w:spacing w:val="2"/>
        </w:rPr>
        <w:t> </w:t>
      </w:r>
      <w:r>
        <w:rPr/>
        <w:t>de</w:t>
      </w:r>
      <w:r>
        <w:rPr>
          <w:spacing w:val="-6"/>
        </w:rPr>
        <w:t> </w:t>
      </w:r>
      <w:r>
        <w:rPr/>
        <w:t>IPNV</w:t>
        <w:tab/>
        <w:t>6</w:t>
      </w:r>
    </w:p>
    <w:p>
      <w:pPr>
        <w:pStyle w:val="BodyText"/>
        <w:tabs>
          <w:tab w:pos="8421" w:val="left" w:leader="dot"/>
        </w:tabs>
        <w:spacing w:before="137"/>
        <w:ind w:left="152"/>
      </w:pPr>
      <w:r>
        <w:rPr/>
        <w:t>Cuadro </w:t>
      </w:r>
      <w:r>
        <w:rPr>
          <w:spacing w:val="-3"/>
        </w:rPr>
        <w:t>2. </w:t>
      </w:r>
      <w:r>
        <w:rPr/>
        <w:t>Partidores usados para RT-PCR cuantitativo (experimento</w:t>
      </w:r>
      <w:r>
        <w:rPr>
          <w:spacing w:val="3"/>
        </w:rPr>
        <w:t> </w:t>
      </w:r>
      <w:r>
        <w:rPr>
          <w:i/>
        </w:rPr>
        <w:t>in</w:t>
      </w:r>
      <w:r>
        <w:rPr>
          <w:i/>
          <w:spacing w:val="-1"/>
        </w:rPr>
        <w:t> </w:t>
      </w:r>
      <w:r>
        <w:rPr>
          <w:i/>
        </w:rPr>
        <w:t>vivo</w:t>
      </w:r>
      <w:r>
        <w:rPr/>
        <w:t>)</w:t>
        <w:tab/>
        <w:t>33</w:t>
      </w:r>
    </w:p>
    <w:p>
      <w:pPr>
        <w:pStyle w:val="BodyText"/>
        <w:tabs>
          <w:tab w:pos="8421" w:val="left" w:leader="dot"/>
        </w:tabs>
        <w:spacing w:before="137"/>
        <w:ind w:left="152"/>
      </w:pPr>
      <w:r>
        <w:rPr/>
        <w:t>Cuadro </w:t>
      </w:r>
      <w:r>
        <w:rPr>
          <w:spacing w:val="-3"/>
        </w:rPr>
        <w:t>3. </w:t>
      </w:r>
      <w:r>
        <w:rPr/>
        <w:t>Partidores para RT-PCR cuantitativo (experimento</w:t>
      </w:r>
      <w:r>
        <w:rPr>
          <w:spacing w:val="1"/>
        </w:rPr>
        <w:t> </w:t>
      </w:r>
      <w:r>
        <w:rPr>
          <w:i/>
        </w:rPr>
        <w:t>in</w:t>
      </w:r>
      <w:r>
        <w:rPr>
          <w:i/>
          <w:spacing w:val="-1"/>
        </w:rPr>
        <w:t> </w:t>
      </w:r>
      <w:r>
        <w:rPr>
          <w:i/>
        </w:rPr>
        <w:t>vitro</w:t>
      </w:r>
      <w:r>
        <w:rPr/>
        <w:t>)</w:t>
        <w:tab/>
        <w:t>36</w:t>
      </w:r>
    </w:p>
    <w:p>
      <w:pPr>
        <w:pStyle w:val="BodyText"/>
      </w:pPr>
    </w:p>
    <w:p>
      <w:pPr>
        <w:pStyle w:val="BodyText"/>
      </w:pPr>
    </w:p>
    <w:p>
      <w:pPr>
        <w:pStyle w:val="BodyText"/>
      </w:pPr>
    </w:p>
    <w:p>
      <w:pPr>
        <w:pStyle w:val="BodyText"/>
        <w:tabs>
          <w:tab w:pos="8541" w:val="left" w:leader="dot"/>
        </w:tabs>
        <w:spacing w:before="139"/>
        <w:ind w:left="152"/>
      </w:pPr>
      <w:r>
        <w:rPr/>
        <w:t>Figura 1. Organización y expresión genómica</w:t>
      </w:r>
      <w:r>
        <w:rPr>
          <w:spacing w:val="-15"/>
        </w:rPr>
        <w:t> </w:t>
      </w:r>
      <w:r>
        <w:rPr/>
        <w:t>de</w:t>
      </w:r>
      <w:r>
        <w:rPr>
          <w:spacing w:val="-2"/>
        </w:rPr>
        <w:t> </w:t>
      </w:r>
      <w:r>
        <w:rPr/>
        <w:t>IPNV</w:t>
        <w:tab/>
        <w:t>9</w:t>
      </w:r>
    </w:p>
    <w:p>
      <w:pPr>
        <w:pStyle w:val="BodyText"/>
        <w:tabs>
          <w:tab w:pos="8421" w:val="left" w:leader="dot"/>
        </w:tabs>
        <w:spacing w:before="137"/>
        <w:ind w:left="152"/>
      </w:pPr>
      <w:r>
        <w:rPr/>
        <w:t>Figura 2. . Estructura de</w:t>
      </w:r>
      <w:r>
        <w:rPr>
          <w:spacing w:val="-2"/>
        </w:rPr>
        <w:t> </w:t>
      </w:r>
      <w:r>
        <w:rPr/>
        <w:t>IPNV</w:t>
        <w:tab/>
        <w:t>10</w:t>
      </w:r>
    </w:p>
    <w:p>
      <w:pPr>
        <w:pStyle w:val="BodyText"/>
        <w:tabs>
          <w:tab w:pos="8421" w:val="left" w:leader="dot"/>
        </w:tabs>
        <w:spacing w:before="137"/>
        <w:ind w:left="152"/>
      </w:pPr>
      <w:r>
        <w:rPr/>
        <w:t>Figura 3. Virus de</w:t>
      </w:r>
      <w:r>
        <w:rPr>
          <w:spacing w:val="3"/>
        </w:rPr>
        <w:t> </w:t>
      </w:r>
      <w:r>
        <w:rPr>
          <w:spacing w:val="-5"/>
        </w:rPr>
        <w:t>la</w:t>
      </w:r>
      <w:r>
        <w:rPr>
          <w:spacing w:val="-1"/>
        </w:rPr>
        <w:t> </w:t>
      </w:r>
      <w:r>
        <w:rPr/>
        <w:t>NPI</w:t>
        <w:tab/>
        <w:t>12</w:t>
      </w:r>
    </w:p>
    <w:p>
      <w:pPr>
        <w:pStyle w:val="BodyText"/>
        <w:tabs>
          <w:tab w:pos="8421" w:val="left" w:leader="dot"/>
        </w:tabs>
        <w:spacing w:before="142"/>
        <w:ind w:left="152"/>
      </w:pPr>
      <w:r>
        <w:rPr/>
        <w:t>Figura 4. Órganos de</w:t>
      </w:r>
      <w:r>
        <w:rPr>
          <w:spacing w:val="3"/>
        </w:rPr>
        <w:t> </w:t>
      </w:r>
      <w:r>
        <w:rPr/>
        <w:t>peces</w:t>
      </w:r>
      <w:r>
        <w:rPr>
          <w:spacing w:val="-6"/>
        </w:rPr>
        <w:t> </w:t>
      </w:r>
      <w:r>
        <w:rPr/>
        <w:t>óseos</w:t>
        <w:tab/>
        <w:t>18</w:t>
      </w:r>
    </w:p>
    <w:p>
      <w:pPr>
        <w:pStyle w:val="BodyText"/>
        <w:tabs>
          <w:tab w:pos="8421" w:val="left" w:leader="dot"/>
        </w:tabs>
        <w:spacing w:before="137"/>
        <w:ind w:left="152"/>
      </w:pPr>
      <w:r>
        <w:rPr/>
        <w:t>Figura 5. Sistema de respuesta</w:t>
      </w:r>
      <w:r>
        <w:rPr>
          <w:spacing w:val="-4"/>
        </w:rPr>
        <w:t> </w:t>
      </w:r>
      <w:r>
        <w:rPr/>
        <w:t>de</w:t>
      </w:r>
      <w:r>
        <w:rPr>
          <w:spacing w:val="-2"/>
        </w:rPr>
        <w:t> </w:t>
      </w:r>
      <w:r>
        <w:rPr/>
        <w:t>IFN-I</w:t>
        <w:tab/>
        <w:t>21</w:t>
      </w:r>
    </w:p>
    <w:p>
      <w:pPr>
        <w:pStyle w:val="BodyText"/>
        <w:tabs>
          <w:tab w:pos="8421" w:val="left" w:leader="dot"/>
        </w:tabs>
        <w:spacing w:before="137"/>
        <w:ind w:left="152"/>
      </w:pPr>
      <w:r>
        <w:rPr/>
        <w:t>Figura 6. </w:t>
      </w:r>
      <w:r>
        <w:rPr>
          <w:spacing w:val="-3"/>
        </w:rPr>
        <w:t>Mecanismo </w:t>
      </w:r>
      <w:r>
        <w:rPr/>
        <w:t>de transducción</w:t>
      </w:r>
      <w:r>
        <w:rPr>
          <w:spacing w:val="14"/>
        </w:rPr>
        <w:t> </w:t>
      </w:r>
      <w:r>
        <w:rPr/>
        <w:t>de</w:t>
      </w:r>
      <w:r>
        <w:rPr>
          <w:spacing w:val="1"/>
        </w:rPr>
        <w:t> </w:t>
      </w:r>
      <w:r>
        <w:rPr/>
        <w:t>IFN-I</w:t>
        <w:tab/>
        <w:t>23</w:t>
      </w:r>
    </w:p>
    <w:p>
      <w:pPr>
        <w:pStyle w:val="BodyText"/>
        <w:tabs>
          <w:tab w:pos="8421" w:val="left" w:leader="dot"/>
        </w:tabs>
        <w:spacing w:before="137"/>
        <w:ind w:left="152"/>
      </w:pPr>
      <w:r>
        <w:rPr/>
        <w:t>Figura 7. Estructura del</w:t>
      </w:r>
      <w:r>
        <w:rPr>
          <w:spacing w:val="-11"/>
        </w:rPr>
        <w:t> </w:t>
      </w:r>
      <w:r>
        <w:rPr/>
        <w:t>complejo</w:t>
      </w:r>
      <w:r>
        <w:rPr>
          <w:spacing w:val="2"/>
        </w:rPr>
        <w:t> </w:t>
      </w:r>
      <w:r>
        <w:rPr/>
        <w:t>STAT1-DNA</w:t>
        <w:tab/>
        <w:t>24</w:t>
      </w:r>
    </w:p>
    <w:p>
      <w:pPr>
        <w:spacing w:after="0"/>
        <w:sectPr>
          <w:footerReference w:type="default" r:id="rId7"/>
          <w:pgSz w:w="12240" w:h="15840"/>
          <w:pgMar w:footer="1382" w:header="0" w:top="1500" w:bottom="1580" w:left="1720" w:right="1420"/>
          <w:pgNumType w:start="9"/>
        </w:sectPr>
      </w:pPr>
    </w:p>
    <w:p>
      <w:pPr>
        <w:pStyle w:val="BodyText"/>
        <w:rPr>
          <w:sz w:val="20"/>
        </w:rPr>
      </w:pPr>
    </w:p>
    <w:p>
      <w:pPr>
        <w:pStyle w:val="BodyText"/>
        <w:rPr>
          <w:sz w:val="20"/>
        </w:rPr>
      </w:pPr>
    </w:p>
    <w:p>
      <w:pPr>
        <w:pStyle w:val="BodyText"/>
        <w:rPr>
          <w:sz w:val="22"/>
        </w:rPr>
      </w:pPr>
    </w:p>
    <w:p>
      <w:pPr>
        <w:pStyle w:val="Heading1"/>
      </w:pPr>
      <w:r>
        <w:rPr/>
        <w:t>Anexos</w:t>
      </w:r>
    </w:p>
    <w:p>
      <w:pPr>
        <w:pStyle w:val="BodyText"/>
        <w:tabs>
          <w:tab w:pos="8661" w:val="right" w:leader="dot"/>
        </w:tabs>
        <w:spacing w:before="132"/>
        <w:ind w:left="152"/>
      </w:pPr>
      <w:r>
        <w:rPr/>
        <w:t>Anexo 1. Protocolo de extracción</w:t>
      </w:r>
      <w:r>
        <w:rPr>
          <w:spacing w:val="13"/>
        </w:rPr>
        <w:t> </w:t>
      </w:r>
      <w:r>
        <w:rPr/>
        <w:t>de RNA</w:t>
        <w:tab/>
        <w:t>108</w:t>
      </w:r>
    </w:p>
    <w:p>
      <w:pPr>
        <w:pStyle w:val="BodyText"/>
        <w:tabs>
          <w:tab w:pos="8661" w:val="right" w:leader="dot"/>
        </w:tabs>
        <w:spacing w:before="141"/>
        <w:ind w:left="152"/>
      </w:pPr>
      <w:r>
        <w:rPr/>
        <w:t>Anexo 2. Protocolo de tratamiento del RNA</w:t>
      </w:r>
      <w:r>
        <w:rPr>
          <w:spacing w:val="4"/>
        </w:rPr>
        <w:t> </w:t>
      </w:r>
      <w:r>
        <w:rPr/>
        <w:t>con</w:t>
      </w:r>
      <w:r>
        <w:rPr>
          <w:spacing w:val="53"/>
        </w:rPr>
        <w:t> </w:t>
      </w:r>
      <w:r>
        <w:rPr/>
        <w:t>DNAsa</w:t>
        <w:tab/>
        <w:t>109</w:t>
      </w:r>
    </w:p>
    <w:p>
      <w:pPr>
        <w:pStyle w:val="BodyText"/>
        <w:tabs>
          <w:tab w:pos="8661" w:val="right" w:leader="dot"/>
        </w:tabs>
        <w:spacing w:before="137"/>
        <w:ind w:left="152"/>
      </w:pPr>
      <w:r>
        <w:rPr/>
        <w:t>Anexo 3. Protocolo de extracción de</w:t>
      </w:r>
      <w:r>
        <w:rPr>
          <w:spacing w:val="11"/>
        </w:rPr>
        <w:t> </w:t>
      </w:r>
      <w:r>
        <w:rPr/>
        <w:t>proteínas</w:t>
      </w:r>
      <w:r>
        <w:rPr>
          <w:spacing w:val="-1"/>
        </w:rPr>
        <w:t> </w:t>
      </w:r>
      <w:r>
        <w:rPr/>
        <w:t>totales</w:t>
        <w:tab/>
        <w:t>110</w:t>
      </w:r>
    </w:p>
    <w:p>
      <w:pPr>
        <w:pStyle w:val="BodyText"/>
        <w:tabs>
          <w:tab w:pos="8661" w:val="right" w:leader="dot"/>
        </w:tabs>
        <w:spacing w:before="137"/>
        <w:ind w:left="152"/>
      </w:pPr>
      <w:r>
        <w:rPr/>
        <w:t>Anexo 4. Protocolo</w:t>
      </w:r>
      <w:r>
        <w:rPr>
          <w:spacing w:val="14"/>
        </w:rPr>
        <w:t> </w:t>
      </w:r>
      <w:r>
        <w:rPr/>
        <w:t>de Westernblot</w:t>
        <w:tab/>
        <w:t>111</w:t>
      </w:r>
    </w:p>
    <w:p>
      <w:pPr>
        <w:spacing w:after="0"/>
        <w:sectPr>
          <w:pgSz w:w="12240" w:h="15840"/>
          <w:pgMar w:header="0" w:footer="1382" w:top="1500" w:bottom="1580" w:left="1720" w:right="1420"/>
        </w:sectPr>
      </w:pPr>
    </w:p>
    <w:p>
      <w:pPr>
        <w:pStyle w:val="BodyText"/>
        <w:spacing w:before="1"/>
        <w:rPr>
          <w:sz w:val="32"/>
        </w:rPr>
      </w:pPr>
    </w:p>
    <w:p>
      <w:pPr>
        <w:pStyle w:val="Heading1"/>
        <w:numPr>
          <w:ilvl w:val="1"/>
          <w:numId w:val="1"/>
        </w:numPr>
        <w:tabs>
          <w:tab w:pos="3716" w:val="left" w:leader="none"/>
        </w:tabs>
        <w:spacing w:line="240" w:lineRule="auto" w:before="0" w:after="0"/>
        <w:ind w:left="3715" w:right="0" w:hanging="216"/>
        <w:jc w:val="left"/>
      </w:pPr>
      <w:bookmarkStart w:name="_bookmark3" w:id="4"/>
      <w:bookmarkEnd w:id="4"/>
      <w:r>
        <w:rPr>
          <w:b w:val="0"/>
        </w:rPr>
      </w:r>
      <w:bookmarkStart w:name="_bookmark3" w:id="5"/>
      <w:bookmarkEnd w:id="5"/>
      <w:r>
        <w:rPr/>
        <w:t>I</w:t>
      </w:r>
      <w:r>
        <w:rPr/>
        <w:t>NTRODUCCIÓN</w:t>
      </w:r>
    </w:p>
    <w:p>
      <w:pPr>
        <w:pStyle w:val="BodyText"/>
        <w:spacing w:line="360" w:lineRule="auto" w:before="132"/>
        <w:ind w:left="152" w:right="99"/>
        <w:jc w:val="both"/>
      </w:pPr>
      <w:r>
        <w:rPr/>
        <w:t>El virus de </w:t>
      </w:r>
      <w:r>
        <w:rPr>
          <w:spacing w:val="-3"/>
        </w:rPr>
        <w:t>la </w:t>
      </w:r>
      <w:r>
        <w:rPr/>
        <w:t>necrosis pancreática infecciosa (IPNV) es un miembro de </w:t>
      </w:r>
      <w:r>
        <w:rPr>
          <w:spacing w:val="-3"/>
        </w:rPr>
        <w:t>la </w:t>
      </w:r>
      <w:r>
        <w:rPr/>
        <w:t>familia aquabirnaviridae</w:t>
      </w:r>
      <w:r>
        <w:rPr>
          <w:spacing w:val="-14"/>
        </w:rPr>
        <w:t> </w:t>
      </w:r>
      <w:r>
        <w:rPr/>
        <w:t>que</w:t>
      </w:r>
      <w:r>
        <w:rPr>
          <w:spacing w:val="-14"/>
        </w:rPr>
        <w:t> </w:t>
      </w:r>
      <w:r>
        <w:rPr/>
        <w:t>causa</w:t>
      </w:r>
      <w:r>
        <w:rPr>
          <w:spacing w:val="-9"/>
        </w:rPr>
        <w:t> </w:t>
      </w:r>
      <w:r>
        <w:rPr>
          <w:spacing w:val="-5"/>
        </w:rPr>
        <w:t>la</w:t>
      </w:r>
      <w:r>
        <w:rPr>
          <w:spacing w:val="-14"/>
        </w:rPr>
        <w:t> </w:t>
      </w:r>
      <w:r>
        <w:rPr/>
        <w:t>necrosis</w:t>
      </w:r>
      <w:r>
        <w:rPr>
          <w:spacing w:val="-15"/>
        </w:rPr>
        <w:t> </w:t>
      </w:r>
      <w:r>
        <w:rPr/>
        <w:t>pancreática</w:t>
      </w:r>
      <w:r>
        <w:rPr>
          <w:spacing w:val="-9"/>
        </w:rPr>
        <w:t> </w:t>
      </w:r>
      <w:r>
        <w:rPr/>
        <w:t>infecciosa</w:t>
      </w:r>
      <w:r>
        <w:rPr>
          <w:spacing w:val="-14"/>
        </w:rPr>
        <w:t> </w:t>
      </w:r>
      <w:r>
        <w:rPr/>
        <w:t>una</w:t>
      </w:r>
      <w:r>
        <w:rPr>
          <w:spacing w:val="-14"/>
        </w:rPr>
        <w:t> </w:t>
      </w:r>
      <w:r>
        <w:rPr/>
        <w:t>enfermedad</w:t>
      </w:r>
      <w:r>
        <w:rPr>
          <w:spacing w:val="-13"/>
        </w:rPr>
        <w:t> </w:t>
      </w:r>
      <w:r>
        <w:rPr/>
        <w:t>emergente</w:t>
      </w:r>
      <w:r>
        <w:rPr>
          <w:spacing w:val="-14"/>
        </w:rPr>
        <w:t> </w:t>
      </w:r>
      <w:r>
        <w:rPr/>
        <w:t>que afecta predominantemente salmónidos (OIE, 2006). El genoma de IPNV está compuesto de dos segmentos de RNA de doble hebra (dsRNA) que codifica cinco proteínas virales. </w:t>
      </w:r>
      <w:r>
        <w:rPr>
          <w:spacing w:val="3"/>
        </w:rPr>
        <w:t>El </w:t>
      </w:r>
      <w:r>
        <w:rPr/>
        <w:t>segmento A codifica VP2, VP3, VP4 y VP5, mientras B codifica solamente VP1 (Jensen y Robertsen, 2002). Algunos estudios han demostrado que aminoácidos de </w:t>
      </w:r>
      <w:r>
        <w:rPr>
          <w:spacing w:val="-5"/>
        </w:rPr>
        <w:t>la </w:t>
      </w:r>
      <w:r>
        <w:rPr/>
        <w:t>VP2 en las posiciones</w:t>
      </w:r>
      <w:r>
        <w:rPr>
          <w:spacing w:val="-12"/>
        </w:rPr>
        <w:t> </w:t>
      </w:r>
      <w:r>
        <w:rPr/>
        <w:t>217</w:t>
      </w:r>
      <w:r>
        <w:rPr>
          <w:spacing w:val="-6"/>
        </w:rPr>
        <w:t> </w:t>
      </w:r>
      <w:r>
        <w:rPr/>
        <w:t>y</w:t>
      </w:r>
      <w:r>
        <w:rPr>
          <w:spacing w:val="-19"/>
        </w:rPr>
        <w:t> </w:t>
      </w:r>
      <w:r>
        <w:rPr/>
        <w:t>221</w:t>
      </w:r>
      <w:r>
        <w:rPr>
          <w:spacing w:val="-10"/>
        </w:rPr>
        <w:t> </w:t>
      </w:r>
      <w:r>
        <w:rPr/>
        <w:t>son</w:t>
      </w:r>
      <w:r>
        <w:rPr>
          <w:spacing w:val="-14"/>
        </w:rPr>
        <w:t> </w:t>
      </w:r>
      <w:r>
        <w:rPr/>
        <w:t>clave</w:t>
      </w:r>
      <w:r>
        <w:rPr>
          <w:spacing w:val="-11"/>
        </w:rPr>
        <w:t> </w:t>
      </w:r>
      <w:r>
        <w:rPr/>
        <w:t>para</w:t>
      </w:r>
      <w:r>
        <w:rPr>
          <w:spacing w:val="-11"/>
        </w:rPr>
        <w:t> </w:t>
      </w:r>
      <w:r>
        <w:rPr/>
        <w:t>determinar</w:t>
      </w:r>
      <w:r>
        <w:rPr>
          <w:spacing w:val="-4"/>
        </w:rPr>
        <w:t> </w:t>
      </w:r>
      <w:r>
        <w:rPr>
          <w:spacing w:val="-3"/>
        </w:rPr>
        <w:t>la</w:t>
      </w:r>
      <w:r>
        <w:rPr>
          <w:spacing w:val="-11"/>
        </w:rPr>
        <w:t> </w:t>
      </w:r>
      <w:r>
        <w:rPr/>
        <w:t>virulencia</w:t>
      </w:r>
      <w:r>
        <w:rPr>
          <w:spacing w:val="-11"/>
        </w:rPr>
        <w:t> </w:t>
      </w:r>
      <w:r>
        <w:rPr/>
        <w:t>de</w:t>
      </w:r>
      <w:r>
        <w:rPr>
          <w:spacing w:val="-6"/>
        </w:rPr>
        <w:t> </w:t>
      </w:r>
      <w:r>
        <w:rPr>
          <w:spacing w:val="-3"/>
        </w:rPr>
        <w:t>las</w:t>
      </w:r>
      <w:r>
        <w:rPr>
          <w:spacing w:val="-12"/>
        </w:rPr>
        <w:t> </w:t>
      </w:r>
      <w:r>
        <w:rPr/>
        <w:t>cepas</w:t>
      </w:r>
      <w:r>
        <w:rPr>
          <w:spacing w:val="-12"/>
        </w:rPr>
        <w:t> </w:t>
      </w:r>
      <w:r>
        <w:rPr/>
        <w:t>del</w:t>
      </w:r>
      <w:r>
        <w:rPr>
          <w:spacing w:val="-14"/>
        </w:rPr>
        <w:t> </w:t>
      </w:r>
      <w:r>
        <w:rPr/>
        <w:t>serotipo</w:t>
      </w:r>
      <w:r>
        <w:rPr>
          <w:spacing w:val="-6"/>
        </w:rPr>
        <w:t> </w:t>
      </w:r>
      <w:r>
        <w:rPr/>
        <w:t>Sp</w:t>
      </w:r>
      <w:r>
        <w:rPr>
          <w:spacing w:val="-10"/>
        </w:rPr>
        <w:t> </w:t>
      </w:r>
      <w:r>
        <w:rPr/>
        <w:t>.Las cepas virulentas tienen una combinación de Thr y Ala en las posiciones 217 y 221, </w:t>
      </w:r>
      <w:r>
        <w:rPr>
          <w:position w:val="2"/>
        </w:rPr>
        <w:t>respectivamente (T</w:t>
      </w:r>
      <w:r>
        <w:rPr>
          <w:sz w:val="16"/>
        </w:rPr>
        <w:t>217 </w:t>
      </w:r>
      <w:r>
        <w:rPr>
          <w:position w:val="2"/>
        </w:rPr>
        <w:t>A</w:t>
      </w:r>
      <w:r>
        <w:rPr>
          <w:sz w:val="16"/>
        </w:rPr>
        <w:t>221</w:t>
      </w:r>
      <w:r>
        <w:rPr>
          <w:position w:val="2"/>
        </w:rPr>
        <w:t>), mientras que </w:t>
      </w:r>
      <w:r>
        <w:rPr>
          <w:spacing w:val="-4"/>
          <w:position w:val="2"/>
        </w:rPr>
        <w:t>las </w:t>
      </w:r>
      <w:r>
        <w:rPr>
          <w:position w:val="2"/>
        </w:rPr>
        <w:t>de media virulencia presentan </w:t>
      </w:r>
      <w:r>
        <w:rPr>
          <w:spacing w:val="2"/>
          <w:position w:val="2"/>
        </w:rPr>
        <w:t>P</w:t>
      </w:r>
      <w:r>
        <w:rPr>
          <w:spacing w:val="2"/>
          <w:sz w:val="16"/>
        </w:rPr>
        <w:t>217 </w:t>
      </w:r>
      <w:r>
        <w:rPr>
          <w:position w:val="2"/>
        </w:rPr>
        <w:t>A</w:t>
      </w:r>
      <w:r>
        <w:rPr>
          <w:sz w:val="16"/>
        </w:rPr>
        <w:t>221</w:t>
      </w:r>
      <w:r>
        <w:rPr>
          <w:position w:val="2"/>
        </w:rPr>
        <w:t>. Las cepas con Thr en </w:t>
      </w:r>
      <w:r>
        <w:rPr>
          <w:spacing w:val="-5"/>
          <w:position w:val="2"/>
        </w:rPr>
        <w:t>la </w:t>
      </w:r>
      <w:r>
        <w:rPr>
          <w:position w:val="2"/>
        </w:rPr>
        <w:t>posición 217 y 221 (T</w:t>
      </w:r>
      <w:r>
        <w:rPr>
          <w:sz w:val="16"/>
        </w:rPr>
        <w:t>221; </w:t>
      </w:r>
      <w:r>
        <w:rPr>
          <w:position w:val="2"/>
        </w:rPr>
        <w:t>T</w:t>
      </w:r>
      <w:r>
        <w:rPr>
          <w:sz w:val="16"/>
        </w:rPr>
        <w:t>221</w:t>
      </w:r>
      <w:r>
        <w:rPr>
          <w:position w:val="2"/>
        </w:rPr>
        <w:t>) y Thr en </w:t>
      </w:r>
      <w:r>
        <w:rPr>
          <w:spacing w:val="-5"/>
          <w:position w:val="2"/>
        </w:rPr>
        <w:t>la </w:t>
      </w:r>
      <w:r>
        <w:rPr>
          <w:position w:val="2"/>
        </w:rPr>
        <w:t>posición 221 (T</w:t>
      </w:r>
      <w:r>
        <w:rPr>
          <w:sz w:val="16"/>
        </w:rPr>
        <w:t>221</w:t>
      </w:r>
      <w:r>
        <w:rPr>
          <w:position w:val="2"/>
        </w:rPr>
        <w:t>) </w:t>
      </w:r>
      <w:r>
        <w:rPr/>
        <w:t>indistintamente del residuo en </w:t>
      </w:r>
      <w:r>
        <w:rPr>
          <w:spacing w:val="-5"/>
        </w:rPr>
        <w:t>la </w:t>
      </w:r>
      <w:r>
        <w:rPr/>
        <w:t>posición 217 son consideradas </w:t>
      </w:r>
      <w:r>
        <w:rPr>
          <w:spacing w:val="-3"/>
        </w:rPr>
        <w:t>no </w:t>
      </w:r>
      <w:r>
        <w:rPr/>
        <w:t>virulentas (Song </w:t>
      </w:r>
      <w:r>
        <w:rPr>
          <w:i/>
        </w:rPr>
        <w:t>et al</w:t>
      </w:r>
      <w:r>
        <w:rPr/>
        <w:t>., 2005).</w:t>
      </w:r>
      <w:r>
        <w:rPr>
          <w:spacing w:val="-7"/>
        </w:rPr>
        <w:t> </w:t>
      </w:r>
      <w:r>
        <w:rPr/>
        <w:t>El</w:t>
      </w:r>
      <w:r>
        <w:rPr>
          <w:spacing w:val="-9"/>
        </w:rPr>
        <w:t> </w:t>
      </w:r>
      <w:r>
        <w:rPr/>
        <w:t>virus</w:t>
      </w:r>
      <w:r>
        <w:rPr>
          <w:spacing w:val="-7"/>
        </w:rPr>
        <w:t> </w:t>
      </w:r>
      <w:r>
        <w:rPr/>
        <w:t>es</w:t>
      </w:r>
      <w:r>
        <w:rPr>
          <w:spacing w:val="-7"/>
        </w:rPr>
        <w:t> </w:t>
      </w:r>
      <w:r>
        <w:rPr/>
        <w:t>capaz</w:t>
      </w:r>
      <w:r>
        <w:rPr>
          <w:spacing w:val="-6"/>
        </w:rPr>
        <w:t> </w:t>
      </w:r>
      <w:r>
        <w:rPr/>
        <w:t>de</w:t>
      </w:r>
      <w:r>
        <w:rPr>
          <w:spacing w:val="-6"/>
        </w:rPr>
        <w:t> </w:t>
      </w:r>
      <w:r>
        <w:rPr/>
        <w:t>producir</w:t>
      </w:r>
      <w:r>
        <w:rPr>
          <w:spacing w:val="-3"/>
        </w:rPr>
        <w:t> </w:t>
      </w:r>
      <w:r>
        <w:rPr/>
        <w:t>una</w:t>
      </w:r>
      <w:r>
        <w:rPr>
          <w:spacing w:val="-1"/>
        </w:rPr>
        <w:t> </w:t>
      </w:r>
      <w:r>
        <w:rPr/>
        <w:t>mortalidad</w:t>
      </w:r>
      <w:r>
        <w:rPr>
          <w:spacing w:val="-5"/>
        </w:rPr>
        <w:t> </w:t>
      </w:r>
      <w:r>
        <w:rPr/>
        <w:t>que</w:t>
      </w:r>
      <w:r>
        <w:rPr>
          <w:spacing w:val="-6"/>
        </w:rPr>
        <w:t> </w:t>
      </w:r>
      <w:r>
        <w:rPr/>
        <w:t>oscila</w:t>
      </w:r>
      <w:r>
        <w:rPr>
          <w:spacing w:val="-6"/>
        </w:rPr>
        <w:t> </w:t>
      </w:r>
      <w:r>
        <w:rPr/>
        <w:t>entre</w:t>
      </w:r>
      <w:r>
        <w:rPr>
          <w:spacing w:val="-6"/>
        </w:rPr>
        <w:t> </w:t>
      </w:r>
      <w:r>
        <w:rPr/>
        <w:t>90-100%</w:t>
      </w:r>
      <w:r>
        <w:rPr>
          <w:spacing w:val="-3"/>
        </w:rPr>
        <w:t> </w:t>
      </w:r>
      <w:r>
        <w:rPr/>
        <w:t>en</w:t>
      </w:r>
      <w:r>
        <w:rPr>
          <w:spacing w:val="-10"/>
        </w:rPr>
        <w:t> </w:t>
      </w:r>
      <w:r>
        <w:rPr/>
        <w:t>trucha</w:t>
      </w:r>
      <w:r>
        <w:rPr>
          <w:spacing w:val="-6"/>
        </w:rPr>
        <w:t> </w:t>
      </w:r>
      <w:r>
        <w:rPr/>
        <w:t>arco iris (</w:t>
      </w:r>
      <w:r>
        <w:rPr>
          <w:i/>
        </w:rPr>
        <w:t>Oncorhynchus mykiss</w:t>
      </w:r>
      <w:r>
        <w:rPr/>
        <w:t>) de 1-4 </w:t>
      </w:r>
      <w:r>
        <w:rPr>
          <w:spacing w:val="-2"/>
        </w:rPr>
        <w:t>meses </w:t>
      </w:r>
      <w:r>
        <w:rPr/>
        <w:t>de edad (Frantsi y Savan, 1971; McAllister, 1983) y varía considerablemente en parte debido a </w:t>
      </w:r>
      <w:r>
        <w:rPr>
          <w:spacing w:val="-5"/>
        </w:rPr>
        <w:t>la </w:t>
      </w:r>
      <w:r>
        <w:rPr/>
        <w:t>variación de </w:t>
      </w:r>
      <w:r>
        <w:rPr>
          <w:spacing w:val="-3"/>
        </w:rPr>
        <w:t>la </w:t>
      </w:r>
      <w:r>
        <w:rPr/>
        <w:t>virulencia de </w:t>
      </w:r>
      <w:r>
        <w:rPr>
          <w:spacing w:val="-5"/>
        </w:rPr>
        <w:t>la </w:t>
      </w:r>
      <w:r>
        <w:rPr/>
        <w:t>cepa (Santi </w:t>
      </w:r>
      <w:r>
        <w:rPr>
          <w:i/>
        </w:rPr>
        <w:t>et </w:t>
      </w:r>
      <w:r>
        <w:rPr>
          <w:i/>
        </w:rPr>
        <w:t>al</w:t>
      </w:r>
      <w:r>
        <w:rPr/>
        <w:t>.,</w:t>
      </w:r>
      <w:r>
        <w:rPr>
          <w:spacing w:val="2"/>
        </w:rPr>
        <w:t> </w:t>
      </w:r>
      <w:r>
        <w:rPr/>
        <w:t>2004).</w:t>
      </w:r>
    </w:p>
    <w:p>
      <w:pPr>
        <w:pStyle w:val="BodyText"/>
        <w:spacing w:line="360" w:lineRule="auto" w:before="8"/>
        <w:ind w:left="152" w:right="101"/>
        <w:jc w:val="both"/>
      </w:pPr>
      <w:r>
        <w:rPr/>
        <w:t>El sistema de interferón incluyendo </w:t>
      </w:r>
      <w:r>
        <w:rPr>
          <w:spacing w:val="-3"/>
        </w:rPr>
        <w:t>la </w:t>
      </w:r>
      <w:r>
        <w:rPr/>
        <w:t>expresión de genes estimulados por interferón (ISGs) tipo I, es considerado </w:t>
      </w:r>
      <w:r>
        <w:rPr>
          <w:spacing w:val="-5"/>
        </w:rPr>
        <w:t>la </w:t>
      </w:r>
      <w:r>
        <w:rPr/>
        <w:t>primera </w:t>
      </w:r>
      <w:r>
        <w:rPr>
          <w:spacing w:val="-3"/>
        </w:rPr>
        <w:t>línea </w:t>
      </w:r>
      <w:r>
        <w:rPr/>
        <w:t>de defensa en contra de </w:t>
      </w:r>
      <w:r>
        <w:rPr>
          <w:spacing w:val="-5"/>
        </w:rPr>
        <w:t>la </w:t>
      </w:r>
      <w:r>
        <w:rPr/>
        <w:t>infección viral (Robertsen </w:t>
      </w:r>
      <w:r>
        <w:rPr>
          <w:i/>
        </w:rPr>
        <w:t>et</w:t>
      </w:r>
      <w:r>
        <w:rPr>
          <w:i/>
          <w:spacing w:val="-4"/>
        </w:rPr>
        <w:t> </w:t>
      </w:r>
      <w:r>
        <w:rPr>
          <w:i/>
        </w:rPr>
        <w:t>al</w:t>
      </w:r>
      <w:r>
        <w:rPr/>
        <w:t>.,</w:t>
      </w:r>
      <w:r>
        <w:rPr>
          <w:spacing w:val="-2"/>
        </w:rPr>
        <w:t> </w:t>
      </w:r>
      <w:r>
        <w:rPr/>
        <w:t>2003;</w:t>
      </w:r>
      <w:r>
        <w:rPr>
          <w:spacing w:val="-9"/>
        </w:rPr>
        <w:t> </w:t>
      </w:r>
      <w:r>
        <w:rPr/>
        <w:t>Zhou</w:t>
      </w:r>
      <w:r>
        <w:rPr>
          <w:spacing w:val="-4"/>
        </w:rPr>
        <w:t> </w:t>
      </w:r>
      <w:r>
        <w:rPr>
          <w:i/>
        </w:rPr>
        <w:t>et</w:t>
      </w:r>
      <w:r>
        <w:rPr>
          <w:i/>
          <w:spacing w:val="-4"/>
        </w:rPr>
        <w:t> </w:t>
      </w:r>
      <w:r>
        <w:rPr>
          <w:i/>
        </w:rPr>
        <w:t>al</w:t>
      </w:r>
      <w:r>
        <w:rPr/>
        <w:t>.,</w:t>
      </w:r>
      <w:r>
        <w:rPr>
          <w:spacing w:val="-3"/>
        </w:rPr>
        <w:t> </w:t>
      </w:r>
      <w:r>
        <w:rPr/>
        <w:t>2007).</w:t>
      </w:r>
      <w:r>
        <w:rPr>
          <w:spacing w:val="-2"/>
        </w:rPr>
        <w:t> </w:t>
      </w:r>
      <w:r>
        <w:rPr/>
        <w:t>La</w:t>
      </w:r>
      <w:r>
        <w:rPr>
          <w:spacing w:val="-6"/>
        </w:rPr>
        <w:t> </w:t>
      </w:r>
      <w:r>
        <w:rPr/>
        <w:t>activación</w:t>
      </w:r>
      <w:r>
        <w:rPr>
          <w:spacing w:val="-10"/>
        </w:rPr>
        <w:t> </w:t>
      </w:r>
      <w:r>
        <w:rPr/>
        <w:t>de</w:t>
      </w:r>
      <w:r>
        <w:rPr>
          <w:spacing w:val="-6"/>
        </w:rPr>
        <w:t> </w:t>
      </w:r>
      <w:r>
        <w:rPr/>
        <w:t>IFN-I(</w:t>
      </w:r>
      <w:r>
        <w:rPr>
          <w:i/>
        </w:rPr>
        <w:t>α</w:t>
      </w:r>
      <w:r>
        <w:rPr/>
        <w:t>)</w:t>
      </w:r>
      <w:r>
        <w:rPr>
          <w:spacing w:val="-3"/>
        </w:rPr>
        <w:t> </w:t>
      </w:r>
      <w:r>
        <w:rPr/>
        <w:t>induce</w:t>
      </w:r>
      <w:r>
        <w:rPr>
          <w:spacing w:val="-2"/>
        </w:rPr>
        <w:t> </w:t>
      </w:r>
      <w:r>
        <w:rPr>
          <w:spacing w:val="-3"/>
        </w:rPr>
        <w:t>la</w:t>
      </w:r>
      <w:r>
        <w:rPr>
          <w:spacing w:val="-6"/>
        </w:rPr>
        <w:t> </w:t>
      </w:r>
      <w:r>
        <w:rPr/>
        <w:t>cascada</w:t>
      </w:r>
      <w:r>
        <w:rPr>
          <w:spacing w:val="-6"/>
        </w:rPr>
        <w:t> </w:t>
      </w:r>
      <w:r>
        <w:rPr/>
        <w:t>de</w:t>
      </w:r>
      <w:r>
        <w:rPr>
          <w:spacing w:val="-2"/>
        </w:rPr>
        <w:t> </w:t>
      </w:r>
      <w:r>
        <w:rPr/>
        <w:t>señalamiento JAK-STAT induciendo genes como </w:t>
      </w:r>
      <w:r>
        <w:rPr>
          <w:spacing w:val="-3"/>
        </w:rPr>
        <w:t>Mx, </w:t>
      </w:r>
      <w:r>
        <w:rPr/>
        <w:t>2-5 oligo-adenilato sintetasa (2’-5’ OAS), proteína viperina antiviral (Vig-1) y </w:t>
      </w:r>
      <w:r>
        <w:rPr>
          <w:spacing w:val="-5"/>
        </w:rPr>
        <w:t>la </w:t>
      </w:r>
      <w:r>
        <w:rPr/>
        <w:t>proteína quinasa dependiente de RNA (PKR), entre otras. La ruta de señalamiento JAK-STAT (JAK1 y TYK2) así como factores de transcripción miembros de </w:t>
      </w:r>
      <w:r>
        <w:rPr>
          <w:spacing w:val="-5"/>
        </w:rPr>
        <w:t>la </w:t>
      </w:r>
      <w:r>
        <w:rPr/>
        <w:t>familia de proteínas STAT (STAT1, 2, </w:t>
      </w:r>
      <w:r>
        <w:rPr>
          <w:spacing w:val="-3"/>
        </w:rPr>
        <w:t>3, </w:t>
      </w:r>
      <w:r>
        <w:rPr/>
        <w:t>y 4) han sido bien estudiados en mamíferos</w:t>
      </w:r>
      <w:r>
        <w:rPr>
          <w:spacing w:val="-8"/>
        </w:rPr>
        <w:t> </w:t>
      </w:r>
      <w:r>
        <w:rPr/>
        <w:t>pero</w:t>
      </w:r>
      <w:r>
        <w:rPr>
          <w:spacing w:val="-2"/>
        </w:rPr>
        <w:t> </w:t>
      </w:r>
      <w:r>
        <w:rPr/>
        <w:t>pobremente</w:t>
      </w:r>
      <w:r>
        <w:rPr>
          <w:spacing w:val="-8"/>
        </w:rPr>
        <w:t> </w:t>
      </w:r>
      <w:r>
        <w:rPr/>
        <w:t>en</w:t>
      </w:r>
      <w:r>
        <w:rPr>
          <w:spacing w:val="-11"/>
        </w:rPr>
        <w:t> </w:t>
      </w:r>
      <w:r>
        <w:rPr/>
        <w:t>peces</w:t>
      </w:r>
      <w:r>
        <w:rPr>
          <w:spacing w:val="-8"/>
        </w:rPr>
        <w:t> </w:t>
      </w:r>
      <w:r>
        <w:rPr/>
        <w:t>(Sen,</w:t>
      </w:r>
      <w:r>
        <w:rPr>
          <w:spacing w:val="-5"/>
        </w:rPr>
        <w:t> </w:t>
      </w:r>
      <w:r>
        <w:rPr/>
        <w:t>2000).</w:t>
      </w:r>
      <w:r>
        <w:rPr>
          <w:spacing w:val="-8"/>
        </w:rPr>
        <w:t> </w:t>
      </w:r>
      <w:r>
        <w:rPr/>
        <w:t>Durante</w:t>
      </w:r>
      <w:r>
        <w:rPr>
          <w:spacing w:val="-8"/>
        </w:rPr>
        <w:t> </w:t>
      </w:r>
      <w:r>
        <w:rPr>
          <w:spacing w:val="-3"/>
        </w:rPr>
        <w:t>la </w:t>
      </w:r>
      <w:r>
        <w:rPr/>
        <w:t>infección</w:t>
      </w:r>
      <w:r>
        <w:rPr>
          <w:spacing w:val="-11"/>
        </w:rPr>
        <w:t> </w:t>
      </w:r>
      <w:r>
        <w:rPr/>
        <w:t>viral,</w:t>
      </w:r>
      <w:r>
        <w:rPr>
          <w:spacing w:val="-5"/>
        </w:rPr>
        <w:t> </w:t>
      </w:r>
      <w:r>
        <w:rPr/>
        <w:t>el</w:t>
      </w:r>
      <w:r>
        <w:rPr>
          <w:spacing w:val="-10"/>
        </w:rPr>
        <w:t> </w:t>
      </w:r>
      <w:r>
        <w:rPr/>
        <w:t>interferón</w:t>
      </w:r>
      <w:r>
        <w:rPr>
          <w:spacing w:val="-7"/>
        </w:rPr>
        <w:t> </w:t>
      </w:r>
      <w:r>
        <w:rPr/>
        <w:t>se une a sus receptores dando </w:t>
      </w:r>
      <w:r>
        <w:rPr>
          <w:spacing w:val="-3"/>
        </w:rPr>
        <w:t>como </w:t>
      </w:r>
      <w:r>
        <w:rPr/>
        <w:t>resultado </w:t>
      </w:r>
      <w:r>
        <w:rPr>
          <w:spacing w:val="-5"/>
        </w:rPr>
        <w:t>la </w:t>
      </w:r>
      <w:r>
        <w:rPr/>
        <w:t>rápida autofosforilación (Skjesol </w:t>
      </w:r>
      <w:r>
        <w:rPr>
          <w:i/>
        </w:rPr>
        <w:t>et al.</w:t>
      </w:r>
      <w:r>
        <w:rPr/>
        <w:t>, 2010) y </w:t>
      </w:r>
      <w:r>
        <w:rPr>
          <w:spacing w:val="-3"/>
        </w:rPr>
        <w:t>la </w:t>
      </w:r>
      <w:r>
        <w:rPr/>
        <w:t>activación </w:t>
      </w:r>
      <w:r>
        <w:rPr>
          <w:spacing w:val="2"/>
        </w:rPr>
        <w:t>del </w:t>
      </w:r>
      <w:r>
        <w:rPr/>
        <w:t>receptor asociado a TYK2 y JAKs (Silvennoinen </w:t>
      </w:r>
      <w:r>
        <w:rPr>
          <w:i/>
        </w:rPr>
        <w:t>et al.</w:t>
      </w:r>
      <w:r>
        <w:rPr/>
        <w:t>, 1993; Kotenko, 2003)</w:t>
      </w:r>
      <w:r>
        <w:rPr>
          <w:spacing w:val="-9"/>
        </w:rPr>
        <w:t> </w:t>
      </w:r>
      <w:r>
        <w:rPr/>
        <w:t>que</w:t>
      </w:r>
      <w:r>
        <w:rPr>
          <w:spacing w:val="-16"/>
        </w:rPr>
        <w:t> </w:t>
      </w:r>
      <w:r>
        <w:rPr/>
        <w:t>a</w:t>
      </w:r>
      <w:r>
        <w:rPr>
          <w:spacing w:val="-12"/>
        </w:rPr>
        <w:t> </w:t>
      </w:r>
      <w:r>
        <w:rPr/>
        <w:t>su</w:t>
      </w:r>
      <w:r>
        <w:rPr>
          <w:spacing w:val="-15"/>
        </w:rPr>
        <w:t> </w:t>
      </w:r>
      <w:r>
        <w:rPr/>
        <w:t>vez</w:t>
      </w:r>
      <w:r>
        <w:rPr>
          <w:spacing w:val="-12"/>
        </w:rPr>
        <w:t> </w:t>
      </w:r>
      <w:r>
        <w:rPr/>
        <w:t>regulan</w:t>
      </w:r>
      <w:r>
        <w:rPr>
          <w:spacing w:val="-11"/>
        </w:rPr>
        <w:t> </w:t>
      </w:r>
      <w:r>
        <w:rPr>
          <w:spacing w:val="-5"/>
        </w:rPr>
        <w:t>la</w:t>
      </w:r>
      <w:r>
        <w:rPr>
          <w:spacing w:val="-7"/>
        </w:rPr>
        <w:t> </w:t>
      </w:r>
      <w:r>
        <w:rPr/>
        <w:t>fosforilación</w:t>
      </w:r>
      <w:r>
        <w:rPr>
          <w:spacing w:val="-11"/>
        </w:rPr>
        <w:t> </w:t>
      </w:r>
      <w:r>
        <w:rPr/>
        <w:t>y</w:t>
      </w:r>
      <w:r>
        <w:rPr>
          <w:spacing w:val="-15"/>
        </w:rPr>
        <w:t> </w:t>
      </w:r>
      <w:r>
        <w:rPr>
          <w:spacing w:val="-3"/>
        </w:rPr>
        <w:t>la</w:t>
      </w:r>
      <w:r>
        <w:rPr>
          <w:spacing w:val="-12"/>
        </w:rPr>
        <w:t> </w:t>
      </w:r>
      <w:r>
        <w:rPr/>
        <w:t>activación</w:t>
      </w:r>
      <w:r>
        <w:rPr>
          <w:spacing w:val="-15"/>
        </w:rPr>
        <w:t> </w:t>
      </w:r>
      <w:r>
        <w:rPr/>
        <w:t>de</w:t>
      </w:r>
      <w:r>
        <w:rPr>
          <w:spacing w:val="-12"/>
        </w:rPr>
        <w:t> </w:t>
      </w:r>
      <w:r>
        <w:rPr/>
        <w:t>STATs</w:t>
      </w:r>
      <w:r>
        <w:rPr>
          <w:spacing w:val="-13"/>
        </w:rPr>
        <w:t> </w:t>
      </w:r>
      <w:r>
        <w:rPr/>
        <w:t>en</w:t>
      </w:r>
      <w:r>
        <w:rPr>
          <w:spacing w:val="-15"/>
        </w:rPr>
        <w:t> </w:t>
      </w:r>
      <w:r>
        <w:rPr/>
        <w:t>respuesta</w:t>
      </w:r>
      <w:r>
        <w:rPr>
          <w:spacing w:val="-12"/>
        </w:rPr>
        <w:t> </w:t>
      </w:r>
      <w:r>
        <w:rPr/>
        <w:t>a</w:t>
      </w:r>
      <w:r>
        <w:rPr>
          <w:spacing w:val="-12"/>
        </w:rPr>
        <w:t> </w:t>
      </w:r>
      <w:r>
        <w:rPr/>
        <w:t>interferón (Darnell </w:t>
      </w:r>
      <w:r>
        <w:rPr>
          <w:i/>
        </w:rPr>
        <w:t>et al</w:t>
      </w:r>
      <w:r>
        <w:rPr/>
        <w:t>., 1994; Stark </w:t>
      </w:r>
      <w:r>
        <w:rPr>
          <w:i/>
        </w:rPr>
        <w:t>et al</w:t>
      </w:r>
      <w:r>
        <w:rPr/>
        <w:t>., 1998). En mamíferos se </w:t>
      </w:r>
      <w:r>
        <w:rPr>
          <w:spacing w:val="-3"/>
        </w:rPr>
        <w:t>ha </w:t>
      </w:r>
      <w:r>
        <w:rPr/>
        <w:t>observado que </w:t>
      </w:r>
      <w:r>
        <w:rPr>
          <w:spacing w:val="-5"/>
        </w:rPr>
        <w:t>la </w:t>
      </w:r>
      <w:r>
        <w:rPr/>
        <w:t>fosforilación de</w:t>
      </w:r>
      <w:r>
        <w:rPr>
          <w:spacing w:val="42"/>
        </w:rPr>
        <w:t> </w:t>
      </w:r>
      <w:r>
        <w:rPr>
          <w:spacing w:val="-5"/>
        </w:rPr>
        <w:t>la</w:t>
      </w:r>
      <w:r>
        <w:rPr>
          <w:spacing w:val="37"/>
        </w:rPr>
        <w:t> </w:t>
      </w:r>
      <w:r>
        <w:rPr/>
        <w:t>tirosina</w:t>
      </w:r>
      <w:r>
        <w:rPr>
          <w:spacing w:val="37"/>
        </w:rPr>
        <w:t> </w:t>
      </w:r>
      <w:r>
        <w:rPr/>
        <w:t>701</w:t>
      </w:r>
      <w:r>
        <w:rPr>
          <w:spacing w:val="40"/>
        </w:rPr>
        <w:t> </w:t>
      </w:r>
      <w:r>
        <w:rPr/>
        <w:t>(pY-701)</w:t>
      </w:r>
      <w:r>
        <w:rPr>
          <w:spacing w:val="40"/>
        </w:rPr>
        <w:t> </w:t>
      </w:r>
      <w:r>
        <w:rPr/>
        <w:t>de</w:t>
      </w:r>
      <w:r>
        <w:rPr>
          <w:spacing w:val="32"/>
        </w:rPr>
        <w:t> </w:t>
      </w:r>
      <w:r>
        <w:rPr/>
        <w:t>STAT1</w:t>
      </w:r>
      <w:r>
        <w:rPr>
          <w:spacing w:val="38"/>
        </w:rPr>
        <w:t> </w:t>
      </w:r>
      <w:r>
        <w:rPr/>
        <w:t>resulta</w:t>
      </w:r>
      <w:r>
        <w:rPr>
          <w:spacing w:val="37"/>
        </w:rPr>
        <w:t> </w:t>
      </w:r>
      <w:r>
        <w:rPr/>
        <w:t>en</w:t>
      </w:r>
      <w:r>
        <w:rPr>
          <w:spacing w:val="41"/>
        </w:rPr>
        <w:t> </w:t>
      </w:r>
      <w:r>
        <w:rPr>
          <w:spacing w:val="-3"/>
        </w:rPr>
        <w:t>la</w:t>
      </w:r>
      <w:r>
        <w:rPr>
          <w:spacing w:val="37"/>
        </w:rPr>
        <w:t> </w:t>
      </w:r>
      <w:r>
        <w:rPr/>
        <w:t>unión</w:t>
      </w:r>
      <w:r>
        <w:rPr>
          <w:spacing w:val="33"/>
        </w:rPr>
        <w:t> </w:t>
      </w:r>
      <w:r>
        <w:rPr/>
        <w:t>de</w:t>
      </w:r>
      <w:r>
        <w:rPr>
          <w:spacing w:val="37"/>
        </w:rPr>
        <w:t> </w:t>
      </w:r>
      <w:r>
        <w:rPr/>
        <w:t>una</w:t>
      </w:r>
      <w:r>
        <w:rPr>
          <w:spacing w:val="37"/>
        </w:rPr>
        <w:t> </w:t>
      </w:r>
      <w:r>
        <w:rPr/>
        <w:t>STAT</w:t>
      </w:r>
      <w:r>
        <w:rPr>
          <w:spacing w:val="40"/>
        </w:rPr>
        <w:t> </w:t>
      </w:r>
      <w:r>
        <w:rPr/>
        <w:t>a</w:t>
      </w:r>
      <w:r>
        <w:rPr>
          <w:spacing w:val="37"/>
        </w:rPr>
        <w:t> </w:t>
      </w:r>
      <w:r>
        <w:rPr/>
        <w:t>otra,</w:t>
      </w:r>
      <w:r>
        <w:rPr>
          <w:spacing w:val="40"/>
        </w:rPr>
        <w:t> </w:t>
      </w:r>
      <w:r>
        <w:rPr>
          <w:spacing w:val="-5"/>
        </w:rPr>
        <w:t>ya</w:t>
      </w:r>
      <w:r>
        <w:rPr>
          <w:spacing w:val="37"/>
        </w:rPr>
        <w:t> </w:t>
      </w:r>
      <w:r>
        <w:rPr/>
        <w:t>sea</w:t>
      </w:r>
    </w:p>
    <w:p>
      <w:pPr>
        <w:spacing w:after="0" w:line="360" w:lineRule="auto"/>
        <w:jc w:val="both"/>
        <w:sectPr>
          <w:footerReference w:type="default" r:id="rId8"/>
          <w:pgSz w:w="12240" w:h="15840"/>
          <w:pgMar w:footer="1382" w:header="0" w:top="1500" w:bottom="1580" w:left="1720" w:right="1420"/>
          <w:pgNumType w:start="1"/>
        </w:sectPr>
      </w:pPr>
    </w:p>
    <w:p>
      <w:pPr>
        <w:pStyle w:val="BodyText"/>
        <w:spacing w:before="7"/>
        <w:rPr>
          <w:sz w:val="25"/>
        </w:rPr>
      </w:pPr>
    </w:p>
    <w:p>
      <w:pPr>
        <w:pStyle w:val="BodyText"/>
        <w:spacing w:line="360" w:lineRule="auto" w:before="70"/>
        <w:ind w:left="152" w:right="101"/>
      </w:pPr>
      <w:r>
        <w:rPr/>
        <w:pict>
          <v:line style="position:absolute;mso-position-horizontal-relative:page;mso-position-vertical-relative:paragraph;z-index:-59008" from="278.640015pt,334.723145pt" to="278.640015pt,348.883145pt" stroked="true" strokeweight="2.64pt" strokecolor="#ededed">
            <w10:wrap type="none"/>
          </v:line>
        </w:pict>
      </w:r>
      <w:r>
        <w:rPr/>
        <w:t>formando un homodímero o un heterodímero (Goodbourn y Radall, 2008). La formación de dímeros es el paso crítico para </w:t>
      </w:r>
      <w:r>
        <w:rPr>
          <w:spacing w:val="-5"/>
        </w:rPr>
        <w:t>la </w:t>
      </w:r>
      <w:r>
        <w:rPr/>
        <w:t>translocación nuclear. En el núcleo, STAT dimerizado se une al promotor de los elementos de respuesta estimulados por interferón IFN-I(α) (ISRE) para inducir </w:t>
      </w:r>
      <w:r>
        <w:rPr>
          <w:spacing w:val="-3"/>
        </w:rPr>
        <w:t>la </w:t>
      </w:r>
      <w:r>
        <w:rPr/>
        <w:t>expresión de mRNA de genes estimulados por interferón IFN-I(α) (ISGs) contra </w:t>
      </w:r>
      <w:r>
        <w:rPr>
          <w:spacing w:val="-5"/>
        </w:rPr>
        <w:t>la </w:t>
      </w:r>
      <w:r>
        <w:rPr/>
        <w:t>infección viral en teleósteos (Robertsen </w:t>
      </w:r>
      <w:r>
        <w:rPr>
          <w:i/>
        </w:rPr>
        <w:t>et al</w:t>
      </w:r>
      <w:r>
        <w:rPr/>
        <w:t>., 2003; Zhou </w:t>
      </w:r>
      <w:r>
        <w:rPr>
          <w:i/>
        </w:rPr>
        <w:t>et al</w:t>
      </w:r>
      <w:r>
        <w:rPr/>
        <w:t>., 2007; Roberts y Pearson, 2005; García </w:t>
      </w:r>
      <w:r>
        <w:rPr>
          <w:i/>
        </w:rPr>
        <w:t>et al</w:t>
      </w:r>
      <w:r>
        <w:rPr/>
        <w:t>., 2011). Varios trabajos han demostrado </w:t>
      </w:r>
      <w:r>
        <w:rPr>
          <w:spacing w:val="-5"/>
        </w:rPr>
        <w:t>la </w:t>
      </w:r>
      <w:r>
        <w:rPr/>
        <w:t>acción de los ISGs tanto </w:t>
      </w:r>
      <w:r>
        <w:rPr>
          <w:i/>
        </w:rPr>
        <w:t>in vitro </w:t>
      </w:r>
      <w:r>
        <w:rPr/>
        <w:t>e </w:t>
      </w:r>
      <w:r>
        <w:rPr>
          <w:i/>
        </w:rPr>
        <w:t>in vivo </w:t>
      </w:r>
      <w:r>
        <w:rPr/>
        <w:t>(Dorson, 1973; Eaton, 1990; Robertsen, 2006; Verrier </w:t>
      </w:r>
      <w:r>
        <w:rPr>
          <w:i/>
        </w:rPr>
        <w:t>et al</w:t>
      </w:r>
      <w:r>
        <w:rPr/>
        <w:t>., 2011). El genoma de los peces óseos contienen todos los componentes claves de </w:t>
      </w:r>
      <w:r>
        <w:rPr>
          <w:spacing w:val="-5"/>
        </w:rPr>
        <w:t>la </w:t>
      </w:r>
      <w:r>
        <w:rPr/>
        <w:t>vía de señalización JAK-STAT incluyendo JAK1, TYR2, STAT1, STAT2 y IRF-9 (Stein </w:t>
      </w:r>
      <w:r>
        <w:rPr>
          <w:i/>
        </w:rPr>
        <w:t>et al., </w:t>
      </w:r>
      <w:r>
        <w:rPr/>
        <w:t>2007; Shi </w:t>
      </w:r>
      <w:r>
        <w:rPr>
          <w:i/>
        </w:rPr>
        <w:t>et al</w:t>
      </w:r>
      <w:r>
        <w:rPr/>
        <w:t>., 2012). Sun </w:t>
      </w:r>
      <w:r>
        <w:rPr>
          <w:i/>
        </w:rPr>
        <w:t>et al</w:t>
      </w:r>
      <w:r>
        <w:rPr/>
        <w:t>., (2009) han identificado y caracterizado genes de peces relacionados</w:t>
      </w:r>
      <w:r>
        <w:rPr>
          <w:spacing w:val="-7"/>
        </w:rPr>
        <w:t> </w:t>
      </w:r>
      <w:r>
        <w:rPr/>
        <w:t>con</w:t>
      </w:r>
      <w:r>
        <w:rPr>
          <w:spacing w:val="-10"/>
        </w:rPr>
        <w:t> </w:t>
      </w:r>
      <w:r>
        <w:rPr/>
        <w:t>el</w:t>
      </w:r>
      <w:r>
        <w:rPr>
          <w:spacing w:val="-9"/>
        </w:rPr>
        <w:t> </w:t>
      </w:r>
      <w:r>
        <w:rPr/>
        <w:t>sistema</w:t>
      </w:r>
      <w:r>
        <w:rPr>
          <w:spacing w:val="-1"/>
        </w:rPr>
        <w:t> </w:t>
      </w:r>
      <w:r>
        <w:rPr/>
        <w:t>interferón,</w:t>
      </w:r>
      <w:r>
        <w:rPr>
          <w:spacing w:val="-3"/>
        </w:rPr>
        <w:t> </w:t>
      </w:r>
      <w:r>
        <w:rPr/>
        <w:t>y</w:t>
      </w:r>
      <w:r>
        <w:rPr>
          <w:spacing w:val="-10"/>
        </w:rPr>
        <w:t> </w:t>
      </w:r>
      <w:r>
        <w:rPr/>
        <w:t>Collet </w:t>
      </w:r>
      <w:r>
        <w:rPr>
          <w:i/>
        </w:rPr>
        <w:t>et</w:t>
      </w:r>
      <w:r>
        <w:rPr>
          <w:i/>
          <w:spacing w:val="-4"/>
        </w:rPr>
        <w:t> </w:t>
      </w:r>
      <w:r>
        <w:rPr>
          <w:i/>
        </w:rPr>
        <w:t>al</w:t>
      </w:r>
      <w:r>
        <w:rPr/>
        <w:t>.,</w:t>
      </w:r>
      <w:r>
        <w:rPr>
          <w:spacing w:val="-7"/>
        </w:rPr>
        <w:t> </w:t>
      </w:r>
      <w:r>
        <w:rPr/>
        <w:t>(2009)</w:t>
      </w:r>
      <w:r>
        <w:rPr>
          <w:spacing w:val="-2"/>
        </w:rPr>
        <w:t> </w:t>
      </w:r>
      <w:r>
        <w:rPr/>
        <w:t>identificaron</w:t>
      </w:r>
      <w:r>
        <w:rPr>
          <w:spacing w:val="-10"/>
        </w:rPr>
        <w:t> </w:t>
      </w:r>
      <w:r>
        <w:rPr/>
        <w:t>un</w:t>
      </w:r>
      <w:r>
        <w:rPr>
          <w:spacing w:val="-8"/>
        </w:rPr>
        <w:t> </w:t>
      </w:r>
      <w:r>
        <w:rPr/>
        <w:t>gen</w:t>
      </w:r>
      <w:r>
        <w:rPr>
          <w:spacing w:val="-10"/>
        </w:rPr>
        <w:t> </w:t>
      </w:r>
      <w:r>
        <w:rPr/>
        <w:t>de</w:t>
      </w:r>
      <w:r>
        <w:rPr>
          <w:spacing w:val="-6"/>
        </w:rPr>
        <w:t> </w:t>
      </w:r>
      <w:r>
        <w:rPr/>
        <w:t>STAT2 en salmón, además Leu </w:t>
      </w:r>
      <w:r>
        <w:rPr>
          <w:i/>
        </w:rPr>
        <w:t>et al</w:t>
      </w:r>
      <w:r>
        <w:rPr/>
        <w:t>., (1998; 2000) clonaron TYK2 y JAK1 a partir de pez </w:t>
      </w:r>
      <w:r>
        <w:rPr>
          <w:spacing w:val="-3"/>
        </w:rPr>
        <w:t>globo </w:t>
      </w:r>
      <w:r>
        <w:rPr/>
        <w:t>verde (</w:t>
      </w:r>
      <w:r>
        <w:rPr>
          <w:i/>
        </w:rPr>
        <w:t>Tetradon fluviatilis</w:t>
      </w:r>
      <w:r>
        <w:rPr/>
        <w:t>). Estudios además han reportado que algunos virus afectan </w:t>
      </w:r>
      <w:r>
        <w:rPr>
          <w:spacing w:val="-3"/>
        </w:rPr>
        <w:t>la </w:t>
      </w:r>
      <w:r>
        <w:rPr/>
        <w:t>actividad</w:t>
      </w:r>
      <w:r>
        <w:rPr>
          <w:spacing w:val="-6"/>
        </w:rPr>
        <w:t> </w:t>
      </w:r>
      <w:r>
        <w:rPr/>
        <w:t>de</w:t>
      </w:r>
      <w:r>
        <w:rPr>
          <w:spacing w:val="-2"/>
        </w:rPr>
        <w:t> </w:t>
      </w:r>
      <w:r>
        <w:rPr>
          <w:spacing w:val="-3"/>
        </w:rPr>
        <w:t>la</w:t>
      </w:r>
      <w:r>
        <w:rPr>
          <w:spacing w:val="-2"/>
        </w:rPr>
        <w:t> </w:t>
      </w:r>
      <w:r>
        <w:rPr/>
        <w:t>vía</w:t>
      </w:r>
      <w:r>
        <w:rPr>
          <w:spacing w:val="-7"/>
        </w:rPr>
        <w:t> </w:t>
      </w:r>
      <w:r>
        <w:rPr/>
        <w:t>de</w:t>
      </w:r>
      <w:r>
        <w:rPr>
          <w:spacing w:val="-2"/>
        </w:rPr>
        <w:t> </w:t>
      </w:r>
      <w:r>
        <w:rPr/>
        <w:t>señalización</w:t>
      </w:r>
      <w:r>
        <w:rPr>
          <w:spacing w:val="-11"/>
        </w:rPr>
        <w:t> </w:t>
      </w:r>
      <w:r>
        <w:rPr/>
        <w:t>JAK-STAT</w:t>
      </w:r>
      <w:r>
        <w:rPr>
          <w:spacing w:val="1"/>
        </w:rPr>
        <w:t> </w:t>
      </w:r>
      <w:r>
        <w:rPr/>
        <w:t>mediante</w:t>
      </w:r>
      <w:r>
        <w:rPr>
          <w:spacing w:val="-7"/>
        </w:rPr>
        <w:t> </w:t>
      </w:r>
      <w:r>
        <w:rPr/>
        <w:t>el</w:t>
      </w:r>
      <w:r>
        <w:rPr>
          <w:spacing w:val="-13"/>
        </w:rPr>
        <w:t> </w:t>
      </w:r>
      <w:r>
        <w:rPr/>
        <w:t>uso</w:t>
      </w:r>
      <w:r>
        <w:rPr>
          <w:spacing w:val="-1"/>
        </w:rPr>
        <w:t> </w:t>
      </w:r>
      <w:r>
        <w:rPr/>
        <w:t>de</w:t>
      </w:r>
      <w:r>
        <w:rPr>
          <w:spacing w:val="-7"/>
        </w:rPr>
        <w:t> </w:t>
      </w:r>
      <w:r>
        <w:rPr/>
        <w:t>diversos</w:t>
      </w:r>
      <w:r>
        <w:rPr>
          <w:spacing w:val="-3"/>
        </w:rPr>
        <w:t> </w:t>
      </w:r>
      <w:r>
        <w:rPr/>
        <w:t>mecanismos.</w:t>
      </w:r>
      <w:r>
        <w:rPr>
          <w:spacing w:val="-4"/>
        </w:rPr>
        <w:t> </w:t>
      </w:r>
      <w:r>
        <w:rPr/>
        <w:t>Por </w:t>
      </w:r>
      <w:r>
        <w:rPr>
          <w:spacing w:val="-3"/>
        </w:rPr>
        <w:t>ejemplo </w:t>
      </w:r>
      <w:r>
        <w:rPr/>
        <w:t>el virus del Ébola bloquea </w:t>
      </w:r>
      <w:r>
        <w:rPr>
          <w:spacing w:val="-5"/>
        </w:rPr>
        <w:t>la </w:t>
      </w:r>
      <w:r>
        <w:rPr/>
        <w:t>inducción del factor regulatorio de interferón (IRF) (Harcourt, 1999), el virus de </w:t>
      </w:r>
      <w:r>
        <w:rPr>
          <w:spacing w:val="-5"/>
        </w:rPr>
        <w:t>la </w:t>
      </w:r>
      <w:r>
        <w:rPr/>
        <w:t>hepatitis C (VCH) bloquea </w:t>
      </w:r>
      <w:r>
        <w:rPr>
          <w:spacing w:val="-3"/>
        </w:rPr>
        <w:t>la </w:t>
      </w:r>
      <w:r>
        <w:rPr/>
        <w:t>trimerización del factor 3 del gen</w:t>
      </w:r>
      <w:r>
        <w:rPr>
          <w:spacing w:val="-14"/>
        </w:rPr>
        <w:t> </w:t>
      </w:r>
      <w:r>
        <w:rPr/>
        <w:t>estimulado</w:t>
      </w:r>
      <w:r>
        <w:rPr>
          <w:spacing w:val="-5"/>
        </w:rPr>
        <w:t> </w:t>
      </w:r>
      <w:r>
        <w:rPr/>
        <w:t>por</w:t>
      </w:r>
      <w:r>
        <w:rPr>
          <w:spacing w:val="-8"/>
        </w:rPr>
        <w:t> </w:t>
      </w:r>
      <w:r>
        <w:rPr/>
        <w:t>interferón</w:t>
      </w:r>
      <w:r>
        <w:rPr>
          <w:spacing w:val="-13"/>
        </w:rPr>
        <w:t> </w:t>
      </w:r>
      <w:r>
        <w:rPr/>
        <w:t>(ISGF3)</w:t>
      </w:r>
      <w:r>
        <w:rPr>
          <w:spacing w:val="46"/>
        </w:rPr>
        <w:t> </w:t>
      </w:r>
      <w:r>
        <w:rPr/>
        <w:t>(Heim</w:t>
      </w:r>
      <w:r>
        <w:rPr>
          <w:spacing w:val="-13"/>
        </w:rPr>
        <w:t> </w:t>
      </w:r>
      <w:r>
        <w:rPr>
          <w:i/>
        </w:rPr>
        <w:t>et</w:t>
      </w:r>
      <w:r>
        <w:rPr>
          <w:i/>
          <w:spacing w:val="-9"/>
        </w:rPr>
        <w:t> </w:t>
      </w:r>
      <w:r>
        <w:rPr>
          <w:i/>
        </w:rPr>
        <w:t>al.</w:t>
      </w:r>
      <w:r>
        <w:rPr/>
        <w:t>,</w:t>
      </w:r>
      <w:r>
        <w:rPr>
          <w:spacing w:val="-7"/>
        </w:rPr>
        <w:t> </w:t>
      </w:r>
      <w:r>
        <w:rPr/>
        <w:t>1999),</w:t>
      </w:r>
      <w:r>
        <w:rPr>
          <w:spacing w:val="-8"/>
        </w:rPr>
        <w:t> </w:t>
      </w:r>
      <w:r>
        <w:rPr/>
        <w:t>el</w:t>
      </w:r>
      <w:r>
        <w:rPr>
          <w:spacing w:val="-17"/>
        </w:rPr>
        <w:t> </w:t>
      </w:r>
      <w:r>
        <w:rPr/>
        <w:t>serotipo</w:t>
      </w:r>
      <w:r>
        <w:rPr>
          <w:spacing w:val="-5"/>
        </w:rPr>
        <w:t> </w:t>
      </w:r>
      <w:r>
        <w:rPr/>
        <w:t>2</w:t>
      </w:r>
      <w:r>
        <w:rPr>
          <w:spacing w:val="-10"/>
        </w:rPr>
        <w:t> </w:t>
      </w:r>
      <w:r>
        <w:rPr/>
        <w:t>del</w:t>
      </w:r>
      <w:r>
        <w:rPr>
          <w:spacing w:val="-18"/>
        </w:rPr>
        <w:t> </w:t>
      </w:r>
      <w:r>
        <w:rPr/>
        <w:t>virus</w:t>
      </w:r>
      <w:r>
        <w:rPr>
          <w:spacing w:val="-12"/>
        </w:rPr>
        <w:t> </w:t>
      </w:r>
      <w:r>
        <w:rPr/>
        <w:t>del</w:t>
      </w:r>
      <w:r>
        <w:rPr>
          <w:spacing w:val="-13"/>
        </w:rPr>
        <w:t> </w:t>
      </w:r>
      <w:r>
        <w:rPr/>
        <w:t>dengue inhibe </w:t>
      </w:r>
      <w:r>
        <w:rPr>
          <w:spacing w:val="-5"/>
        </w:rPr>
        <w:t>la </w:t>
      </w:r>
      <w:r>
        <w:rPr/>
        <w:t>expresión de STAT2 (Munoz-Jordan, 2003), el virus del </w:t>
      </w:r>
      <w:r>
        <w:rPr>
          <w:spacing w:val="-3"/>
        </w:rPr>
        <w:t>Nilo </w:t>
      </w:r>
      <w:r>
        <w:rPr/>
        <w:t>Occidental (VNO) bloquea </w:t>
      </w:r>
      <w:r>
        <w:rPr>
          <w:spacing w:val="-3"/>
        </w:rPr>
        <w:t>la </w:t>
      </w:r>
      <w:r>
        <w:rPr/>
        <w:t>fosforilación de STAT1 (Liu </w:t>
      </w:r>
      <w:r>
        <w:rPr>
          <w:i/>
        </w:rPr>
        <w:t>et al</w:t>
      </w:r>
      <w:r>
        <w:rPr/>
        <w:t>., 2005) y el virus de </w:t>
      </w:r>
      <w:r>
        <w:rPr>
          <w:spacing w:val="-3"/>
        </w:rPr>
        <w:t>la </w:t>
      </w:r>
      <w:r>
        <w:rPr/>
        <w:t>encefalitis japonesa (JEV) bloquea </w:t>
      </w:r>
      <w:r>
        <w:rPr>
          <w:spacing w:val="-5"/>
        </w:rPr>
        <w:t>la </w:t>
      </w:r>
      <w:r>
        <w:rPr/>
        <w:t>fosforilación de </w:t>
      </w:r>
      <w:r>
        <w:rPr>
          <w:spacing w:val="-5"/>
        </w:rPr>
        <w:t>la </w:t>
      </w:r>
      <w:r>
        <w:rPr/>
        <w:t>Tyk2 y </w:t>
      </w:r>
      <w:r>
        <w:rPr>
          <w:spacing w:val="-5"/>
        </w:rPr>
        <w:t>la </w:t>
      </w:r>
      <w:r>
        <w:rPr/>
        <w:t>activación de STAT (Ling </w:t>
      </w:r>
      <w:r>
        <w:rPr>
          <w:i/>
        </w:rPr>
        <w:t>et al</w:t>
      </w:r>
      <w:r>
        <w:rPr/>
        <w:t>., 2005). Además se </w:t>
      </w:r>
      <w:r>
        <w:rPr>
          <w:spacing w:val="-3"/>
        </w:rPr>
        <w:t>ha </w:t>
      </w:r>
      <w:r>
        <w:rPr/>
        <w:t>reportado que el virus Sendai (SeV) puede interactuar con STAT1 y de ese modo </w:t>
      </w:r>
      <w:r>
        <w:rPr>
          <w:spacing w:val="-3"/>
        </w:rPr>
        <w:t>inhibir la </w:t>
      </w:r>
      <w:r>
        <w:rPr/>
        <w:t>fosforilación de tirosina de STAT inducida por IFN-I(α/β) (Garcin, 1999; Gotoh </w:t>
      </w:r>
      <w:r>
        <w:rPr>
          <w:i/>
        </w:rPr>
        <w:t>et al</w:t>
      </w:r>
      <w:r>
        <w:rPr/>
        <w:t>., 1999; Komatsu </w:t>
      </w:r>
      <w:r>
        <w:rPr>
          <w:i/>
        </w:rPr>
        <w:t>et al</w:t>
      </w:r>
      <w:r>
        <w:rPr/>
        <w:t>., 2000). Sin embargo datos concernientes a </w:t>
      </w:r>
      <w:r>
        <w:rPr>
          <w:spacing w:val="-5"/>
        </w:rPr>
        <w:t>la </w:t>
      </w:r>
      <w:r>
        <w:rPr/>
        <w:t>actividad</w:t>
      </w:r>
      <w:r>
        <w:rPr>
          <w:spacing w:val="-37"/>
        </w:rPr>
        <w:t> </w:t>
      </w:r>
      <w:r>
        <w:rPr/>
        <w:t>en peces, como </w:t>
      </w:r>
      <w:r>
        <w:rPr>
          <w:spacing w:val="-3"/>
        </w:rPr>
        <w:t>la </w:t>
      </w:r>
      <w:r>
        <w:rPr/>
        <w:t>fosforilación de STAT1 mediante </w:t>
      </w:r>
      <w:r>
        <w:rPr>
          <w:spacing w:val="-3"/>
        </w:rPr>
        <w:t>la </w:t>
      </w:r>
      <w:r>
        <w:rPr/>
        <w:t>ruta JAK-STAT es</w:t>
      </w:r>
      <w:r>
        <w:rPr>
          <w:spacing w:val="-13"/>
        </w:rPr>
        <w:t> </w:t>
      </w:r>
      <w:r>
        <w:rPr/>
        <w:t>limitada.</w:t>
      </w:r>
    </w:p>
    <w:p>
      <w:pPr>
        <w:pStyle w:val="BodyText"/>
        <w:spacing w:line="360" w:lineRule="auto" w:before="8"/>
        <w:ind w:left="152" w:right="108"/>
        <w:jc w:val="both"/>
      </w:pPr>
      <w:r>
        <w:rPr/>
        <w:t>La</w:t>
      </w:r>
      <w:r>
        <w:rPr>
          <w:spacing w:val="-7"/>
        </w:rPr>
        <w:t> </w:t>
      </w:r>
      <w:r>
        <w:rPr/>
        <w:t>mortalidad</w:t>
      </w:r>
      <w:r>
        <w:rPr>
          <w:spacing w:val="-11"/>
        </w:rPr>
        <w:t> </w:t>
      </w:r>
      <w:r>
        <w:rPr/>
        <w:t>en</w:t>
      </w:r>
      <w:r>
        <w:rPr>
          <w:spacing w:val="-11"/>
        </w:rPr>
        <w:t> </w:t>
      </w:r>
      <w:r>
        <w:rPr/>
        <w:t>salmónidos</w:t>
      </w:r>
      <w:r>
        <w:rPr>
          <w:spacing w:val="-13"/>
        </w:rPr>
        <w:t> </w:t>
      </w:r>
      <w:r>
        <w:rPr/>
        <w:t>causados</w:t>
      </w:r>
      <w:r>
        <w:rPr>
          <w:spacing w:val="-13"/>
        </w:rPr>
        <w:t> </w:t>
      </w:r>
      <w:r>
        <w:rPr/>
        <w:t>por</w:t>
      </w:r>
      <w:r>
        <w:rPr>
          <w:spacing w:val="-14"/>
        </w:rPr>
        <w:t> </w:t>
      </w:r>
      <w:r>
        <w:rPr/>
        <w:t>IPNV</w:t>
      </w:r>
      <w:r>
        <w:rPr>
          <w:spacing w:val="-12"/>
        </w:rPr>
        <w:t> </w:t>
      </w:r>
      <w:r>
        <w:rPr/>
        <w:t>depende</w:t>
      </w:r>
      <w:r>
        <w:rPr>
          <w:spacing w:val="-12"/>
        </w:rPr>
        <w:t> </w:t>
      </w:r>
      <w:r>
        <w:rPr/>
        <w:t>de</w:t>
      </w:r>
      <w:r>
        <w:rPr>
          <w:spacing w:val="-7"/>
        </w:rPr>
        <w:t> </w:t>
      </w:r>
      <w:r>
        <w:rPr/>
        <w:t>varios</w:t>
      </w:r>
      <w:r>
        <w:rPr>
          <w:spacing w:val="-8"/>
        </w:rPr>
        <w:t> </w:t>
      </w:r>
      <w:r>
        <w:rPr/>
        <w:t>factores:</w:t>
      </w:r>
      <w:r>
        <w:rPr>
          <w:spacing w:val="-6"/>
        </w:rPr>
        <w:t> </w:t>
      </w:r>
      <w:r>
        <w:rPr>
          <w:spacing w:val="-5"/>
        </w:rPr>
        <w:t>la</w:t>
      </w:r>
      <w:r>
        <w:rPr>
          <w:spacing w:val="-7"/>
        </w:rPr>
        <w:t> </w:t>
      </w:r>
      <w:r>
        <w:rPr/>
        <w:t>virulencia</w:t>
      </w:r>
      <w:r>
        <w:rPr>
          <w:spacing w:val="-12"/>
        </w:rPr>
        <w:t> </w:t>
      </w:r>
      <w:r>
        <w:rPr/>
        <w:t>de </w:t>
      </w:r>
      <w:r>
        <w:rPr>
          <w:spacing w:val="-3"/>
        </w:rPr>
        <w:t>la </w:t>
      </w:r>
      <w:r>
        <w:rPr/>
        <w:t>cepa, edad de los peces, sistema de cultivo, entre otros (Santi et al., 2004), pero se </w:t>
      </w:r>
      <w:r>
        <w:rPr>
          <w:spacing w:val="-3"/>
        </w:rPr>
        <w:t>ha </w:t>
      </w:r>
      <w:r>
        <w:rPr/>
        <w:t>considerado a </w:t>
      </w:r>
      <w:r>
        <w:rPr>
          <w:spacing w:val="-5"/>
        </w:rPr>
        <w:t>la </w:t>
      </w:r>
      <w:r>
        <w:rPr/>
        <w:t>temperatura </w:t>
      </w:r>
      <w:r>
        <w:rPr>
          <w:spacing w:val="-3"/>
        </w:rPr>
        <w:t>como </w:t>
      </w:r>
      <w:r>
        <w:rPr/>
        <w:t>un factor </w:t>
      </w:r>
      <w:r>
        <w:rPr>
          <w:spacing w:val="-3"/>
        </w:rPr>
        <w:t>clave </w:t>
      </w:r>
      <w:r>
        <w:rPr/>
        <w:t>para </w:t>
      </w:r>
      <w:r>
        <w:rPr>
          <w:spacing w:val="-3"/>
        </w:rPr>
        <w:t>la </w:t>
      </w:r>
      <w:r>
        <w:rPr/>
        <w:t>aparición de </w:t>
      </w:r>
      <w:r>
        <w:rPr>
          <w:spacing w:val="-5"/>
        </w:rPr>
        <w:t>la </w:t>
      </w:r>
      <w:r>
        <w:rPr/>
        <w:t>enfermedad. En </w:t>
      </w:r>
      <w:r>
        <w:rPr>
          <w:spacing w:val="-5"/>
        </w:rPr>
        <w:t>la </w:t>
      </w:r>
      <w:r>
        <w:rPr/>
        <w:t>década de los 60’s experimentos con IPNV demostraron mayor mortalidad en alevines de trucha </w:t>
      </w:r>
      <w:r>
        <w:rPr>
          <w:spacing w:val="-3"/>
        </w:rPr>
        <w:t>café </w:t>
      </w:r>
      <w:r>
        <w:rPr/>
        <w:t>en condiciones experimentales de infección con IPNV a 12°C (Wolf, 1988)</w:t>
      </w:r>
      <w:r>
        <w:rPr>
          <w:spacing w:val="-35"/>
        </w:rPr>
        <w:t> </w:t>
      </w:r>
      <w:r>
        <w:rPr/>
        <w:t>pero</w:t>
      </w:r>
    </w:p>
    <w:p>
      <w:pPr>
        <w:spacing w:after="0" w:line="360" w:lineRule="auto"/>
        <w:jc w:val="both"/>
        <w:sectPr>
          <w:pgSz w:w="12240" w:h="15840"/>
          <w:pgMar w:header="0" w:footer="1382" w:top="1500" w:bottom="1580" w:left="1720" w:right="1420"/>
        </w:sectPr>
      </w:pPr>
    </w:p>
    <w:p>
      <w:pPr>
        <w:pStyle w:val="BodyText"/>
        <w:spacing w:before="7"/>
        <w:rPr>
          <w:sz w:val="25"/>
        </w:rPr>
      </w:pPr>
    </w:p>
    <w:p>
      <w:pPr>
        <w:pStyle w:val="BodyText"/>
        <w:spacing w:line="360" w:lineRule="auto" w:before="70"/>
        <w:ind w:left="152" w:right="101"/>
        <w:jc w:val="both"/>
      </w:pPr>
      <w:r>
        <w:rPr>
          <w:spacing w:val="-3"/>
        </w:rPr>
        <w:t>la</w:t>
      </w:r>
      <w:r>
        <w:rPr>
          <w:spacing w:val="-12"/>
        </w:rPr>
        <w:t> </w:t>
      </w:r>
      <w:r>
        <w:rPr/>
        <w:t>explicación</w:t>
      </w:r>
      <w:r>
        <w:rPr>
          <w:spacing w:val="-15"/>
        </w:rPr>
        <w:t> </w:t>
      </w:r>
      <w:r>
        <w:rPr/>
        <w:t>aún</w:t>
      </w:r>
      <w:r>
        <w:rPr>
          <w:spacing w:val="-15"/>
        </w:rPr>
        <w:t> </w:t>
      </w:r>
      <w:r>
        <w:rPr/>
        <w:t>es</w:t>
      </w:r>
      <w:r>
        <w:rPr>
          <w:spacing w:val="-13"/>
        </w:rPr>
        <w:t> </w:t>
      </w:r>
      <w:r>
        <w:rPr/>
        <w:t>desconocida.</w:t>
      </w:r>
      <w:r>
        <w:rPr>
          <w:spacing w:val="41"/>
        </w:rPr>
        <w:t> </w:t>
      </w:r>
      <w:r>
        <w:rPr/>
        <w:t>Sin</w:t>
      </w:r>
      <w:r>
        <w:rPr>
          <w:spacing w:val="-15"/>
        </w:rPr>
        <w:t> </w:t>
      </w:r>
      <w:r>
        <w:rPr/>
        <w:t>embargo</w:t>
      </w:r>
      <w:r>
        <w:rPr>
          <w:spacing w:val="-4"/>
        </w:rPr>
        <w:t> </w:t>
      </w:r>
      <w:r>
        <w:rPr>
          <w:spacing w:val="-3"/>
        </w:rPr>
        <w:t>no</w:t>
      </w:r>
      <w:r>
        <w:rPr>
          <w:spacing w:val="-15"/>
        </w:rPr>
        <w:t> </w:t>
      </w:r>
      <w:r>
        <w:rPr/>
        <w:t>se</w:t>
      </w:r>
      <w:r>
        <w:rPr>
          <w:spacing w:val="-12"/>
        </w:rPr>
        <w:t> </w:t>
      </w:r>
      <w:r>
        <w:rPr>
          <w:spacing w:val="-3"/>
        </w:rPr>
        <w:t>ha</w:t>
      </w:r>
      <w:r>
        <w:rPr>
          <w:spacing w:val="-12"/>
        </w:rPr>
        <w:t> </w:t>
      </w:r>
      <w:r>
        <w:rPr/>
        <w:t>evaluado</w:t>
      </w:r>
      <w:r>
        <w:rPr>
          <w:spacing w:val="-5"/>
        </w:rPr>
        <w:t> </w:t>
      </w:r>
      <w:r>
        <w:rPr/>
        <w:t>el</w:t>
      </w:r>
      <w:r>
        <w:rPr>
          <w:spacing w:val="-20"/>
        </w:rPr>
        <w:t> </w:t>
      </w:r>
      <w:r>
        <w:rPr/>
        <w:t>efecto</w:t>
      </w:r>
      <w:r>
        <w:rPr>
          <w:spacing w:val="-10"/>
        </w:rPr>
        <w:t> </w:t>
      </w:r>
      <w:r>
        <w:rPr/>
        <w:t>de</w:t>
      </w:r>
      <w:r>
        <w:rPr>
          <w:spacing w:val="-12"/>
        </w:rPr>
        <w:t> </w:t>
      </w:r>
      <w:r>
        <w:rPr>
          <w:spacing w:val="-5"/>
        </w:rPr>
        <w:t>la</w:t>
      </w:r>
      <w:r>
        <w:rPr>
          <w:spacing w:val="-12"/>
        </w:rPr>
        <w:t> </w:t>
      </w:r>
      <w:r>
        <w:rPr/>
        <w:t>temperatura en</w:t>
      </w:r>
      <w:r>
        <w:rPr>
          <w:spacing w:val="-4"/>
        </w:rPr>
        <w:t> </w:t>
      </w:r>
      <w:r>
        <w:rPr>
          <w:spacing w:val="-3"/>
        </w:rPr>
        <w:t>la</w:t>
      </w:r>
      <w:r>
        <w:rPr>
          <w:spacing w:val="-5"/>
        </w:rPr>
        <w:t> </w:t>
      </w:r>
      <w:r>
        <w:rPr/>
        <w:t>expresión</w:t>
      </w:r>
      <w:r>
        <w:rPr>
          <w:spacing w:val="-9"/>
        </w:rPr>
        <w:t> </w:t>
      </w:r>
      <w:r>
        <w:rPr/>
        <w:t>de</w:t>
      </w:r>
      <w:r>
        <w:rPr>
          <w:spacing w:val="-3"/>
        </w:rPr>
        <w:t> </w:t>
      </w:r>
      <w:r>
        <w:rPr/>
        <w:t>transcrito</w:t>
      </w:r>
      <w:r>
        <w:rPr>
          <w:spacing w:val="1"/>
        </w:rPr>
        <w:t> </w:t>
      </w:r>
      <w:r>
        <w:rPr/>
        <w:t>de</w:t>
      </w:r>
      <w:r>
        <w:rPr>
          <w:spacing w:val="-5"/>
        </w:rPr>
        <w:t> </w:t>
      </w:r>
      <w:r>
        <w:rPr/>
        <w:t>IFN-I(α),</w:t>
      </w:r>
      <w:r>
        <w:rPr>
          <w:spacing w:val="-2"/>
        </w:rPr>
        <w:t> </w:t>
      </w:r>
      <w:r>
        <w:rPr/>
        <w:t>STAT-1(α)</w:t>
      </w:r>
      <w:r>
        <w:rPr>
          <w:spacing w:val="3"/>
        </w:rPr>
        <w:t> </w:t>
      </w:r>
      <w:r>
        <w:rPr/>
        <w:t>y</w:t>
      </w:r>
      <w:r>
        <w:rPr>
          <w:spacing w:val="-13"/>
        </w:rPr>
        <w:t> </w:t>
      </w:r>
      <w:r>
        <w:rPr/>
        <w:t>Mx-1</w:t>
      </w:r>
      <w:r>
        <w:rPr>
          <w:spacing w:val="-4"/>
        </w:rPr>
        <w:t> </w:t>
      </w:r>
      <w:r>
        <w:rPr/>
        <w:t>en</w:t>
      </w:r>
      <w:r>
        <w:rPr>
          <w:spacing w:val="-9"/>
        </w:rPr>
        <w:t> </w:t>
      </w:r>
      <w:r>
        <w:rPr/>
        <w:t>peces</w:t>
      </w:r>
      <w:r>
        <w:rPr>
          <w:spacing w:val="-1"/>
        </w:rPr>
        <w:t> </w:t>
      </w:r>
      <w:r>
        <w:rPr/>
        <w:t>infectados</w:t>
      </w:r>
      <w:r>
        <w:rPr>
          <w:spacing w:val="-6"/>
        </w:rPr>
        <w:t> </w:t>
      </w:r>
      <w:r>
        <w:rPr/>
        <w:t>con</w:t>
      </w:r>
      <w:r>
        <w:rPr>
          <w:spacing w:val="-9"/>
        </w:rPr>
        <w:t> </w:t>
      </w:r>
      <w:r>
        <w:rPr/>
        <w:t>IPNV. De tal forma que en este trabajo se contribuye al entendimiento del efecto de </w:t>
      </w:r>
      <w:r>
        <w:rPr>
          <w:spacing w:val="-5"/>
        </w:rPr>
        <w:t>la </w:t>
      </w:r>
      <w:r>
        <w:rPr/>
        <w:t>temperatura sobre </w:t>
      </w:r>
      <w:r>
        <w:rPr>
          <w:spacing w:val="-5"/>
        </w:rPr>
        <w:t>la </w:t>
      </w:r>
      <w:r>
        <w:rPr/>
        <w:t>expresión de ISGs en truchas arcoíris desafiadas con IPNV a tres distintas temperaturas de crecimiento </w:t>
      </w:r>
      <w:r>
        <w:rPr>
          <w:spacing w:val="-2"/>
        </w:rPr>
        <w:t>(baja, </w:t>
      </w:r>
      <w:r>
        <w:rPr/>
        <w:t>óptima y alta) mediante </w:t>
      </w:r>
      <w:r>
        <w:rPr>
          <w:spacing w:val="-5"/>
        </w:rPr>
        <w:t>la </w:t>
      </w:r>
      <w:r>
        <w:rPr/>
        <w:t>estimación de </w:t>
      </w:r>
      <w:r>
        <w:rPr>
          <w:spacing w:val="-5"/>
        </w:rPr>
        <w:t>la </w:t>
      </w:r>
      <w:r>
        <w:rPr/>
        <w:t>expresión génica por </w:t>
      </w:r>
      <w:r>
        <w:rPr>
          <w:spacing w:val="-5"/>
        </w:rPr>
        <w:t>la </w:t>
      </w:r>
      <w:r>
        <w:rPr/>
        <w:t>técnica de PCR en tiempo real (</w:t>
      </w:r>
      <w:r>
        <w:rPr>
          <w:i/>
        </w:rPr>
        <w:t>q</w:t>
      </w:r>
      <w:r>
        <w:rPr/>
        <w:t>PCR); todos los peces infectados a 12°C murieron entre el día 6 y 14 y se presentó una inhibición del transcrito de IFN-I(α) y STAT- 1(α) después del día 7, a pesar de una sobre expresión de Mx-1, que </w:t>
      </w:r>
      <w:r>
        <w:rPr>
          <w:spacing w:val="-3"/>
        </w:rPr>
        <w:t>no fue </w:t>
      </w:r>
      <w:r>
        <w:rPr/>
        <w:t>capaz de inhibir </w:t>
      </w:r>
      <w:r>
        <w:rPr>
          <w:spacing w:val="-3"/>
        </w:rPr>
        <w:t>la </w:t>
      </w:r>
      <w:r>
        <w:rPr/>
        <w:t>replicación viral. Además, asumiendo que STAT1(α/β) es una proteína clave para activar los ISGs y que actúa </w:t>
      </w:r>
      <w:r>
        <w:rPr>
          <w:spacing w:val="-3"/>
        </w:rPr>
        <w:t>como </w:t>
      </w:r>
      <w:r>
        <w:rPr/>
        <w:t>factor de transcripción después de </w:t>
      </w:r>
      <w:r>
        <w:rPr>
          <w:spacing w:val="-3"/>
        </w:rPr>
        <w:t>la </w:t>
      </w:r>
      <w:r>
        <w:rPr/>
        <w:t>unión de interferón a su receptor y que autores (Skjesol </w:t>
      </w:r>
      <w:r>
        <w:rPr>
          <w:i/>
        </w:rPr>
        <w:t>et al</w:t>
      </w:r>
      <w:r>
        <w:rPr/>
        <w:t>., 2011) han hipotetizado un posible efecto antagónico de IPNV en </w:t>
      </w:r>
      <w:r>
        <w:rPr>
          <w:spacing w:val="-5"/>
        </w:rPr>
        <w:t>la </w:t>
      </w:r>
      <w:r>
        <w:rPr/>
        <w:t>vía de señalamiento de IFN-I(α), se tuvo </w:t>
      </w:r>
      <w:r>
        <w:rPr>
          <w:spacing w:val="-3"/>
        </w:rPr>
        <w:t>como </w:t>
      </w:r>
      <w:r>
        <w:rPr/>
        <w:t>objetivo además evaluar el efecto de dos cepas de IPNV de distinto nivel de infectividad sobre </w:t>
      </w:r>
      <w:r>
        <w:rPr>
          <w:spacing w:val="-5"/>
        </w:rPr>
        <w:t>la </w:t>
      </w:r>
      <w:r>
        <w:rPr/>
        <w:t>activación de STAT1 (α/β) mediante Western Blot, para </w:t>
      </w:r>
      <w:r>
        <w:rPr>
          <w:spacing w:val="-5"/>
        </w:rPr>
        <w:t>lo </w:t>
      </w:r>
      <w:r>
        <w:rPr/>
        <w:t>que se desarrollaron experimentos </w:t>
      </w:r>
      <w:r>
        <w:rPr>
          <w:i/>
        </w:rPr>
        <w:t>in vitro </w:t>
      </w:r>
      <w:r>
        <w:rPr/>
        <w:t>infectando células RTG-2 con 2 aislados chilenos de IPNV; uno avirulento/apatógeno y otro de media virulencia. Los resultados mostraron que el virus de serotipo Sp alcanza mayores valores de replicación que VR-299, exceptuando a </w:t>
      </w:r>
      <w:r>
        <w:rPr>
          <w:spacing w:val="-4"/>
        </w:rPr>
        <w:t>las </w:t>
      </w:r>
      <w:r>
        <w:rPr/>
        <w:t>60hpi. La expresión de IFN-I(α) </w:t>
      </w:r>
      <w:r>
        <w:rPr>
          <w:spacing w:val="-3"/>
        </w:rPr>
        <w:t>fue </w:t>
      </w:r>
      <w:r>
        <w:rPr/>
        <w:t>mayor en las células expuestas a </w:t>
      </w:r>
      <w:r>
        <w:rPr>
          <w:spacing w:val="-5"/>
        </w:rPr>
        <w:t>la </w:t>
      </w:r>
      <w:r>
        <w:rPr/>
        <w:t>cepa Sp, contrario a </w:t>
      </w:r>
      <w:r>
        <w:rPr>
          <w:spacing w:val="-5"/>
        </w:rPr>
        <w:t>lo </w:t>
      </w:r>
      <w:r>
        <w:rPr/>
        <w:t>esperado, </w:t>
      </w:r>
      <w:r>
        <w:rPr>
          <w:spacing w:val="-5"/>
        </w:rPr>
        <w:t>lo </w:t>
      </w:r>
      <w:r>
        <w:rPr/>
        <w:t>que claramente indica que </w:t>
      </w:r>
      <w:r>
        <w:rPr>
          <w:spacing w:val="-3"/>
        </w:rPr>
        <w:t>la </w:t>
      </w:r>
      <w:r>
        <w:rPr/>
        <w:t>virulencia de </w:t>
      </w:r>
      <w:r>
        <w:rPr>
          <w:spacing w:val="-5"/>
        </w:rPr>
        <w:t>la </w:t>
      </w:r>
      <w:r>
        <w:rPr/>
        <w:t>cepa se correlaciona positivamente con el nivel de respuesta por IFN-I(</w:t>
      </w:r>
      <w:r>
        <w:rPr>
          <w:i/>
        </w:rPr>
        <w:t>α</w:t>
      </w:r>
      <w:r>
        <w:rPr/>
        <w:t>). IPNV contrarresta el efecto antiviral de interferón tipo I inhibiendo </w:t>
      </w:r>
      <w:r>
        <w:rPr>
          <w:spacing w:val="-5"/>
        </w:rPr>
        <w:t>la </w:t>
      </w:r>
      <w:r>
        <w:rPr/>
        <w:t>vía de señalización JAK-STAT, pero </w:t>
      </w:r>
      <w:r>
        <w:rPr>
          <w:spacing w:val="-3"/>
        </w:rPr>
        <w:t>no </w:t>
      </w:r>
      <w:r>
        <w:rPr/>
        <w:t>interfiere con </w:t>
      </w:r>
      <w:r>
        <w:rPr>
          <w:spacing w:val="-5"/>
        </w:rPr>
        <w:t>la </w:t>
      </w:r>
      <w:r>
        <w:rPr/>
        <w:t>activación de </w:t>
      </w:r>
      <w:r>
        <w:rPr>
          <w:spacing w:val="-5"/>
        </w:rPr>
        <w:t>la </w:t>
      </w:r>
      <w:r>
        <w:rPr/>
        <w:t>tirosina 701-STAT1(α/β), como se </w:t>
      </w:r>
      <w:r>
        <w:rPr>
          <w:spacing w:val="-3"/>
        </w:rPr>
        <w:t>ha </w:t>
      </w:r>
      <w:r>
        <w:rPr/>
        <w:t>reportado para otros virus de</w:t>
      </w:r>
      <w:r>
        <w:rPr>
          <w:spacing w:val="-14"/>
        </w:rPr>
        <w:t> </w:t>
      </w:r>
      <w:r>
        <w:rPr/>
        <w:t>RNA.</w:t>
      </w:r>
    </w:p>
    <w:p>
      <w:pPr>
        <w:spacing w:after="0" w:line="360" w:lineRule="auto"/>
        <w:jc w:val="both"/>
        <w:sectPr>
          <w:pgSz w:w="12240" w:h="15840"/>
          <w:pgMar w:header="0" w:footer="1382" w:top="1500" w:bottom="1580" w:left="1720" w:right="1420"/>
        </w:sectPr>
      </w:pPr>
    </w:p>
    <w:p>
      <w:pPr>
        <w:pStyle w:val="BodyText"/>
        <w:spacing w:before="1"/>
        <w:rPr>
          <w:sz w:val="26"/>
        </w:rPr>
      </w:pPr>
    </w:p>
    <w:p>
      <w:pPr>
        <w:pStyle w:val="Heading1"/>
        <w:numPr>
          <w:ilvl w:val="1"/>
          <w:numId w:val="1"/>
        </w:numPr>
        <w:tabs>
          <w:tab w:pos="3106" w:val="left" w:leader="none"/>
        </w:tabs>
        <w:spacing w:line="240" w:lineRule="auto" w:before="69" w:after="0"/>
        <w:ind w:left="3106" w:right="0" w:hanging="308"/>
        <w:jc w:val="left"/>
      </w:pPr>
      <w:bookmarkStart w:name="_bookmark4" w:id="6"/>
      <w:bookmarkEnd w:id="6"/>
      <w:r>
        <w:rPr>
          <w:b w:val="0"/>
        </w:rPr>
      </w:r>
      <w:bookmarkStart w:name="_bookmark4" w:id="7"/>
      <w:bookmarkEnd w:id="7"/>
      <w:r>
        <w:rPr/>
        <w:t>R</w:t>
      </w:r>
      <w:r>
        <w:rPr/>
        <w:t>EVISIÓN DE</w:t>
      </w:r>
      <w:r>
        <w:rPr>
          <w:spacing w:val="-12"/>
        </w:rPr>
        <w:t> </w:t>
      </w:r>
      <w:r>
        <w:rPr/>
        <w:t>LITERATURA</w:t>
      </w:r>
    </w:p>
    <w:p>
      <w:pPr>
        <w:pStyle w:val="Heading2"/>
        <w:spacing w:before="137"/>
        <w:ind w:left="152" w:firstLine="0"/>
        <w:rPr>
          <w:i/>
        </w:rPr>
      </w:pPr>
      <w:bookmarkStart w:name="_bookmark5" w:id="8"/>
      <w:bookmarkEnd w:id="8"/>
      <w:r>
        <w:rPr>
          <w:b w:val="0"/>
          <w:i w:val="0"/>
        </w:rPr>
      </w:r>
      <w:r>
        <w:rPr>
          <w:i/>
        </w:rPr>
        <w:t>2.1 Necrosis Pancreática Infecciosa</w:t>
      </w:r>
    </w:p>
    <w:p>
      <w:pPr>
        <w:pStyle w:val="BodyText"/>
        <w:spacing w:line="360" w:lineRule="auto" w:before="132"/>
        <w:ind w:left="152" w:right="99"/>
        <w:jc w:val="both"/>
      </w:pPr>
      <w:r>
        <w:rPr/>
        <w:t>La</w:t>
      </w:r>
      <w:r>
        <w:rPr>
          <w:spacing w:val="-9"/>
        </w:rPr>
        <w:t> </w:t>
      </w:r>
      <w:r>
        <w:rPr/>
        <w:t>enfermedad</w:t>
      </w:r>
      <w:r>
        <w:rPr>
          <w:spacing w:val="-8"/>
        </w:rPr>
        <w:t> </w:t>
      </w:r>
      <w:r>
        <w:rPr/>
        <w:t>de</w:t>
      </w:r>
      <w:r>
        <w:rPr>
          <w:spacing w:val="-9"/>
        </w:rPr>
        <w:t> </w:t>
      </w:r>
      <w:r>
        <w:rPr>
          <w:spacing w:val="-5"/>
        </w:rPr>
        <w:t>la</w:t>
      </w:r>
      <w:r>
        <w:rPr>
          <w:spacing w:val="-9"/>
        </w:rPr>
        <w:t> </w:t>
      </w:r>
      <w:r>
        <w:rPr/>
        <w:t>necrosis</w:t>
      </w:r>
      <w:r>
        <w:rPr>
          <w:spacing w:val="-10"/>
        </w:rPr>
        <w:t> </w:t>
      </w:r>
      <w:r>
        <w:rPr/>
        <w:t>pancreática</w:t>
      </w:r>
      <w:r>
        <w:rPr>
          <w:spacing w:val="-4"/>
        </w:rPr>
        <w:t> </w:t>
      </w:r>
      <w:r>
        <w:rPr/>
        <w:t>infecciosa</w:t>
      </w:r>
      <w:r>
        <w:rPr>
          <w:spacing w:val="-9"/>
        </w:rPr>
        <w:t> </w:t>
      </w:r>
      <w:r>
        <w:rPr/>
        <w:t>(IPN)</w:t>
      </w:r>
      <w:r>
        <w:rPr>
          <w:spacing w:val="-15"/>
        </w:rPr>
        <w:t> </w:t>
      </w:r>
      <w:r>
        <w:rPr/>
        <w:t>también</w:t>
      </w:r>
      <w:r>
        <w:rPr>
          <w:spacing w:val="-8"/>
        </w:rPr>
        <w:t> </w:t>
      </w:r>
      <w:r>
        <w:rPr/>
        <w:t>llamada</w:t>
      </w:r>
      <w:r>
        <w:rPr>
          <w:spacing w:val="-2"/>
        </w:rPr>
        <w:t> </w:t>
      </w:r>
      <w:r>
        <w:rPr/>
        <w:t>en</w:t>
      </w:r>
      <w:r>
        <w:rPr>
          <w:spacing w:val="-13"/>
        </w:rPr>
        <w:t> </w:t>
      </w:r>
      <w:r>
        <w:rPr/>
        <w:t>1941</w:t>
      </w:r>
      <w:r>
        <w:rPr>
          <w:spacing w:val="-8"/>
        </w:rPr>
        <w:t> </w:t>
      </w:r>
      <w:r>
        <w:rPr/>
        <w:t>enteritis catarral</w:t>
      </w:r>
      <w:r>
        <w:rPr>
          <w:spacing w:val="-19"/>
        </w:rPr>
        <w:t> </w:t>
      </w:r>
      <w:r>
        <w:rPr/>
        <w:t>aguda</w:t>
      </w:r>
      <w:r>
        <w:rPr>
          <w:spacing w:val="-11"/>
        </w:rPr>
        <w:t> </w:t>
      </w:r>
      <w:r>
        <w:rPr/>
        <w:t>(Wolf</w:t>
      </w:r>
      <w:r>
        <w:rPr>
          <w:spacing w:val="-11"/>
        </w:rPr>
        <w:t> </w:t>
      </w:r>
      <w:r>
        <w:rPr>
          <w:i/>
        </w:rPr>
        <w:t>et</w:t>
      </w:r>
      <w:r>
        <w:rPr>
          <w:i/>
          <w:spacing w:val="-9"/>
        </w:rPr>
        <w:t> </w:t>
      </w:r>
      <w:r>
        <w:rPr>
          <w:i/>
        </w:rPr>
        <w:t>al</w:t>
      </w:r>
      <w:r>
        <w:rPr/>
        <w:t>.,</w:t>
      </w:r>
      <w:r>
        <w:rPr>
          <w:spacing w:val="-7"/>
        </w:rPr>
        <w:t> </w:t>
      </w:r>
      <w:r>
        <w:rPr/>
        <w:t>1960)</w:t>
      </w:r>
      <w:r>
        <w:rPr>
          <w:spacing w:val="-8"/>
        </w:rPr>
        <w:t> </w:t>
      </w:r>
      <w:r>
        <w:rPr/>
        <w:t>es</w:t>
      </w:r>
      <w:r>
        <w:rPr>
          <w:spacing w:val="-12"/>
        </w:rPr>
        <w:t> </w:t>
      </w:r>
      <w:r>
        <w:rPr/>
        <w:t>una</w:t>
      </w:r>
      <w:r>
        <w:rPr>
          <w:spacing w:val="-11"/>
        </w:rPr>
        <w:t> </w:t>
      </w:r>
      <w:r>
        <w:rPr/>
        <w:t>enfermedad</w:t>
      </w:r>
      <w:r>
        <w:rPr>
          <w:spacing w:val="-10"/>
        </w:rPr>
        <w:t> </w:t>
      </w:r>
      <w:r>
        <w:rPr/>
        <w:t>aguda</w:t>
      </w:r>
      <w:r>
        <w:rPr>
          <w:spacing w:val="-11"/>
        </w:rPr>
        <w:t> </w:t>
      </w:r>
      <w:r>
        <w:rPr/>
        <w:t>altamente</w:t>
      </w:r>
      <w:r>
        <w:rPr>
          <w:spacing w:val="-11"/>
        </w:rPr>
        <w:t> </w:t>
      </w:r>
      <w:r>
        <w:rPr/>
        <w:t>contagiosa</w:t>
      </w:r>
      <w:r>
        <w:rPr>
          <w:spacing w:val="-11"/>
        </w:rPr>
        <w:t> </w:t>
      </w:r>
      <w:r>
        <w:rPr/>
        <w:t>de</w:t>
      </w:r>
      <w:r>
        <w:rPr>
          <w:spacing w:val="-6"/>
        </w:rPr>
        <w:t> </w:t>
      </w:r>
      <w:r>
        <w:rPr>
          <w:spacing w:val="-5"/>
        </w:rPr>
        <w:t>la</w:t>
      </w:r>
      <w:r>
        <w:rPr>
          <w:spacing w:val="-11"/>
        </w:rPr>
        <w:t> </w:t>
      </w:r>
      <w:r>
        <w:rPr/>
        <w:t>trucha y</w:t>
      </w:r>
      <w:r>
        <w:rPr>
          <w:spacing w:val="-20"/>
        </w:rPr>
        <w:t> </w:t>
      </w:r>
      <w:r>
        <w:rPr/>
        <w:t>el</w:t>
      </w:r>
      <w:r>
        <w:rPr>
          <w:spacing w:val="-15"/>
        </w:rPr>
        <w:t> </w:t>
      </w:r>
      <w:r>
        <w:rPr/>
        <w:t>salmón</w:t>
      </w:r>
      <w:r>
        <w:rPr>
          <w:spacing w:val="-15"/>
        </w:rPr>
        <w:t> </w:t>
      </w:r>
      <w:r>
        <w:rPr/>
        <w:t>(Wolf</w:t>
      </w:r>
      <w:r>
        <w:rPr>
          <w:spacing w:val="-17"/>
        </w:rPr>
        <w:t> </w:t>
      </w:r>
      <w:r>
        <w:rPr>
          <w:i/>
        </w:rPr>
        <w:t>et</w:t>
      </w:r>
      <w:r>
        <w:rPr>
          <w:i/>
          <w:spacing w:val="-10"/>
        </w:rPr>
        <w:t> </w:t>
      </w:r>
      <w:r>
        <w:rPr>
          <w:i/>
        </w:rPr>
        <w:t>al.,</w:t>
      </w:r>
      <w:r>
        <w:rPr>
          <w:i/>
          <w:spacing w:val="-12"/>
        </w:rPr>
        <w:t> </w:t>
      </w:r>
      <w:r>
        <w:rPr/>
        <w:t>1960,</w:t>
      </w:r>
      <w:r>
        <w:rPr>
          <w:spacing w:val="-13"/>
        </w:rPr>
        <w:t> </w:t>
      </w:r>
      <w:r>
        <w:rPr/>
        <w:t>OIE,</w:t>
      </w:r>
      <w:r>
        <w:rPr>
          <w:spacing w:val="-13"/>
        </w:rPr>
        <w:t> </w:t>
      </w:r>
      <w:r>
        <w:rPr/>
        <w:t>2006,</w:t>
      </w:r>
      <w:r>
        <w:rPr>
          <w:spacing w:val="-13"/>
        </w:rPr>
        <w:t> </w:t>
      </w:r>
      <w:r>
        <w:rPr/>
        <w:t>Saint-Jean</w:t>
      </w:r>
      <w:r>
        <w:rPr>
          <w:spacing w:val="-15"/>
        </w:rPr>
        <w:t> </w:t>
      </w:r>
      <w:r>
        <w:rPr>
          <w:i/>
        </w:rPr>
        <w:t>et</w:t>
      </w:r>
      <w:r>
        <w:rPr>
          <w:i/>
          <w:spacing w:val="-10"/>
        </w:rPr>
        <w:t> </w:t>
      </w:r>
      <w:r>
        <w:rPr>
          <w:i/>
        </w:rPr>
        <w:t>al.,</w:t>
      </w:r>
      <w:r>
        <w:rPr>
          <w:i/>
          <w:spacing w:val="-13"/>
        </w:rPr>
        <w:t> </w:t>
      </w:r>
      <w:r>
        <w:rPr/>
        <w:t>2006).</w:t>
      </w:r>
      <w:r>
        <w:rPr>
          <w:spacing w:val="-13"/>
        </w:rPr>
        <w:t> </w:t>
      </w:r>
      <w:r>
        <w:rPr/>
        <w:t>De</w:t>
      </w:r>
      <w:r>
        <w:rPr>
          <w:spacing w:val="-12"/>
        </w:rPr>
        <w:t> </w:t>
      </w:r>
      <w:r>
        <w:rPr/>
        <w:t>acuerdo</w:t>
      </w:r>
      <w:r>
        <w:rPr>
          <w:spacing w:val="-11"/>
        </w:rPr>
        <w:t> </w:t>
      </w:r>
      <w:r>
        <w:rPr/>
        <w:t>con</w:t>
      </w:r>
      <w:r>
        <w:rPr>
          <w:spacing w:val="-15"/>
        </w:rPr>
        <w:t> </w:t>
      </w:r>
      <w:r>
        <w:rPr>
          <w:spacing w:val="-5"/>
        </w:rPr>
        <w:t>la</w:t>
      </w:r>
      <w:r>
        <w:rPr>
          <w:spacing w:val="-12"/>
        </w:rPr>
        <w:t> </w:t>
      </w:r>
      <w:r>
        <w:rPr/>
        <w:t>historia, primeramente McGonigle </w:t>
      </w:r>
      <w:r>
        <w:rPr>
          <w:i/>
        </w:rPr>
        <w:t>et al</w:t>
      </w:r>
      <w:r>
        <w:rPr/>
        <w:t>., (1941) registraron el cuadro clínico de </w:t>
      </w:r>
      <w:r>
        <w:rPr>
          <w:spacing w:val="-3"/>
        </w:rPr>
        <w:t>la </w:t>
      </w:r>
      <w:r>
        <w:rPr/>
        <w:t>necrosis pancreática infecciosa en </w:t>
      </w:r>
      <w:r>
        <w:rPr>
          <w:spacing w:val="-3"/>
        </w:rPr>
        <w:t>las </w:t>
      </w:r>
      <w:r>
        <w:rPr/>
        <w:t>provincias marítimas de Canadá (Wolf </w:t>
      </w:r>
      <w:r>
        <w:rPr>
          <w:i/>
        </w:rPr>
        <w:t>et al., </w:t>
      </w:r>
      <w:r>
        <w:rPr/>
        <w:t>1960) donde se registraron mortalidades en truchas de cultivo, principalmente afectando los estadios tempranos</w:t>
      </w:r>
      <w:r>
        <w:rPr>
          <w:spacing w:val="-7"/>
        </w:rPr>
        <w:t> </w:t>
      </w:r>
      <w:r>
        <w:rPr/>
        <w:t>de</w:t>
      </w:r>
      <w:r>
        <w:rPr>
          <w:spacing w:val="-6"/>
        </w:rPr>
        <w:t> </w:t>
      </w:r>
      <w:r>
        <w:rPr/>
        <w:t>peces.</w:t>
      </w:r>
      <w:r>
        <w:rPr>
          <w:spacing w:val="-1"/>
        </w:rPr>
        <w:t> </w:t>
      </w:r>
      <w:r>
        <w:rPr/>
        <w:t>El</w:t>
      </w:r>
      <w:r>
        <w:rPr>
          <w:spacing w:val="-14"/>
        </w:rPr>
        <w:t> </w:t>
      </w:r>
      <w:r>
        <w:rPr/>
        <w:t>nombre</w:t>
      </w:r>
      <w:r>
        <w:rPr>
          <w:spacing w:val="-6"/>
        </w:rPr>
        <w:t> </w:t>
      </w:r>
      <w:r>
        <w:rPr/>
        <w:t>de</w:t>
      </w:r>
      <w:r>
        <w:rPr>
          <w:spacing w:val="-4"/>
        </w:rPr>
        <w:t> </w:t>
      </w:r>
      <w:r>
        <w:rPr/>
        <w:t>enteritis</w:t>
      </w:r>
      <w:r>
        <w:rPr>
          <w:spacing w:val="-6"/>
        </w:rPr>
        <w:t> </w:t>
      </w:r>
      <w:r>
        <w:rPr/>
        <w:t>catarral</w:t>
      </w:r>
      <w:r>
        <w:rPr>
          <w:spacing w:val="-9"/>
        </w:rPr>
        <w:t> </w:t>
      </w:r>
      <w:r>
        <w:rPr/>
        <w:t>aguda</w:t>
      </w:r>
      <w:r>
        <w:rPr>
          <w:spacing w:val="-6"/>
        </w:rPr>
        <w:t> </w:t>
      </w:r>
      <w:r>
        <w:rPr/>
        <w:t>se</w:t>
      </w:r>
      <w:r>
        <w:rPr>
          <w:spacing w:val="-6"/>
        </w:rPr>
        <w:t> </w:t>
      </w:r>
      <w:r>
        <w:rPr>
          <w:spacing w:val="-3"/>
        </w:rPr>
        <w:t>debió</w:t>
      </w:r>
      <w:r>
        <w:rPr/>
        <w:t> a</w:t>
      </w:r>
      <w:r>
        <w:rPr>
          <w:spacing w:val="-6"/>
        </w:rPr>
        <w:t> </w:t>
      </w:r>
      <w:r>
        <w:rPr/>
        <w:t>que</w:t>
      </w:r>
      <w:r>
        <w:rPr>
          <w:spacing w:val="-5"/>
        </w:rPr>
        <w:t> </w:t>
      </w:r>
      <w:r>
        <w:rPr/>
        <w:t>larvas</w:t>
      </w:r>
      <w:r>
        <w:rPr>
          <w:spacing w:val="-2"/>
        </w:rPr>
        <w:t> </w:t>
      </w:r>
      <w:r>
        <w:rPr/>
        <w:t>y</w:t>
      </w:r>
      <w:r>
        <w:rPr>
          <w:spacing w:val="-14"/>
        </w:rPr>
        <w:t> </w:t>
      </w:r>
      <w:r>
        <w:rPr/>
        <w:t>alevines</w:t>
      </w:r>
      <w:r>
        <w:rPr>
          <w:spacing w:val="-7"/>
        </w:rPr>
        <w:t> </w:t>
      </w:r>
      <w:r>
        <w:rPr>
          <w:spacing w:val="-3"/>
        </w:rPr>
        <w:t>no </w:t>
      </w:r>
      <w:r>
        <w:rPr/>
        <w:t>digerían el alimento comercial. En ese entonces se asoció </w:t>
      </w:r>
      <w:r>
        <w:rPr>
          <w:spacing w:val="-3"/>
        </w:rPr>
        <w:t>como </w:t>
      </w:r>
      <w:r>
        <w:rPr/>
        <w:t>agentes etiológicos protozoarios flagelados de género </w:t>
      </w:r>
      <w:r>
        <w:rPr>
          <w:i/>
        </w:rPr>
        <w:t>Hexamita </w:t>
      </w:r>
      <w:r>
        <w:rPr/>
        <w:t>o </w:t>
      </w:r>
      <w:r>
        <w:rPr>
          <w:i/>
        </w:rPr>
        <w:t>Octomitus </w:t>
      </w:r>
      <w:r>
        <w:rPr/>
        <w:t>organismos que abundaban en el intestino de los animales (Wolf, 1988). McGonigle y colaboradores notaron que esta "enteritis" era acompañada con signos de nadado errático-circular. Sin embargo observaron que </w:t>
      </w:r>
      <w:r>
        <w:rPr>
          <w:spacing w:val="-5"/>
        </w:rPr>
        <w:t>la </w:t>
      </w:r>
      <w:r>
        <w:rPr/>
        <w:t>muerte de los peces ocurría en ausencia también de los protozoarios (McGonigle, 1941). Años después </w:t>
      </w:r>
      <w:r>
        <w:rPr>
          <w:spacing w:val="-3"/>
        </w:rPr>
        <w:t>la </w:t>
      </w:r>
      <w:r>
        <w:rPr/>
        <w:t>enfermedad es nombrada como </w:t>
      </w:r>
      <w:r>
        <w:rPr>
          <w:spacing w:val="-5"/>
        </w:rPr>
        <w:t>la </w:t>
      </w:r>
      <w:r>
        <w:rPr/>
        <w:t>necrosis pancreática infecciosa (IPN) (Wolf </w:t>
      </w:r>
      <w:r>
        <w:rPr>
          <w:i/>
        </w:rPr>
        <w:t>et al., </w:t>
      </w:r>
      <w:r>
        <w:rPr/>
        <w:t>1955), principalmente por el daño encontrado en páncreas después de realizar un examen histopatológico, proponiéndose una etiología de tipo viral para </w:t>
      </w:r>
      <w:r>
        <w:rPr>
          <w:spacing w:val="-3"/>
        </w:rPr>
        <w:t>la </w:t>
      </w:r>
      <w:r>
        <w:rPr/>
        <w:t>enfermedad. Subsiguientemente, Wolf y Dunbar (1958) aislaron por primera vez el virus de peces, determinando a IPNV </w:t>
      </w:r>
      <w:r>
        <w:rPr>
          <w:spacing w:val="-3"/>
        </w:rPr>
        <w:t>como </w:t>
      </w:r>
      <w:r>
        <w:rPr/>
        <w:t>el agente causante de </w:t>
      </w:r>
      <w:r>
        <w:rPr>
          <w:spacing w:val="-5"/>
        </w:rPr>
        <w:t>la </w:t>
      </w:r>
      <w:r>
        <w:rPr/>
        <w:t>necrosis pancreática infecciosa. Esto se pudo lograr con el desarrollo de </w:t>
      </w:r>
      <w:r>
        <w:rPr>
          <w:spacing w:val="-4"/>
        </w:rPr>
        <w:t>las </w:t>
      </w:r>
      <w:r>
        <w:rPr/>
        <w:t>técnicas de cultivo celular y tejidos de especies de peces. Así </w:t>
      </w:r>
      <w:r>
        <w:rPr>
          <w:spacing w:val="-3"/>
        </w:rPr>
        <w:t>mismo </w:t>
      </w:r>
      <w:r>
        <w:rPr/>
        <w:t>se estableció para </w:t>
      </w:r>
      <w:r>
        <w:rPr>
          <w:spacing w:val="-5"/>
        </w:rPr>
        <w:t>la </w:t>
      </w:r>
      <w:r>
        <w:rPr/>
        <w:t>aparición de </w:t>
      </w:r>
      <w:r>
        <w:rPr>
          <w:spacing w:val="-3"/>
        </w:rPr>
        <w:t>la </w:t>
      </w:r>
      <w:r>
        <w:rPr/>
        <w:t>enfermedad </w:t>
      </w:r>
      <w:r>
        <w:rPr>
          <w:spacing w:val="-3"/>
        </w:rPr>
        <w:t>no </w:t>
      </w:r>
      <w:r>
        <w:rPr/>
        <w:t>solamente </w:t>
      </w:r>
      <w:r>
        <w:rPr>
          <w:spacing w:val="-3"/>
        </w:rPr>
        <w:t>la </w:t>
      </w:r>
      <w:r>
        <w:rPr/>
        <w:t>presencia del agente etiológico, si </w:t>
      </w:r>
      <w:r>
        <w:rPr>
          <w:spacing w:val="-3"/>
        </w:rPr>
        <w:t>no </w:t>
      </w:r>
      <w:r>
        <w:rPr/>
        <w:t>se consideraría </w:t>
      </w:r>
      <w:r>
        <w:rPr>
          <w:spacing w:val="-5"/>
        </w:rPr>
        <w:t>la </w:t>
      </w:r>
      <w:r>
        <w:rPr/>
        <w:t>virulencia de </w:t>
      </w:r>
      <w:r>
        <w:rPr>
          <w:spacing w:val="-5"/>
        </w:rPr>
        <w:t>la </w:t>
      </w:r>
      <w:r>
        <w:rPr/>
        <w:t>cepa, el </w:t>
      </w:r>
      <w:r>
        <w:rPr>
          <w:spacing w:val="-4"/>
        </w:rPr>
        <w:t>medio </w:t>
      </w:r>
      <w:r>
        <w:rPr/>
        <w:t>ambiente, </w:t>
      </w:r>
      <w:r>
        <w:rPr>
          <w:spacing w:val="-3"/>
        </w:rPr>
        <w:t>la </w:t>
      </w:r>
      <w:r>
        <w:rPr/>
        <w:t>especie de pez, </w:t>
      </w:r>
      <w:r>
        <w:rPr>
          <w:spacing w:val="-3"/>
        </w:rPr>
        <w:t>la </w:t>
      </w:r>
      <w:r>
        <w:rPr/>
        <w:t>edad de los animales y </w:t>
      </w:r>
      <w:r>
        <w:rPr>
          <w:spacing w:val="-3"/>
        </w:rPr>
        <w:t>la </w:t>
      </w:r>
      <w:r>
        <w:rPr/>
        <w:t>temperatura del agua (Frantsi y Savan 1971; Jarp </w:t>
      </w:r>
      <w:r>
        <w:rPr>
          <w:i/>
        </w:rPr>
        <w:t>et al., </w:t>
      </w:r>
      <w:r>
        <w:rPr/>
        <w:t>1994; Ozaki </w:t>
      </w:r>
      <w:r>
        <w:rPr>
          <w:i/>
        </w:rPr>
        <w:t>et al</w:t>
      </w:r>
      <w:r>
        <w:rPr/>
        <w:t>., 2001; Smail </w:t>
      </w:r>
      <w:r>
        <w:rPr>
          <w:i/>
        </w:rPr>
        <w:t>et al., </w:t>
      </w:r>
      <w:r>
        <w:rPr/>
        <w:t>1995). Hoy en día </w:t>
      </w:r>
      <w:r>
        <w:rPr>
          <w:spacing w:val="-3"/>
        </w:rPr>
        <w:t>la </w:t>
      </w:r>
      <w:r>
        <w:rPr/>
        <w:t>IPN es una enfermedad de distribución mundial y se </w:t>
      </w:r>
      <w:r>
        <w:rPr>
          <w:spacing w:val="-3"/>
        </w:rPr>
        <w:t>ha </w:t>
      </w:r>
      <w:r>
        <w:rPr/>
        <w:t>reportado en Estados Unidos de América, México, </w:t>
      </w:r>
      <w:r>
        <w:rPr>
          <w:spacing w:val="-3"/>
        </w:rPr>
        <w:t>Chile, </w:t>
      </w:r>
      <w:r>
        <w:rPr/>
        <w:t>Canadá, Australia, Francia, Dinamarca, Noruega, Suecia, Reino Unido, Alemania, Italia, Rusia, Japón, Taiwán, China, Corea, Sudáfrica y Tailandia (OIE, 2008), siendo únicamente Oceanía el continente libre de </w:t>
      </w:r>
      <w:r>
        <w:rPr>
          <w:spacing w:val="-5"/>
        </w:rPr>
        <w:t>la </w:t>
      </w:r>
      <w:r>
        <w:rPr/>
        <w:t>enfermedad. Sin embargo de acuerdo con Ortega y Enríquez (2007) en Centroamérica no existe el reporte de este</w:t>
      </w:r>
      <w:r>
        <w:rPr>
          <w:spacing w:val="-16"/>
        </w:rPr>
        <w:t> </w:t>
      </w:r>
      <w:r>
        <w:rPr/>
        <w:t>agente.</w:t>
      </w:r>
    </w:p>
    <w:p>
      <w:pPr>
        <w:spacing w:after="0" w:line="360" w:lineRule="auto"/>
        <w:jc w:val="both"/>
        <w:sectPr>
          <w:pgSz w:w="12240" w:h="15840"/>
          <w:pgMar w:header="0" w:footer="1382" w:top="1500" w:bottom="1580" w:left="1720" w:right="1420"/>
        </w:sectPr>
      </w:pPr>
    </w:p>
    <w:p>
      <w:pPr>
        <w:pStyle w:val="BodyText"/>
        <w:spacing w:before="7"/>
        <w:rPr>
          <w:sz w:val="25"/>
        </w:rPr>
      </w:pPr>
    </w:p>
    <w:p>
      <w:pPr>
        <w:pStyle w:val="BodyText"/>
        <w:spacing w:line="360" w:lineRule="auto" w:before="70"/>
        <w:ind w:left="152" w:right="106"/>
        <w:jc w:val="both"/>
      </w:pPr>
      <w:r>
        <w:rPr/>
        <w:t>En </w:t>
      </w:r>
      <w:r>
        <w:rPr>
          <w:spacing w:val="-5"/>
        </w:rPr>
        <w:t>lo </w:t>
      </w:r>
      <w:r>
        <w:rPr/>
        <w:t>que respecta al </w:t>
      </w:r>
      <w:r>
        <w:rPr>
          <w:spacing w:val="-3"/>
        </w:rPr>
        <w:t>manejo </w:t>
      </w:r>
      <w:r>
        <w:rPr/>
        <w:t>sanitario de IPN, existen vacunas contra IPNV e ISAV, </w:t>
      </w:r>
      <w:r>
        <w:rPr>
          <w:spacing w:val="-3"/>
        </w:rPr>
        <w:t>pero </w:t>
      </w:r>
      <w:r>
        <w:rPr/>
        <w:t>actualmente </w:t>
      </w:r>
      <w:r>
        <w:rPr>
          <w:spacing w:val="-5"/>
        </w:rPr>
        <w:t>la </w:t>
      </w:r>
      <w:r>
        <w:rPr/>
        <w:t>vacunación contra estos virus </w:t>
      </w:r>
      <w:r>
        <w:rPr>
          <w:spacing w:val="-3"/>
        </w:rPr>
        <w:t>no </w:t>
      </w:r>
      <w:r>
        <w:rPr/>
        <w:t>genera una protección satisfactoria. Para </w:t>
      </w:r>
      <w:r>
        <w:rPr>
          <w:spacing w:val="-5"/>
        </w:rPr>
        <w:t>la </w:t>
      </w:r>
      <w:r>
        <w:rPr/>
        <w:t>producción de vacunas </w:t>
      </w:r>
      <w:r>
        <w:rPr>
          <w:spacing w:val="-3"/>
        </w:rPr>
        <w:t>más </w:t>
      </w:r>
      <w:r>
        <w:rPr/>
        <w:t>eficientes y </w:t>
      </w:r>
      <w:r>
        <w:rPr>
          <w:spacing w:val="-3"/>
        </w:rPr>
        <w:t>la </w:t>
      </w:r>
      <w:r>
        <w:rPr/>
        <w:t>innovación con métodos de prevención contra </w:t>
      </w:r>
      <w:r>
        <w:rPr>
          <w:spacing w:val="-3"/>
        </w:rPr>
        <w:t>las </w:t>
      </w:r>
      <w:r>
        <w:rPr/>
        <w:t>enfermedades virales que afectan salmónidos como IPN, existe una clara necesidad de profundizar</w:t>
      </w:r>
      <w:r>
        <w:rPr>
          <w:spacing w:val="-6"/>
        </w:rPr>
        <w:t> </w:t>
      </w:r>
      <w:r>
        <w:rPr/>
        <w:t>en</w:t>
      </w:r>
      <w:r>
        <w:rPr>
          <w:spacing w:val="-6"/>
        </w:rPr>
        <w:t> </w:t>
      </w:r>
      <w:r>
        <w:rPr>
          <w:spacing w:val="-5"/>
        </w:rPr>
        <w:t>la</w:t>
      </w:r>
      <w:r>
        <w:rPr>
          <w:spacing w:val="-9"/>
        </w:rPr>
        <w:t> </w:t>
      </w:r>
      <w:r>
        <w:rPr/>
        <w:t>comprensión</w:t>
      </w:r>
      <w:r>
        <w:rPr>
          <w:spacing w:val="-13"/>
        </w:rPr>
        <w:t> </w:t>
      </w:r>
      <w:r>
        <w:rPr/>
        <w:t>de</w:t>
      </w:r>
      <w:r>
        <w:rPr>
          <w:spacing w:val="-4"/>
        </w:rPr>
        <w:t> </w:t>
      </w:r>
      <w:r>
        <w:rPr/>
        <w:t>los</w:t>
      </w:r>
      <w:r>
        <w:rPr>
          <w:spacing w:val="-5"/>
        </w:rPr>
        <w:t> </w:t>
      </w:r>
      <w:r>
        <w:rPr/>
        <w:t>mecanismos</w:t>
      </w:r>
      <w:r>
        <w:rPr>
          <w:spacing w:val="-5"/>
        </w:rPr>
        <w:t> </w:t>
      </w:r>
      <w:r>
        <w:rPr/>
        <w:t>inmunes</w:t>
      </w:r>
      <w:r>
        <w:rPr>
          <w:spacing w:val="-10"/>
        </w:rPr>
        <w:t> </w:t>
      </w:r>
      <w:r>
        <w:rPr/>
        <w:t>antivirales,</w:t>
      </w:r>
      <w:r>
        <w:rPr>
          <w:spacing w:val="-6"/>
        </w:rPr>
        <w:t> </w:t>
      </w:r>
      <w:r>
        <w:rPr/>
        <w:t>en</w:t>
      </w:r>
      <w:r>
        <w:rPr>
          <w:spacing w:val="-13"/>
        </w:rPr>
        <w:t> </w:t>
      </w:r>
      <w:r>
        <w:rPr/>
        <w:t>especial</w:t>
      </w:r>
      <w:r>
        <w:rPr>
          <w:spacing w:val="-12"/>
        </w:rPr>
        <w:t> </w:t>
      </w:r>
      <w:r>
        <w:rPr/>
        <w:t>el</w:t>
      </w:r>
      <w:r>
        <w:rPr>
          <w:spacing w:val="-16"/>
        </w:rPr>
        <w:t> </w:t>
      </w:r>
      <w:r>
        <w:rPr/>
        <w:t>estudio del sistema de</w:t>
      </w:r>
      <w:r>
        <w:rPr>
          <w:spacing w:val="-15"/>
        </w:rPr>
        <w:t> </w:t>
      </w:r>
      <w:r>
        <w:rPr/>
        <w:t>interferón.</w:t>
      </w:r>
    </w:p>
    <w:p>
      <w:pPr>
        <w:pStyle w:val="BodyText"/>
      </w:pPr>
    </w:p>
    <w:p>
      <w:pPr>
        <w:pStyle w:val="Heading2"/>
        <w:numPr>
          <w:ilvl w:val="1"/>
          <w:numId w:val="7"/>
        </w:numPr>
        <w:tabs>
          <w:tab w:pos="575" w:val="left" w:leader="none"/>
        </w:tabs>
        <w:spacing w:line="240" w:lineRule="auto" w:before="145" w:after="0"/>
        <w:ind w:left="574" w:right="0" w:hanging="422"/>
        <w:jc w:val="both"/>
        <w:rPr>
          <w:i/>
        </w:rPr>
      </w:pPr>
      <w:bookmarkStart w:name="_bookmark6" w:id="9"/>
      <w:bookmarkEnd w:id="9"/>
      <w:r>
        <w:rPr>
          <w:b w:val="0"/>
          <w:i w:val="0"/>
        </w:rPr>
      </w:r>
      <w:bookmarkStart w:name="_bookmark6" w:id="10"/>
      <w:bookmarkEnd w:id="10"/>
      <w:r>
        <w:rPr>
          <w:i/>
        </w:rPr>
        <w:t>A</w:t>
      </w:r>
      <w:r>
        <w:rPr>
          <w:i/>
        </w:rPr>
        <w:t>gente Etiológico y Taxonomía</w:t>
      </w:r>
      <w:r>
        <w:rPr>
          <w:i/>
          <w:spacing w:val="-13"/>
        </w:rPr>
        <w:t> </w:t>
      </w:r>
      <w:r>
        <w:rPr>
          <w:i/>
        </w:rPr>
        <w:t>Viral</w:t>
      </w:r>
    </w:p>
    <w:p>
      <w:pPr>
        <w:pStyle w:val="BodyText"/>
        <w:spacing w:line="360" w:lineRule="auto" w:before="137"/>
        <w:ind w:left="152" w:right="101"/>
        <w:jc w:val="both"/>
      </w:pPr>
      <w:r>
        <w:rPr/>
        <w:t>El virus de </w:t>
      </w:r>
      <w:r>
        <w:rPr>
          <w:spacing w:val="-5"/>
        </w:rPr>
        <w:t>la </w:t>
      </w:r>
      <w:r>
        <w:rPr/>
        <w:t>IPN es el prototipo de </w:t>
      </w:r>
      <w:r>
        <w:rPr>
          <w:spacing w:val="-3"/>
        </w:rPr>
        <w:t>la </w:t>
      </w:r>
      <w:r>
        <w:rPr/>
        <w:t>familia Birnaviridae y pertenece al género Aquabirnavirus. Esta </w:t>
      </w:r>
      <w:r>
        <w:rPr>
          <w:spacing w:val="-3"/>
        </w:rPr>
        <w:t>familia </w:t>
      </w:r>
      <w:r>
        <w:rPr/>
        <w:t>presenta dos características muy importantes: el prefijo (bi) significa</w:t>
      </w:r>
      <w:r>
        <w:rPr>
          <w:spacing w:val="-11"/>
        </w:rPr>
        <w:t> </w:t>
      </w:r>
      <w:r>
        <w:rPr/>
        <w:t>que</w:t>
      </w:r>
      <w:r>
        <w:rPr>
          <w:spacing w:val="-9"/>
        </w:rPr>
        <w:t> </w:t>
      </w:r>
      <w:r>
        <w:rPr/>
        <w:t>el</w:t>
      </w:r>
      <w:r>
        <w:rPr>
          <w:spacing w:val="-14"/>
        </w:rPr>
        <w:t> </w:t>
      </w:r>
      <w:r>
        <w:rPr/>
        <w:t>genoma</w:t>
      </w:r>
      <w:r>
        <w:rPr>
          <w:spacing w:val="-11"/>
        </w:rPr>
        <w:t> </w:t>
      </w:r>
      <w:r>
        <w:rPr/>
        <w:t>consta</w:t>
      </w:r>
      <w:r>
        <w:rPr>
          <w:spacing w:val="-11"/>
        </w:rPr>
        <w:t> </w:t>
      </w:r>
      <w:r>
        <w:rPr/>
        <w:t>de</w:t>
      </w:r>
      <w:r>
        <w:rPr>
          <w:spacing w:val="-11"/>
        </w:rPr>
        <w:t> </w:t>
      </w:r>
      <w:r>
        <w:rPr/>
        <w:t>dos</w:t>
      </w:r>
      <w:r>
        <w:rPr>
          <w:spacing w:val="-12"/>
        </w:rPr>
        <w:t> </w:t>
      </w:r>
      <w:r>
        <w:rPr/>
        <w:t>segmentos</w:t>
      </w:r>
      <w:r>
        <w:rPr>
          <w:spacing w:val="-12"/>
        </w:rPr>
        <w:t> </w:t>
      </w:r>
      <w:r>
        <w:rPr/>
        <w:t>(cadena</w:t>
      </w:r>
      <w:r>
        <w:rPr>
          <w:spacing w:val="-11"/>
        </w:rPr>
        <w:t> </w:t>
      </w:r>
      <w:r>
        <w:rPr/>
        <w:t>doble)</w:t>
      </w:r>
      <w:r>
        <w:rPr>
          <w:spacing w:val="-3"/>
        </w:rPr>
        <w:t> </w:t>
      </w:r>
      <w:r>
        <w:rPr/>
        <w:t>y</w:t>
      </w:r>
      <w:r>
        <w:rPr>
          <w:spacing w:val="-19"/>
        </w:rPr>
        <w:t> </w:t>
      </w:r>
      <w:r>
        <w:rPr/>
        <w:t>el</w:t>
      </w:r>
      <w:r>
        <w:rPr>
          <w:spacing w:val="-9"/>
        </w:rPr>
        <w:t> </w:t>
      </w:r>
      <w:r>
        <w:rPr/>
        <w:t>sufijo</w:t>
      </w:r>
      <w:r>
        <w:rPr>
          <w:spacing w:val="-5"/>
        </w:rPr>
        <w:t> </w:t>
      </w:r>
      <w:r>
        <w:rPr/>
        <w:t>(rna)</w:t>
      </w:r>
      <w:r>
        <w:rPr>
          <w:spacing w:val="-8"/>
        </w:rPr>
        <w:t> </w:t>
      </w:r>
      <w:r>
        <w:rPr/>
        <w:t>que</w:t>
      </w:r>
      <w:r>
        <w:rPr>
          <w:spacing w:val="-11"/>
        </w:rPr>
        <w:t> </w:t>
      </w:r>
      <w:r>
        <w:rPr/>
        <w:t>el</w:t>
      </w:r>
      <w:r>
        <w:rPr>
          <w:spacing w:val="-14"/>
        </w:rPr>
        <w:t> </w:t>
      </w:r>
      <w:r>
        <w:rPr/>
        <w:t>ácido nucleico viral es de ARN. Además esta </w:t>
      </w:r>
      <w:r>
        <w:rPr>
          <w:spacing w:val="-3"/>
        </w:rPr>
        <w:t>familia </w:t>
      </w:r>
      <w:r>
        <w:rPr/>
        <w:t>contiene otros tres géneros de acuerdo con King</w:t>
      </w:r>
      <w:r>
        <w:rPr>
          <w:spacing w:val="-11"/>
        </w:rPr>
        <w:t> </w:t>
      </w:r>
      <w:r>
        <w:rPr>
          <w:i/>
        </w:rPr>
        <w:t>et</w:t>
      </w:r>
      <w:r>
        <w:rPr>
          <w:i/>
          <w:spacing w:val="-10"/>
        </w:rPr>
        <w:t> </w:t>
      </w:r>
      <w:r>
        <w:rPr>
          <w:i/>
        </w:rPr>
        <w:t>al</w:t>
      </w:r>
      <w:r>
        <w:rPr/>
        <w:t>.,</w:t>
      </w:r>
      <w:r>
        <w:rPr>
          <w:spacing w:val="-8"/>
        </w:rPr>
        <w:t> </w:t>
      </w:r>
      <w:r>
        <w:rPr/>
        <w:t>(2012),</w:t>
      </w:r>
      <w:r>
        <w:rPr>
          <w:spacing w:val="-9"/>
        </w:rPr>
        <w:t> </w:t>
      </w:r>
      <w:r>
        <w:rPr/>
        <w:t>Avibirnavirus,</w:t>
      </w:r>
      <w:r>
        <w:rPr>
          <w:spacing w:val="-6"/>
        </w:rPr>
        <w:t> </w:t>
      </w:r>
      <w:r>
        <w:rPr/>
        <w:t>el</w:t>
      </w:r>
      <w:r>
        <w:rPr>
          <w:spacing w:val="-15"/>
        </w:rPr>
        <w:t> </w:t>
      </w:r>
      <w:r>
        <w:rPr/>
        <w:t>virus</w:t>
      </w:r>
      <w:r>
        <w:rPr>
          <w:spacing w:val="-12"/>
        </w:rPr>
        <w:t> </w:t>
      </w:r>
      <w:r>
        <w:rPr/>
        <w:t>de</w:t>
      </w:r>
      <w:r>
        <w:rPr>
          <w:spacing w:val="-7"/>
        </w:rPr>
        <w:t> </w:t>
      </w:r>
      <w:r>
        <w:rPr>
          <w:spacing w:val="-3"/>
        </w:rPr>
        <w:t>la</w:t>
      </w:r>
      <w:r>
        <w:rPr>
          <w:spacing w:val="-12"/>
        </w:rPr>
        <w:t> </w:t>
      </w:r>
      <w:r>
        <w:rPr/>
        <w:t>enfermedad</w:t>
      </w:r>
      <w:r>
        <w:rPr>
          <w:spacing w:val="-11"/>
        </w:rPr>
        <w:t> </w:t>
      </w:r>
      <w:r>
        <w:rPr/>
        <w:t>de</w:t>
      </w:r>
      <w:r>
        <w:rPr>
          <w:spacing w:val="-7"/>
        </w:rPr>
        <w:t> </w:t>
      </w:r>
      <w:r>
        <w:rPr>
          <w:spacing w:val="-3"/>
        </w:rPr>
        <w:t>la</w:t>
      </w:r>
      <w:r>
        <w:rPr>
          <w:spacing w:val="-12"/>
        </w:rPr>
        <w:t> </w:t>
      </w:r>
      <w:r>
        <w:rPr/>
        <w:t>Bursitis</w:t>
      </w:r>
      <w:r>
        <w:rPr>
          <w:spacing w:val="-8"/>
        </w:rPr>
        <w:t> </w:t>
      </w:r>
      <w:r>
        <w:rPr/>
        <w:t>infecciosa</w:t>
      </w:r>
      <w:r>
        <w:rPr>
          <w:spacing w:val="-9"/>
        </w:rPr>
        <w:t> </w:t>
      </w:r>
      <w:r>
        <w:rPr/>
        <w:t>(IBDV) que afecta aves, el género Entomobirnavirus, virus X de Drosophila (DXV) de insectos y últimamente se reportó en el Comité Internacional de Taxonomía de Virus un Blosnavirus aislado de peces, que a diferencia de los demás géneros cuenta con una proteína adicional escindida de </w:t>
      </w:r>
      <w:r>
        <w:rPr>
          <w:spacing w:val="-5"/>
        </w:rPr>
        <w:t>la </w:t>
      </w:r>
      <w:r>
        <w:rPr/>
        <w:t>poli-proteína del segmento </w:t>
      </w:r>
      <w:r>
        <w:rPr>
          <w:spacing w:val="-3"/>
        </w:rPr>
        <w:t>A. </w:t>
      </w:r>
      <w:r>
        <w:rPr/>
        <w:t>La bursitis infecciosa es </w:t>
      </w:r>
      <w:r>
        <w:rPr>
          <w:spacing w:val="-5"/>
        </w:rPr>
        <w:t>la </w:t>
      </w:r>
      <w:r>
        <w:rPr/>
        <w:t>enfermedad ampliamente </w:t>
      </w:r>
      <w:r>
        <w:rPr>
          <w:spacing w:val="-3"/>
        </w:rPr>
        <w:t>más </w:t>
      </w:r>
      <w:r>
        <w:rPr/>
        <w:t>estudiada de </w:t>
      </w:r>
      <w:r>
        <w:rPr>
          <w:spacing w:val="-5"/>
        </w:rPr>
        <w:t>la </w:t>
      </w:r>
      <w:r>
        <w:rPr/>
        <w:t>familia Birnaviridae </w:t>
      </w:r>
      <w:r>
        <w:rPr>
          <w:spacing w:val="-3"/>
        </w:rPr>
        <w:t>ya </w:t>
      </w:r>
      <w:r>
        <w:rPr/>
        <w:t>que provoca inmunosupresión en las aves infectadas, principalmente destruyendo las células B del sistema inmune (Mahgoub </w:t>
      </w:r>
      <w:r>
        <w:rPr>
          <w:i/>
        </w:rPr>
        <w:t>et al</w:t>
      </w:r>
      <w:r>
        <w:rPr/>
        <w:t>., 2012). Existen dos serogrupos de birnavirus acuáticos designados como serogrupos A and B (Cuadro N°1). El serogrupo A comprende </w:t>
      </w:r>
      <w:r>
        <w:rPr>
          <w:spacing w:val="-3"/>
        </w:rPr>
        <w:t>la </w:t>
      </w:r>
      <w:r>
        <w:rPr/>
        <w:t>mayoría antigénicamente relacionados con IPNV y por </w:t>
      </w:r>
      <w:r>
        <w:rPr>
          <w:spacing w:val="-5"/>
        </w:rPr>
        <w:t>lo </w:t>
      </w:r>
      <w:r>
        <w:rPr/>
        <w:t>general son usualmente patógenos a peces. Por otra parte </w:t>
      </w:r>
      <w:r>
        <w:rPr>
          <w:spacing w:val="-5"/>
        </w:rPr>
        <w:t>la </w:t>
      </w:r>
      <w:r>
        <w:rPr/>
        <w:t>minoría son los que </w:t>
      </w:r>
      <w:r>
        <w:rPr>
          <w:spacing w:val="-3"/>
        </w:rPr>
        <w:t>no </w:t>
      </w:r>
      <w:r>
        <w:rPr/>
        <w:t>están asociados antigénicamente, representando el serogrupo B (Hill y Way, 1995). El serogrupo </w:t>
      </w:r>
      <w:r>
        <w:rPr>
          <w:spacing w:val="-3"/>
        </w:rPr>
        <w:t>A, </w:t>
      </w:r>
      <w:r>
        <w:rPr/>
        <w:t>está conformado de 9 serotipos que generan reacción cruzada: </w:t>
      </w:r>
      <w:r>
        <w:rPr>
          <w:spacing w:val="-3"/>
        </w:rPr>
        <w:t>A1 </w:t>
      </w:r>
      <w:r>
        <w:rPr/>
        <w:t>(cepa tipo </w:t>
      </w:r>
      <w:r>
        <w:rPr>
          <w:i/>
        </w:rPr>
        <w:t>West Buxton</w:t>
      </w:r>
      <w:r>
        <w:rPr/>
        <w:t>), </w:t>
      </w:r>
      <w:r>
        <w:rPr>
          <w:spacing w:val="-3"/>
        </w:rPr>
        <w:t>A2 </w:t>
      </w:r>
      <w:r>
        <w:rPr/>
        <w:t>(cepa tipo </w:t>
      </w:r>
      <w:r>
        <w:rPr>
          <w:i/>
        </w:rPr>
        <w:t>Sp</w:t>
      </w:r>
      <w:r>
        <w:rPr/>
        <w:t>), </w:t>
      </w:r>
      <w:r>
        <w:rPr>
          <w:spacing w:val="-3"/>
        </w:rPr>
        <w:t>A3 </w:t>
      </w:r>
      <w:r>
        <w:rPr/>
        <w:t>(cepa tipo </w:t>
      </w:r>
      <w:r>
        <w:rPr>
          <w:i/>
        </w:rPr>
        <w:t>Ab</w:t>
      </w:r>
      <w:r>
        <w:rPr/>
        <w:t>), </w:t>
      </w:r>
      <w:r>
        <w:rPr>
          <w:spacing w:val="-3"/>
        </w:rPr>
        <w:t>A4 </w:t>
      </w:r>
      <w:r>
        <w:rPr/>
        <w:t>(cepa tipo </w:t>
      </w:r>
      <w:r>
        <w:rPr>
          <w:i/>
        </w:rPr>
        <w:t>He</w:t>
      </w:r>
      <w:r>
        <w:rPr/>
        <w:t>), </w:t>
      </w:r>
      <w:r>
        <w:rPr>
          <w:spacing w:val="-3"/>
        </w:rPr>
        <w:t>A5 </w:t>
      </w:r>
      <w:r>
        <w:rPr/>
        <w:t>(cepa tipo </w:t>
      </w:r>
      <w:r>
        <w:rPr>
          <w:i/>
        </w:rPr>
        <w:t>Te</w:t>
      </w:r>
      <w:r>
        <w:rPr/>
        <w:t>), </w:t>
      </w:r>
      <w:r>
        <w:rPr>
          <w:spacing w:val="-3"/>
        </w:rPr>
        <w:t>A6 </w:t>
      </w:r>
      <w:r>
        <w:rPr/>
        <w:t>(cepa tipo </w:t>
      </w:r>
      <w:r>
        <w:rPr>
          <w:i/>
        </w:rPr>
        <w:t>Canadá 1</w:t>
      </w:r>
      <w:r>
        <w:rPr/>
        <w:t>), </w:t>
      </w:r>
      <w:r>
        <w:rPr>
          <w:spacing w:val="-3"/>
        </w:rPr>
        <w:t>A7 </w:t>
      </w:r>
      <w:r>
        <w:rPr/>
        <w:t>(cepa tipo </w:t>
      </w:r>
      <w:r>
        <w:rPr>
          <w:i/>
        </w:rPr>
        <w:t>Canadá 2</w:t>
      </w:r>
      <w:r>
        <w:rPr/>
        <w:t>), </w:t>
      </w:r>
      <w:r>
        <w:rPr>
          <w:spacing w:val="-3"/>
        </w:rPr>
        <w:t>A8 </w:t>
      </w:r>
      <w:r>
        <w:rPr/>
        <w:t>(cepa tipo </w:t>
      </w:r>
      <w:r>
        <w:rPr>
          <w:i/>
        </w:rPr>
        <w:t>Canadá 3</w:t>
      </w:r>
      <w:r>
        <w:rPr/>
        <w:t>) y </w:t>
      </w:r>
      <w:r>
        <w:rPr>
          <w:spacing w:val="-3"/>
        </w:rPr>
        <w:t>A9 </w:t>
      </w:r>
      <w:r>
        <w:rPr/>
        <w:t>(cepa tipo </w:t>
      </w:r>
      <w:r>
        <w:rPr>
          <w:i/>
        </w:rPr>
        <w:t>Jasper-ATCC VR1325</w:t>
      </w:r>
      <w:r>
        <w:rPr/>
        <w:t>). El serogrupo B consiste de un </w:t>
      </w:r>
      <w:r>
        <w:rPr>
          <w:spacing w:val="-3"/>
        </w:rPr>
        <w:t>único </w:t>
      </w:r>
      <w:r>
        <w:rPr/>
        <w:t>serotipo que se </w:t>
      </w:r>
      <w:r>
        <w:rPr>
          <w:spacing w:val="-4"/>
        </w:rPr>
        <w:t>aisló </w:t>
      </w:r>
      <w:r>
        <w:rPr/>
        <w:t>en moluscos (cepa tipo  </w:t>
      </w:r>
      <w:r>
        <w:rPr>
          <w:i/>
        </w:rPr>
        <w:t>TV-1</w:t>
      </w:r>
      <w:r>
        <w:rPr/>
        <w:t>).   En Estados Unidos </w:t>
      </w:r>
      <w:r>
        <w:rPr>
          <w:spacing w:val="-5"/>
        </w:rPr>
        <w:t>la  </w:t>
      </w:r>
      <w:r>
        <w:rPr/>
        <w:t>mayoría de  los virus registrados  </w:t>
      </w:r>
      <w:r>
        <w:rPr>
          <w:spacing w:val="20"/>
        </w:rPr>
        <w:t> </w:t>
      </w:r>
      <w:r>
        <w:rPr/>
        <w:t>se</w:t>
      </w:r>
    </w:p>
    <w:p>
      <w:pPr>
        <w:spacing w:after="0" w:line="360" w:lineRule="auto"/>
        <w:jc w:val="both"/>
        <w:sectPr>
          <w:pgSz w:w="12240" w:h="15840"/>
          <w:pgMar w:header="0" w:footer="1382" w:top="1500" w:bottom="1580" w:left="1720" w:right="1420"/>
        </w:sectPr>
      </w:pPr>
    </w:p>
    <w:p>
      <w:pPr>
        <w:pStyle w:val="BodyText"/>
        <w:spacing w:before="7"/>
        <w:rPr>
          <w:sz w:val="25"/>
        </w:rPr>
      </w:pPr>
    </w:p>
    <w:p>
      <w:pPr>
        <w:pStyle w:val="BodyText"/>
        <w:spacing w:line="360" w:lineRule="auto" w:before="70"/>
        <w:ind w:left="272" w:right="418"/>
      </w:pPr>
      <w:r>
        <w:rPr/>
        <w:t>asocian con el serotipo A1. Los serotipos A6, A7, A8, A9 están en Canadá, del A2-A5 en Europa y A1, A2 y A3 han sido encontrados en Asia y Sur América (Blake </w:t>
      </w:r>
      <w:r>
        <w:rPr>
          <w:i/>
        </w:rPr>
        <w:t>et al., </w:t>
      </w:r>
      <w:r>
        <w:rPr/>
        <w:t>2001).</w:t>
      </w:r>
    </w:p>
    <w:p>
      <w:pPr>
        <w:pStyle w:val="BodyText"/>
      </w:pPr>
    </w:p>
    <w:p>
      <w:pPr>
        <w:pStyle w:val="BodyText"/>
        <w:spacing w:line="360" w:lineRule="auto" w:before="145" w:after="30"/>
        <w:ind w:left="272" w:right="418"/>
      </w:pPr>
      <w:r>
        <w:rPr/>
        <w:t>Cuadro 1. Nomenclatura actual de serogrupos y las respectivas cepas (variación antigénica) de IPNV aislada en distintos lugares del mundo (Hill y Way, 1995).</w:t>
      </w: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70"/>
        <w:gridCol w:w="1534"/>
        <w:gridCol w:w="2856"/>
        <w:gridCol w:w="2044"/>
        <w:gridCol w:w="1447"/>
      </w:tblGrid>
      <w:tr>
        <w:trPr>
          <w:trHeight w:val="360" w:hRule="exact"/>
        </w:trPr>
        <w:tc>
          <w:tcPr>
            <w:tcW w:w="1570" w:type="dxa"/>
            <w:tcBorders>
              <w:right w:val="nil"/>
            </w:tcBorders>
          </w:tcPr>
          <w:p>
            <w:pPr>
              <w:pStyle w:val="TableParagraph"/>
              <w:spacing w:before="67"/>
              <w:ind w:left="144"/>
              <w:rPr>
                <w:rFonts w:ascii="Arial"/>
                <w:b/>
                <w:sz w:val="16"/>
              </w:rPr>
            </w:pPr>
            <w:r>
              <w:rPr>
                <w:rFonts w:ascii="Arial"/>
                <w:b/>
                <w:sz w:val="16"/>
              </w:rPr>
              <w:t>Nomenclatura</w:t>
            </w:r>
          </w:p>
        </w:tc>
        <w:tc>
          <w:tcPr>
            <w:tcW w:w="1534" w:type="dxa"/>
            <w:tcBorders>
              <w:left w:val="nil"/>
              <w:right w:val="nil"/>
            </w:tcBorders>
          </w:tcPr>
          <w:p>
            <w:pPr>
              <w:pStyle w:val="TableParagraph"/>
              <w:spacing w:before="67"/>
              <w:ind w:left="440"/>
              <w:rPr>
                <w:rFonts w:ascii="Arial"/>
                <w:b/>
                <w:sz w:val="16"/>
              </w:rPr>
            </w:pPr>
            <w:r>
              <w:rPr>
                <w:rFonts w:ascii="Arial"/>
                <w:b/>
                <w:sz w:val="16"/>
              </w:rPr>
              <w:t>Especie</w:t>
            </w:r>
          </w:p>
        </w:tc>
        <w:tc>
          <w:tcPr>
            <w:tcW w:w="2856" w:type="dxa"/>
            <w:tcBorders>
              <w:left w:val="nil"/>
              <w:right w:val="nil"/>
            </w:tcBorders>
          </w:tcPr>
          <w:p>
            <w:pPr>
              <w:pStyle w:val="TableParagraph"/>
              <w:spacing w:before="67"/>
              <w:ind w:left="537"/>
              <w:rPr>
                <w:rFonts w:ascii="Arial"/>
                <w:b/>
                <w:sz w:val="16"/>
              </w:rPr>
            </w:pPr>
            <w:r>
              <w:rPr>
                <w:rFonts w:ascii="Arial"/>
                <w:b/>
                <w:sz w:val="16"/>
              </w:rPr>
              <w:t>Autor</w:t>
            </w:r>
          </w:p>
        </w:tc>
        <w:tc>
          <w:tcPr>
            <w:tcW w:w="2044" w:type="dxa"/>
            <w:tcBorders>
              <w:left w:val="nil"/>
              <w:right w:val="nil"/>
            </w:tcBorders>
          </w:tcPr>
          <w:p>
            <w:pPr>
              <w:pStyle w:val="TableParagraph"/>
              <w:spacing w:before="67"/>
              <w:ind w:left="552"/>
              <w:rPr>
                <w:rFonts w:ascii="Arial"/>
                <w:b/>
                <w:sz w:val="16"/>
              </w:rPr>
            </w:pPr>
            <w:r>
              <w:rPr>
                <w:rFonts w:ascii="Arial"/>
                <w:b/>
                <w:sz w:val="16"/>
              </w:rPr>
              <w:t>Origen</w:t>
            </w:r>
          </w:p>
        </w:tc>
        <w:tc>
          <w:tcPr>
            <w:tcW w:w="1447" w:type="dxa"/>
            <w:tcBorders>
              <w:left w:val="nil"/>
            </w:tcBorders>
          </w:tcPr>
          <w:p>
            <w:pPr>
              <w:pStyle w:val="TableParagraph"/>
              <w:spacing w:before="67"/>
              <w:ind w:left="557" w:right="196"/>
              <w:jc w:val="center"/>
              <w:rPr>
                <w:rFonts w:ascii="Arial"/>
                <w:b/>
                <w:sz w:val="16"/>
              </w:rPr>
            </w:pPr>
            <w:r>
              <w:rPr>
                <w:rFonts w:ascii="Arial"/>
                <w:b/>
                <w:sz w:val="16"/>
              </w:rPr>
              <w:t>Serotipo</w:t>
            </w:r>
          </w:p>
        </w:tc>
      </w:tr>
      <w:tr>
        <w:trPr>
          <w:trHeight w:val="390" w:hRule="exact"/>
        </w:trPr>
        <w:tc>
          <w:tcPr>
            <w:tcW w:w="1570" w:type="dxa"/>
            <w:tcBorders>
              <w:left w:val="nil"/>
              <w:bottom w:val="nil"/>
              <w:right w:val="nil"/>
            </w:tcBorders>
          </w:tcPr>
          <w:p>
            <w:pPr>
              <w:pStyle w:val="TableParagraph"/>
              <w:spacing w:before="27"/>
              <w:ind w:left="154"/>
              <w:rPr>
                <w:b/>
                <w:sz w:val="24"/>
              </w:rPr>
            </w:pPr>
            <w:r>
              <w:rPr>
                <w:b/>
                <w:sz w:val="24"/>
                <w:u w:val="thick"/>
              </w:rPr>
              <w:t>Serogrupo A</w:t>
            </w:r>
          </w:p>
        </w:tc>
        <w:tc>
          <w:tcPr>
            <w:tcW w:w="1534" w:type="dxa"/>
            <w:tcBorders>
              <w:left w:val="nil"/>
              <w:bottom w:val="nil"/>
              <w:right w:val="nil"/>
            </w:tcBorders>
          </w:tcPr>
          <w:p>
            <w:pPr/>
          </w:p>
        </w:tc>
        <w:tc>
          <w:tcPr>
            <w:tcW w:w="2856" w:type="dxa"/>
            <w:tcBorders>
              <w:left w:val="nil"/>
              <w:bottom w:val="nil"/>
              <w:right w:val="nil"/>
            </w:tcBorders>
          </w:tcPr>
          <w:p>
            <w:pPr/>
          </w:p>
        </w:tc>
        <w:tc>
          <w:tcPr>
            <w:tcW w:w="2044" w:type="dxa"/>
            <w:tcBorders>
              <w:left w:val="nil"/>
              <w:bottom w:val="nil"/>
              <w:right w:val="nil"/>
            </w:tcBorders>
          </w:tcPr>
          <w:p>
            <w:pPr/>
          </w:p>
        </w:tc>
        <w:tc>
          <w:tcPr>
            <w:tcW w:w="1447" w:type="dxa"/>
            <w:tcBorders>
              <w:left w:val="nil"/>
              <w:bottom w:val="nil"/>
              <w:right w:val="nil"/>
            </w:tcBorders>
          </w:tcPr>
          <w:p>
            <w:pPr/>
          </w:p>
        </w:tc>
      </w:tr>
      <w:tr>
        <w:trPr>
          <w:trHeight w:val="403" w:hRule="exact"/>
        </w:trPr>
        <w:tc>
          <w:tcPr>
            <w:tcW w:w="1570" w:type="dxa"/>
            <w:tcBorders>
              <w:top w:val="nil"/>
              <w:left w:val="nil"/>
              <w:bottom w:val="nil"/>
              <w:right w:val="nil"/>
            </w:tcBorders>
          </w:tcPr>
          <w:p>
            <w:pPr>
              <w:pStyle w:val="TableParagraph"/>
              <w:spacing w:before="55"/>
              <w:ind w:left="154"/>
              <w:rPr>
                <w:rFonts w:ascii="Calibri"/>
                <w:sz w:val="22"/>
              </w:rPr>
            </w:pPr>
            <w:r>
              <w:rPr>
                <w:rFonts w:ascii="Calibri"/>
                <w:sz w:val="22"/>
              </w:rPr>
              <w:t>WB</w:t>
            </w:r>
          </w:p>
        </w:tc>
        <w:tc>
          <w:tcPr>
            <w:tcW w:w="1534" w:type="dxa"/>
            <w:tcBorders>
              <w:top w:val="nil"/>
              <w:left w:val="nil"/>
              <w:bottom w:val="nil"/>
              <w:right w:val="nil"/>
            </w:tcBorders>
          </w:tcPr>
          <w:p>
            <w:pPr>
              <w:pStyle w:val="TableParagraph"/>
              <w:spacing w:before="59"/>
              <w:ind w:left="240"/>
              <w:rPr>
                <w:i/>
                <w:sz w:val="22"/>
              </w:rPr>
            </w:pPr>
            <w:r>
              <w:rPr>
                <w:i/>
                <w:sz w:val="22"/>
              </w:rPr>
              <w:t>O. Mykiss</w:t>
            </w:r>
          </w:p>
        </w:tc>
        <w:tc>
          <w:tcPr>
            <w:tcW w:w="2856" w:type="dxa"/>
            <w:tcBorders>
              <w:top w:val="nil"/>
              <w:left w:val="nil"/>
              <w:bottom w:val="nil"/>
              <w:right w:val="nil"/>
            </w:tcBorders>
          </w:tcPr>
          <w:p>
            <w:pPr>
              <w:pStyle w:val="TableParagraph"/>
              <w:spacing w:before="59"/>
              <w:ind w:left="104"/>
              <w:rPr>
                <w:sz w:val="22"/>
              </w:rPr>
            </w:pPr>
            <w:r>
              <w:rPr>
                <w:sz w:val="22"/>
              </w:rPr>
              <w:t>Lientzy et.al.1973</w:t>
            </w:r>
          </w:p>
        </w:tc>
        <w:tc>
          <w:tcPr>
            <w:tcW w:w="2044" w:type="dxa"/>
            <w:tcBorders>
              <w:top w:val="nil"/>
              <w:left w:val="nil"/>
              <w:bottom w:val="nil"/>
              <w:right w:val="nil"/>
            </w:tcBorders>
          </w:tcPr>
          <w:p>
            <w:pPr>
              <w:pStyle w:val="TableParagraph"/>
              <w:spacing w:before="59"/>
              <w:ind w:left="772" w:right="791"/>
              <w:jc w:val="center"/>
              <w:rPr>
                <w:sz w:val="22"/>
              </w:rPr>
            </w:pPr>
            <w:r>
              <w:rPr>
                <w:sz w:val="22"/>
              </w:rPr>
              <w:t>USA</w:t>
            </w:r>
          </w:p>
        </w:tc>
        <w:tc>
          <w:tcPr>
            <w:tcW w:w="1447" w:type="dxa"/>
            <w:tcBorders>
              <w:top w:val="nil"/>
              <w:left w:val="nil"/>
              <w:bottom w:val="nil"/>
              <w:right w:val="nil"/>
            </w:tcBorders>
          </w:tcPr>
          <w:p>
            <w:pPr>
              <w:pStyle w:val="TableParagraph"/>
              <w:spacing w:before="59"/>
              <w:ind w:left="696" w:right="431"/>
              <w:jc w:val="center"/>
              <w:rPr>
                <w:sz w:val="22"/>
              </w:rPr>
            </w:pPr>
            <w:r>
              <w:rPr>
                <w:sz w:val="22"/>
              </w:rPr>
              <w:t>A1</w:t>
            </w:r>
          </w:p>
        </w:tc>
      </w:tr>
      <w:tr>
        <w:trPr>
          <w:trHeight w:val="383" w:hRule="exact"/>
        </w:trPr>
        <w:tc>
          <w:tcPr>
            <w:tcW w:w="1570" w:type="dxa"/>
            <w:tcBorders>
              <w:top w:val="nil"/>
              <w:left w:val="nil"/>
              <w:bottom w:val="nil"/>
              <w:right w:val="nil"/>
            </w:tcBorders>
          </w:tcPr>
          <w:p>
            <w:pPr>
              <w:pStyle w:val="TableParagraph"/>
              <w:spacing w:before="55"/>
              <w:ind w:left="154"/>
              <w:rPr>
                <w:sz w:val="22"/>
              </w:rPr>
            </w:pPr>
            <w:r>
              <w:rPr>
                <w:sz w:val="22"/>
              </w:rPr>
              <w:t>Sp</w:t>
            </w:r>
          </w:p>
        </w:tc>
        <w:tc>
          <w:tcPr>
            <w:tcW w:w="1534" w:type="dxa"/>
            <w:tcBorders>
              <w:top w:val="nil"/>
              <w:left w:val="nil"/>
              <w:bottom w:val="nil"/>
              <w:right w:val="nil"/>
            </w:tcBorders>
          </w:tcPr>
          <w:p>
            <w:pPr>
              <w:pStyle w:val="TableParagraph"/>
              <w:spacing w:before="55"/>
              <w:ind w:left="235"/>
              <w:rPr>
                <w:i/>
                <w:sz w:val="22"/>
              </w:rPr>
            </w:pPr>
            <w:r>
              <w:rPr>
                <w:i/>
                <w:sz w:val="22"/>
              </w:rPr>
              <w:t>O. Mykiss</w:t>
            </w:r>
          </w:p>
        </w:tc>
        <w:tc>
          <w:tcPr>
            <w:tcW w:w="2856" w:type="dxa"/>
            <w:tcBorders>
              <w:top w:val="nil"/>
              <w:left w:val="nil"/>
              <w:bottom w:val="nil"/>
              <w:right w:val="nil"/>
            </w:tcBorders>
          </w:tcPr>
          <w:p>
            <w:pPr>
              <w:pStyle w:val="TableParagraph"/>
              <w:spacing w:before="55"/>
              <w:ind w:left="99"/>
              <w:rPr>
                <w:sz w:val="22"/>
              </w:rPr>
            </w:pPr>
            <w:r>
              <w:rPr>
                <w:sz w:val="22"/>
              </w:rPr>
              <w:t>Jorgensen et.al.,1999</w:t>
            </w:r>
          </w:p>
        </w:tc>
        <w:tc>
          <w:tcPr>
            <w:tcW w:w="2044" w:type="dxa"/>
            <w:tcBorders>
              <w:top w:val="nil"/>
              <w:left w:val="nil"/>
              <w:bottom w:val="nil"/>
              <w:right w:val="nil"/>
            </w:tcBorders>
          </w:tcPr>
          <w:p>
            <w:pPr>
              <w:pStyle w:val="TableParagraph"/>
              <w:spacing w:before="55"/>
              <w:ind w:right="633"/>
              <w:jc w:val="right"/>
              <w:rPr>
                <w:sz w:val="22"/>
              </w:rPr>
            </w:pPr>
            <w:r>
              <w:rPr>
                <w:sz w:val="22"/>
              </w:rPr>
              <w:t>Europa</w:t>
            </w:r>
          </w:p>
        </w:tc>
        <w:tc>
          <w:tcPr>
            <w:tcW w:w="1447" w:type="dxa"/>
            <w:tcBorders>
              <w:top w:val="nil"/>
              <w:left w:val="nil"/>
              <w:bottom w:val="nil"/>
              <w:right w:val="nil"/>
            </w:tcBorders>
          </w:tcPr>
          <w:p>
            <w:pPr>
              <w:pStyle w:val="TableParagraph"/>
              <w:spacing w:before="55"/>
              <w:ind w:left="696" w:right="431"/>
              <w:jc w:val="center"/>
              <w:rPr>
                <w:sz w:val="22"/>
              </w:rPr>
            </w:pPr>
            <w:r>
              <w:rPr>
                <w:sz w:val="22"/>
              </w:rPr>
              <w:t>A2</w:t>
            </w:r>
          </w:p>
        </w:tc>
      </w:tr>
      <w:tr>
        <w:trPr>
          <w:trHeight w:val="382" w:hRule="exact"/>
        </w:trPr>
        <w:tc>
          <w:tcPr>
            <w:tcW w:w="1570" w:type="dxa"/>
            <w:tcBorders>
              <w:top w:val="nil"/>
              <w:left w:val="nil"/>
              <w:bottom w:val="nil"/>
              <w:right w:val="nil"/>
            </w:tcBorders>
          </w:tcPr>
          <w:p>
            <w:pPr>
              <w:pStyle w:val="TableParagraph"/>
              <w:spacing w:before="51"/>
              <w:ind w:left="154"/>
              <w:rPr>
                <w:sz w:val="22"/>
              </w:rPr>
            </w:pPr>
            <w:r>
              <w:rPr>
                <w:sz w:val="22"/>
              </w:rPr>
              <w:t>Ab</w:t>
            </w:r>
          </w:p>
        </w:tc>
        <w:tc>
          <w:tcPr>
            <w:tcW w:w="1534" w:type="dxa"/>
            <w:tcBorders>
              <w:top w:val="nil"/>
              <w:left w:val="nil"/>
              <w:bottom w:val="nil"/>
              <w:right w:val="nil"/>
            </w:tcBorders>
          </w:tcPr>
          <w:p>
            <w:pPr>
              <w:pStyle w:val="TableParagraph"/>
              <w:spacing w:before="51"/>
              <w:ind w:left="240"/>
              <w:rPr>
                <w:i/>
                <w:sz w:val="22"/>
              </w:rPr>
            </w:pPr>
            <w:r>
              <w:rPr>
                <w:i/>
                <w:sz w:val="22"/>
              </w:rPr>
              <w:t>O. Mykiss</w:t>
            </w:r>
          </w:p>
        </w:tc>
        <w:tc>
          <w:tcPr>
            <w:tcW w:w="2856" w:type="dxa"/>
            <w:tcBorders>
              <w:top w:val="nil"/>
              <w:left w:val="nil"/>
              <w:bottom w:val="nil"/>
              <w:right w:val="nil"/>
            </w:tcBorders>
          </w:tcPr>
          <w:p>
            <w:pPr>
              <w:pStyle w:val="TableParagraph"/>
              <w:spacing w:before="51"/>
              <w:ind w:left="123"/>
              <w:rPr>
                <w:sz w:val="22"/>
              </w:rPr>
            </w:pPr>
            <w:r>
              <w:rPr>
                <w:sz w:val="22"/>
              </w:rPr>
              <w:t>Jorgensen et.al., 1971</w:t>
            </w:r>
          </w:p>
        </w:tc>
        <w:tc>
          <w:tcPr>
            <w:tcW w:w="2044" w:type="dxa"/>
            <w:tcBorders>
              <w:top w:val="nil"/>
              <w:left w:val="nil"/>
              <w:bottom w:val="nil"/>
              <w:right w:val="nil"/>
            </w:tcBorders>
          </w:tcPr>
          <w:p>
            <w:pPr>
              <w:pStyle w:val="TableParagraph"/>
              <w:spacing w:before="51"/>
              <w:ind w:right="609"/>
              <w:jc w:val="right"/>
              <w:rPr>
                <w:sz w:val="22"/>
              </w:rPr>
            </w:pPr>
            <w:r>
              <w:rPr>
                <w:sz w:val="22"/>
              </w:rPr>
              <w:t>Europa</w:t>
            </w:r>
          </w:p>
        </w:tc>
        <w:tc>
          <w:tcPr>
            <w:tcW w:w="1447" w:type="dxa"/>
            <w:tcBorders>
              <w:top w:val="nil"/>
              <w:left w:val="nil"/>
              <w:bottom w:val="nil"/>
              <w:right w:val="nil"/>
            </w:tcBorders>
          </w:tcPr>
          <w:p>
            <w:pPr>
              <w:pStyle w:val="TableParagraph"/>
              <w:spacing w:before="51"/>
              <w:ind w:left="696" w:right="432"/>
              <w:jc w:val="center"/>
              <w:rPr>
                <w:sz w:val="22"/>
              </w:rPr>
            </w:pPr>
            <w:r>
              <w:rPr>
                <w:sz w:val="22"/>
              </w:rPr>
              <w:t>A3</w:t>
            </w:r>
          </w:p>
        </w:tc>
      </w:tr>
      <w:tr>
        <w:trPr>
          <w:trHeight w:val="382" w:hRule="exact"/>
        </w:trPr>
        <w:tc>
          <w:tcPr>
            <w:tcW w:w="1570" w:type="dxa"/>
            <w:tcBorders>
              <w:top w:val="nil"/>
              <w:left w:val="nil"/>
              <w:bottom w:val="nil"/>
              <w:right w:val="nil"/>
            </w:tcBorders>
          </w:tcPr>
          <w:p>
            <w:pPr>
              <w:pStyle w:val="TableParagraph"/>
              <w:spacing w:before="54"/>
              <w:ind w:left="154"/>
              <w:rPr>
                <w:sz w:val="22"/>
              </w:rPr>
            </w:pPr>
            <w:r>
              <w:rPr>
                <w:sz w:val="22"/>
              </w:rPr>
              <w:t>He</w:t>
            </w:r>
          </w:p>
        </w:tc>
        <w:tc>
          <w:tcPr>
            <w:tcW w:w="1534" w:type="dxa"/>
            <w:tcBorders>
              <w:top w:val="nil"/>
              <w:left w:val="nil"/>
              <w:bottom w:val="nil"/>
              <w:right w:val="nil"/>
            </w:tcBorders>
          </w:tcPr>
          <w:p>
            <w:pPr>
              <w:pStyle w:val="TableParagraph"/>
              <w:spacing w:before="54"/>
              <w:ind w:left="245"/>
              <w:rPr>
                <w:i/>
                <w:sz w:val="22"/>
              </w:rPr>
            </w:pPr>
            <w:r>
              <w:rPr>
                <w:i/>
                <w:sz w:val="22"/>
              </w:rPr>
              <w:t>Esox lucius</w:t>
            </w:r>
          </w:p>
        </w:tc>
        <w:tc>
          <w:tcPr>
            <w:tcW w:w="2856" w:type="dxa"/>
            <w:tcBorders>
              <w:top w:val="nil"/>
              <w:left w:val="nil"/>
              <w:bottom w:val="nil"/>
              <w:right w:val="nil"/>
            </w:tcBorders>
          </w:tcPr>
          <w:p>
            <w:pPr>
              <w:pStyle w:val="TableParagraph"/>
              <w:spacing w:before="54"/>
              <w:ind w:left="214"/>
              <w:rPr>
                <w:sz w:val="22"/>
              </w:rPr>
            </w:pPr>
            <w:r>
              <w:rPr>
                <w:sz w:val="22"/>
              </w:rPr>
              <w:t>Ahne, 1979</w:t>
            </w:r>
          </w:p>
        </w:tc>
        <w:tc>
          <w:tcPr>
            <w:tcW w:w="2044" w:type="dxa"/>
            <w:tcBorders>
              <w:top w:val="nil"/>
              <w:left w:val="nil"/>
              <w:bottom w:val="nil"/>
              <w:right w:val="nil"/>
            </w:tcBorders>
          </w:tcPr>
          <w:p>
            <w:pPr>
              <w:pStyle w:val="TableParagraph"/>
              <w:spacing w:before="54"/>
              <w:ind w:right="576"/>
              <w:jc w:val="right"/>
              <w:rPr>
                <w:sz w:val="22"/>
              </w:rPr>
            </w:pPr>
            <w:r>
              <w:rPr>
                <w:sz w:val="22"/>
              </w:rPr>
              <w:t>Europa</w:t>
            </w:r>
          </w:p>
        </w:tc>
        <w:tc>
          <w:tcPr>
            <w:tcW w:w="1447" w:type="dxa"/>
            <w:tcBorders>
              <w:top w:val="nil"/>
              <w:left w:val="nil"/>
              <w:bottom w:val="nil"/>
              <w:right w:val="nil"/>
            </w:tcBorders>
          </w:tcPr>
          <w:p>
            <w:pPr>
              <w:pStyle w:val="TableParagraph"/>
              <w:spacing w:before="54"/>
              <w:ind w:left="696" w:right="432"/>
              <w:jc w:val="center"/>
              <w:rPr>
                <w:sz w:val="22"/>
              </w:rPr>
            </w:pPr>
            <w:r>
              <w:rPr>
                <w:sz w:val="22"/>
              </w:rPr>
              <w:t>A4</w:t>
            </w:r>
          </w:p>
        </w:tc>
      </w:tr>
      <w:tr>
        <w:trPr>
          <w:trHeight w:val="379" w:hRule="exact"/>
        </w:trPr>
        <w:tc>
          <w:tcPr>
            <w:tcW w:w="1570" w:type="dxa"/>
            <w:tcBorders>
              <w:top w:val="nil"/>
              <w:left w:val="nil"/>
              <w:bottom w:val="nil"/>
              <w:right w:val="nil"/>
            </w:tcBorders>
          </w:tcPr>
          <w:p>
            <w:pPr>
              <w:pStyle w:val="TableParagraph"/>
              <w:spacing w:before="51"/>
              <w:ind w:left="154"/>
              <w:rPr>
                <w:sz w:val="22"/>
              </w:rPr>
            </w:pPr>
            <w:r>
              <w:rPr>
                <w:sz w:val="22"/>
              </w:rPr>
              <w:t>Te</w:t>
            </w:r>
          </w:p>
        </w:tc>
        <w:tc>
          <w:tcPr>
            <w:tcW w:w="1534" w:type="dxa"/>
            <w:tcBorders>
              <w:top w:val="nil"/>
              <w:left w:val="nil"/>
              <w:bottom w:val="nil"/>
              <w:right w:val="nil"/>
            </w:tcBorders>
          </w:tcPr>
          <w:p>
            <w:pPr>
              <w:pStyle w:val="TableParagraph"/>
              <w:spacing w:before="51"/>
              <w:ind w:left="235"/>
              <w:rPr>
                <w:i/>
                <w:sz w:val="22"/>
              </w:rPr>
            </w:pPr>
            <w:r>
              <w:rPr>
                <w:i/>
                <w:sz w:val="22"/>
              </w:rPr>
              <w:t>Tellina tenuis</w:t>
            </w:r>
          </w:p>
        </w:tc>
        <w:tc>
          <w:tcPr>
            <w:tcW w:w="2856" w:type="dxa"/>
            <w:tcBorders>
              <w:top w:val="nil"/>
              <w:left w:val="nil"/>
              <w:bottom w:val="nil"/>
              <w:right w:val="nil"/>
            </w:tcBorders>
          </w:tcPr>
          <w:p>
            <w:pPr>
              <w:pStyle w:val="TableParagraph"/>
              <w:spacing w:before="51"/>
              <w:ind w:left="257"/>
              <w:rPr>
                <w:sz w:val="22"/>
              </w:rPr>
            </w:pPr>
            <w:r>
              <w:rPr>
                <w:sz w:val="22"/>
              </w:rPr>
              <w:t>Hill, 1978</w:t>
            </w:r>
          </w:p>
        </w:tc>
        <w:tc>
          <w:tcPr>
            <w:tcW w:w="2044" w:type="dxa"/>
            <w:tcBorders>
              <w:top w:val="nil"/>
              <w:left w:val="nil"/>
              <w:bottom w:val="nil"/>
              <w:right w:val="nil"/>
            </w:tcBorders>
          </w:tcPr>
          <w:p>
            <w:pPr>
              <w:pStyle w:val="TableParagraph"/>
              <w:spacing w:before="51"/>
              <w:ind w:right="595"/>
              <w:jc w:val="right"/>
              <w:rPr>
                <w:sz w:val="22"/>
              </w:rPr>
            </w:pPr>
            <w:r>
              <w:rPr>
                <w:sz w:val="22"/>
              </w:rPr>
              <w:t>Europa</w:t>
            </w:r>
          </w:p>
        </w:tc>
        <w:tc>
          <w:tcPr>
            <w:tcW w:w="1447" w:type="dxa"/>
            <w:tcBorders>
              <w:top w:val="nil"/>
              <w:left w:val="nil"/>
              <w:bottom w:val="nil"/>
              <w:right w:val="nil"/>
            </w:tcBorders>
          </w:tcPr>
          <w:p>
            <w:pPr>
              <w:pStyle w:val="TableParagraph"/>
              <w:spacing w:before="51"/>
              <w:ind w:left="691" w:right="436"/>
              <w:jc w:val="center"/>
              <w:rPr>
                <w:sz w:val="22"/>
              </w:rPr>
            </w:pPr>
            <w:r>
              <w:rPr>
                <w:sz w:val="22"/>
              </w:rPr>
              <w:t>A5</w:t>
            </w:r>
          </w:p>
        </w:tc>
      </w:tr>
      <w:tr>
        <w:trPr>
          <w:trHeight w:val="379" w:hRule="exact"/>
        </w:trPr>
        <w:tc>
          <w:tcPr>
            <w:tcW w:w="1570" w:type="dxa"/>
            <w:tcBorders>
              <w:top w:val="nil"/>
              <w:left w:val="nil"/>
              <w:bottom w:val="nil"/>
              <w:right w:val="nil"/>
            </w:tcBorders>
          </w:tcPr>
          <w:p>
            <w:pPr>
              <w:pStyle w:val="TableParagraph"/>
              <w:spacing w:before="51"/>
              <w:ind w:left="154"/>
              <w:rPr>
                <w:sz w:val="22"/>
              </w:rPr>
            </w:pPr>
            <w:r>
              <w:rPr>
                <w:sz w:val="22"/>
              </w:rPr>
              <w:t>C1</w:t>
            </w:r>
          </w:p>
        </w:tc>
        <w:tc>
          <w:tcPr>
            <w:tcW w:w="1534" w:type="dxa"/>
            <w:tcBorders>
              <w:top w:val="nil"/>
              <w:left w:val="nil"/>
              <w:bottom w:val="nil"/>
              <w:right w:val="nil"/>
            </w:tcBorders>
          </w:tcPr>
          <w:p>
            <w:pPr>
              <w:pStyle w:val="TableParagraph"/>
              <w:spacing w:before="51"/>
              <w:ind w:left="254"/>
              <w:rPr>
                <w:i/>
                <w:sz w:val="22"/>
              </w:rPr>
            </w:pPr>
            <w:r>
              <w:rPr>
                <w:i/>
                <w:sz w:val="22"/>
              </w:rPr>
              <w:t>Salmo salar</w:t>
            </w:r>
          </w:p>
        </w:tc>
        <w:tc>
          <w:tcPr>
            <w:tcW w:w="2856" w:type="dxa"/>
            <w:tcBorders>
              <w:top w:val="nil"/>
              <w:left w:val="nil"/>
              <w:bottom w:val="nil"/>
              <w:right w:val="nil"/>
            </w:tcBorders>
          </w:tcPr>
          <w:p>
            <w:pPr>
              <w:pStyle w:val="TableParagraph"/>
              <w:spacing w:before="51"/>
              <w:ind w:right="550"/>
              <w:jc w:val="right"/>
              <w:rPr>
                <w:sz w:val="22"/>
              </w:rPr>
            </w:pPr>
            <w:r>
              <w:rPr>
                <w:sz w:val="22"/>
              </w:rPr>
              <w:t>MacDonald et al.,1983</w:t>
            </w:r>
          </w:p>
        </w:tc>
        <w:tc>
          <w:tcPr>
            <w:tcW w:w="2044" w:type="dxa"/>
            <w:tcBorders>
              <w:top w:val="nil"/>
              <w:left w:val="nil"/>
              <w:bottom w:val="nil"/>
              <w:right w:val="nil"/>
            </w:tcBorders>
          </w:tcPr>
          <w:p>
            <w:pPr>
              <w:pStyle w:val="TableParagraph"/>
              <w:spacing w:before="51"/>
              <w:ind w:right="580"/>
              <w:jc w:val="right"/>
              <w:rPr>
                <w:sz w:val="22"/>
              </w:rPr>
            </w:pPr>
            <w:r>
              <w:rPr>
                <w:sz w:val="22"/>
              </w:rPr>
              <w:t>Canadá</w:t>
            </w:r>
          </w:p>
        </w:tc>
        <w:tc>
          <w:tcPr>
            <w:tcW w:w="1447" w:type="dxa"/>
            <w:tcBorders>
              <w:top w:val="nil"/>
              <w:left w:val="nil"/>
              <w:bottom w:val="nil"/>
              <w:right w:val="nil"/>
            </w:tcBorders>
          </w:tcPr>
          <w:p>
            <w:pPr>
              <w:pStyle w:val="TableParagraph"/>
              <w:spacing w:before="51"/>
              <w:ind w:left="696" w:right="431"/>
              <w:jc w:val="center"/>
              <w:rPr>
                <w:sz w:val="22"/>
              </w:rPr>
            </w:pPr>
            <w:r>
              <w:rPr>
                <w:sz w:val="22"/>
              </w:rPr>
              <w:t>A6</w:t>
            </w:r>
          </w:p>
        </w:tc>
      </w:tr>
      <w:tr>
        <w:trPr>
          <w:trHeight w:val="379" w:hRule="exact"/>
        </w:trPr>
        <w:tc>
          <w:tcPr>
            <w:tcW w:w="1570" w:type="dxa"/>
            <w:tcBorders>
              <w:top w:val="nil"/>
              <w:left w:val="nil"/>
              <w:bottom w:val="nil"/>
              <w:right w:val="nil"/>
            </w:tcBorders>
          </w:tcPr>
          <w:p>
            <w:pPr>
              <w:pStyle w:val="TableParagraph"/>
              <w:spacing w:before="51"/>
              <w:ind w:left="154"/>
              <w:rPr>
                <w:sz w:val="22"/>
              </w:rPr>
            </w:pPr>
            <w:r>
              <w:rPr>
                <w:sz w:val="22"/>
              </w:rPr>
              <w:t>C2</w:t>
            </w:r>
          </w:p>
        </w:tc>
        <w:tc>
          <w:tcPr>
            <w:tcW w:w="1534" w:type="dxa"/>
            <w:tcBorders>
              <w:top w:val="nil"/>
              <w:left w:val="nil"/>
              <w:bottom w:val="nil"/>
              <w:right w:val="nil"/>
            </w:tcBorders>
          </w:tcPr>
          <w:p>
            <w:pPr>
              <w:pStyle w:val="TableParagraph"/>
              <w:spacing w:before="51"/>
              <w:ind w:left="206"/>
              <w:rPr>
                <w:i/>
                <w:sz w:val="22"/>
              </w:rPr>
            </w:pPr>
            <w:r>
              <w:rPr>
                <w:i/>
                <w:sz w:val="22"/>
              </w:rPr>
              <w:t>O. Mykiss</w:t>
            </w:r>
          </w:p>
        </w:tc>
        <w:tc>
          <w:tcPr>
            <w:tcW w:w="2856" w:type="dxa"/>
            <w:tcBorders>
              <w:top w:val="nil"/>
              <w:left w:val="nil"/>
              <w:bottom w:val="nil"/>
              <w:right w:val="nil"/>
            </w:tcBorders>
          </w:tcPr>
          <w:p>
            <w:pPr>
              <w:pStyle w:val="TableParagraph"/>
              <w:spacing w:before="51"/>
              <w:ind w:right="559"/>
              <w:jc w:val="right"/>
              <w:rPr>
                <w:sz w:val="22"/>
              </w:rPr>
            </w:pPr>
            <w:r>
              <w:rPr>
                <w:sz w:val="22"/>
              </w:rPr>
              <w:t>MacDonald et al.,1983</w:t>
            </w:r>
          </w:p>
        </w:tc>
        <w:tc>
          <w:tcPr>
            <w:tcW w:w="2044" w:type="dxa"/>
            <w:tcBorders>
              <w:top w:val="nil"/>
              <w:left w:val="nil"/>
              <w:bottom w:val="nil"/>
              <w:right w:val="nil"/>
            </w:tcBorders>
          </w:tcPr>
          <w:p>
            <w:pPr>
              <w:pStyle w:val="TableParagraph"/>
              <w:spacing w:before="51"/>
              <w:ind w:right="585"/>
              <w:jc w:val="right"/>
              <w:rPr>
                <w:sz w:val="22"/>
              </w:rPr>
            </w:pPr>
            <w:r>
              <w:rPr>
                <w:sz w:val="22"/>
              </w:rPr>
              <w:t>Canadá</w:t>
            </w:r>
          </w:p>
        </w:tc>
        <w:tc>
          <w:tcPr>
            <w:tcW w:w="1447" w:type="dxa"/>
            <w:tcBorders>
              <w:top w:val="nil"/>
              <w:left w:val="nil"/>
              <w:bottom w:val="nil"/>
              <w:right w:val="nil"/>
            </w:tcBorders>
          </w:tcPr>
          <w:p>
            <w:pPr>
              <w:pStyle w:val="TableParagraph"/>
              <w:spacing w:before="51"/>
              <w:ind w:left="696" w:right="431"/>
              <w:jc w:val="center"/>
              <w:rPr>
                <w:sz w:val="22"/>
              </w:rPr>
            </w:pPr>
            <w:r>
              <w:rPr>
                <w:sz w:val="22"/>
              </w:rPr>
              <w:t>A7</w:t>
            </w:r>
          </w:p>
        </w:tc>
      </w:tr>
      <w:tr>
        <w:trPr>
          <w:trHeight w:val="379" w:hRule="exact"/>
        </w:trPr>
        <w:tc>
          <w:tcPr>
            <w:tcW w:w="1570" w:type="dxa"/>
            <w:tcBorders>
              <w:top w:val="nil"/>
              <w:left w:val="nil"/>
              <w:bottom w:val="nil"/>
              <w:right w:val="nil"/>
            </w:tcBorders>
          </w:tcPr>
          <w:p>
            <w:pPr>
              <w:pStyle w:val="TableParagraph"/>
              <w:spacing w:before="51"/>
              <w:ind w:left="154"/>
              <w:rPr>
                <w:sz w:val="22"/>
              </w:rPr>
            </w:pPr>
            <w:r>
              <w:rPr>
                <w:sz w:val="22"/>
              </w:rPr>
              <w:t>C3</w:t>
            </w:r>
          </w:p>
        </w:tc>
        <w:tc>
          <w:tcPr>
            <w:tcW w:w="1534" w:type="dxa"/>
            <w:tcBorders>
              <w:top w:val="nil"/>
              <w:left w:val="nil"/>
              <w:bottom w:val="nil"/>
              <w:right w:val="nil"/>
            </w:tcBorders>
          </w:tcPr>
          <w:p>
            <w:pPr>
              <w:pStyle w:val="TableParagraph"/>
              <w:spacing w:before="51"/>
              <w:ind w:left="206"/>
              <w:rPr>
                <w:i/>
                <w:sz w:val="22"/>
              </w:rPr>
            </w:pPr>
            <w:r>
              <w:rPr>
                <w:i/>
                <w:sz w:val="22"/>
              </w:rPr>
              <w:t>Salmo trutta</w:t>
            </w:r>
          </w:p>
        </w:tc>
        <w:tc>
          <w:tcPr>
            <w:tcW w:w="2856" w:type="dxa"/>
            <w:tcBorders>
              <w:top w:val="nil"/>
              <w:left w:val="nil"/>
              <w:bottom w:val="nil"/>
              <w:right w:val="nil"/>
            </w:tcBorders>
          </w:tcPr>
          <w:p>
            <w:pPr>
              <w:pStyle w:val="TableParagraph"/>
              <w:spacing w:before="51"/>
              <w:ind w:right="559"/>
              <w:jc w:val="right"/>
              <w:rPr>
                <w:sz w:val="22"/>
              </w:rPr>
            </w:pPr>
            <w:r>
              <w:rPr>
                <w:sz w:val="22"/>
              </w:rPr>
              <w:t>MacDonald et al.,1983</w:t>
            </w:r>
          </w:p>
        </w:tc>
        <w:tc>
          <w:tcPr>
            <w:tcW w:w="2044" w:type="dxa"/>
            <w:tcBorders>
              <w:top w:val="nil"/>
              <w:left w:val="nil"/>
              <w:bottom w:val="nil"/>
              <w:right w:val="nil"/>
            </w:tcBorders>
          </w:tcPr>
          <w:p>
            <w:pPr>
              <w:pStyle w:val="TableParagraph"/>
              <w:spacing w:before="51"/>
              <w:ind w:right="585"/>
              <w:jc w:val="right"/>
              <w:rPr>
                <w:sz w:val="22"/>
              </w:rPr>
            </w:pPr>
            <w:r>
              <w:rPr>
                <w:sz w:val="22"/>
              </w:rPr>
              <w:t>Canadá</w:t>
            </w:r>
          </w:p>
        </w:tc>
        <w:tc>
          <w:tcPr>
            <w:tcW w:w="1447" w:type="dxa"/>
            <w:tcBorders>
              <w:top w:val="nil"/>
              <w:left w:val="nil"/>
              <w:bottom w:val="nil"/>
              <w:right w:val="nil"/>
            </w:tcBorders>
          </w:tcPr>
          <w:p>
            <w:pPr>
              <w:pStyle w:val="TableParagraph"/>
              <w:spacing w:before="51"/>
              <w:ind w:left="696" w:right="431"/>
              <w:jc w:val="center"/>
              <w:rPr>
                <w:sz w:val="22"/>
              </w:rPr>
            </w:pPr>
            <w:r>
              <w:rPr>
                <w:sz w:val="22"/>
              </w:rPr>
              <w:t>A8</w:t>
            </w:r>
          </w:p>
        </w:tc>
      </w:tr>
      <w:tr>
        <w:trPr>
          <w:trHeight w:val="382" w:hRule="exact"/>
        </w:trPr>
        <w:tc>
          <w:tcPr>
            <w:tcW w:w="1570" w:type="dxa"/>
            <w:tcBorders>
              <w:top w:val="nil"/>
              <w:left w:val="nil"/>
              <w:bottom w:val="nil"/>
              <w:right w:val="nil"/>
            </w:tcBorders>
          </w:tcPr>
          <w:p>
            <w:pPr>
              <w:pStyle w:val="TableParagraph"/>
              <w:spacing w:before="51"/>
              <w:ind w:left="154"/>
              <w:rPr>
                <w:sz w:val="22"/>
              </w:rPr>
            </w:pPr>
            <w:r>
              <w:rPr>
                <w:sz w:val="22"/>
              </w:rPr>
              <w:t>Jasper</w:t>
            </w:r>
          </w:p>
        </w:tc>
        <w:tc>
          <w:tcPr>
            <w:tcW w:w="1534" w:type="dxa"/>
            <w:tcBorders>
              <w:top w:val="nil"/>
              <w:left w:val="nil"/>
              <w:bottom w:val="nil"/>
              <w:right w:val="nil"/>
            </w:tcBorders>
          </w:tcPr>
          <w:p>
            <w:pPr>
              <w:pStyle w:val="TableParagraph"/>
              <w:spacing w:before="51"/>
              <w:ind w:left="173"/>
              <w:rPr>
                <w:i/>
                <w:sz w:val="22"/>
              </w:rPr>
            </w:pPr>
            <w:r>
              <w:rPr>
                <w:i/>
                <w:sz w:val="22"/>
              </w:rPr>
              <w:t>O. Mykiss</w:t>
            </w:r>
          </w:p>
        </w:tc>
        <w:tc>
          <w:tcPr>
            <w:tcW w:w="2856" w:type="dxa"/>
            <w:tcBorders>
              <w:top w:val="nil"/>
              <w:left w:val="nil"/>
              <w:bottom w:val="nil"/>
              <w:right w:val="nil"/>
            </w:tcBorders>
          </w:tcPr>
          <w:p>
            <w:pPr>
              <w:pStyle w:val="TableParagraph"/>
              <w:spacing w:before="51"/>
              <w:ind w:left="281"/>
              <w:rPr>
                <w:sz w:val="22"/>
              </w:rPr>
            </w:pPr>
            <w:r>
              <w:rPr>
                <w:sz w:val="22"/>
              </w:rPr>
              <w:t>Yamamoto, 1974</w:t>
            </w:r>
          </w:p>
        </w:tc>
        <w:tc>
          <w:tcPr>
            <w:tcW w:w="2044" w:type="dxa"/>
            <w:tcBorders>
              <w:top w:val="nil"/>
              <w:left w:val="nil"/>
              <w:bottom w:val="nil"/>
              <w:right w:val="nil"/>
            </w:tcBorders>
          </w:tcPr>
          <w:p>
            <w:pPr>
              <w:pStyle w:val="TableParagraph"/>
              <w:spacing w:before="51"/>
              <w:ind w:right="581"/>
              <w:jc w:val="right"/>
              <w:rPr>
                <w:sz w:val="22"/>
              </w:rPr>
            </w:pPr>
            <w:r>
              <w:rPr>
                <w:sz w:val="22"/>
              </w:rPr>
              <w:t>Canadá</w:t>
            </w:r>
          </w:p>
        </w:tc>
        <w:tc>
          <w:tcPr>
            <w:tcW w:w="1447" w:type="dxa"/>
            <w:tcBorders>
              <w:top w:val="nil"/>
              <w:left w:val="nil"/>
              <w:bottom w:val="nil"/>
              <w:right w:val="nil"/>
            </w:tcBorders>
          </w:tcPr>
          <w:p>
            <w:pPr>
              <w:pStyle w:val="TableParagraph"/>
              <w:spacing w:before="51"/>
              <w:ind w:left="696" w:right="432"/>
              <w:jc w:val="center"/>
              <w:rPr>
                <w:sz w:val="22"/>
              </w:rPr>
            </w:pPr>
            <w:r>
              <w:rPr>
                <w:sz w:val="22"/>
              </w:rPr>
              <w:t>A9</w:t>
            </w:r>
          </w:p>
        </w:tc>
      </w:tr>
      <w:tr>
        <w:trPr>
          <w:trHeight w:val="816" w:hRule="exact"/>
        </w:trPr>
        <w:tc>
          <w:tcPr>
            <w:tcW w:w="1570" w:type="dxa"/>
            <w:tcBorders>
              <w:top w:val="nil"/>
              <w:left w:val="nil"/>
              <w:right w:val="nil"/>
            </w:tcBorders>
          </w:tcPr>
          <w:p>
            <w:pPr>
              <w:pStyle w:val="TableParagraph"/>
              <w:spacing w:before="54"/>
              <w:ind w:left="154"/>
              <w:rPr>
                <w:b/>
                <w:sz w:val="22"/>
              </w:rPr>
            </w:pPr>
            <w:r>
              <w:rPr>
                <w:b/>
                <w:sz w:val="22"/>
                <w:u w:val="single"/>
              </w:rPr>
              <w:t>Serogrupo B</w:t>
            </w:r>
          </w:p>
          <w:p>
            <w:pPr>
              <w:pStyle w:val="TableParagraph"/>
              <w:spacing w:before="121"/>
              <w:ind w:left="154"/>
              <w:rPr>
                <w:sz w:val="22"/>
              </w:rPr>
            </w:pPr>
            <w:r>
              <w:rPr>
                <w:sz w:val="22"/>
              </w:rPr>
              <w:t>TV-1</w:t>
            </w:r>
          </w:p>
        </w:tc>
        <w:tc>
          <w:tcPr>
            <w:tcW w:w="1534" w:type="dxa"/>
            <w:tcBorders>
              <w:top w:val="nil"/>
              <w:left w:val="nil"/>
              <w:right w:val="nil"/>
            </w:tcBorders>
          </w:tcPr>
          <w:p>
            <w:pPr>
              <w:pStyle w:val="TableParagraph"/>
              <w:rPr>
                <w:sz w:val="22"/>
              </w:rPr>
            </w:pPr>
          </w:p>
          <w:p>
            <w:pPr>
              <w:pStyle w:val="TableParagraph"/>
              <w:spacing w:before="175"/>
              <w:ind w:left="106"/>
              <w:rPr>
                <w:i/>
                <w:sz w:val="22"/>
              </w:rPr>
            </w:pPr>
            <w:r>
              <w:rPr>
                <w:i/>
                <w:sz w:val="22"/>
              </w:rPr>
              <w:t>Tellina tenuis</w:t>
            </w:r>
          </w:p>
        </w:tc>
        <w:tc>
          <w:tcPr>
            <w:tcW w:w="2856" w:type="dxa"/>
            <w:tcBorders>
              <w:top w:val="nil"/>
              <w:left w:val="nil"/>
              <w:right w:val="nil"/>
            </w:tcBorders>
          </w:tcPr>
          <w:p>
            <w:pPr>
              <w:pStyle w:val="TableParagraph"/>
              <w:rPr>
                <w:sz w:val="22"/>
              </w:rPr>
            </w:pPr>
          </w:p>
          <w:p>
            <w:pPr>
              <w:pStyle w:val="TableParagraph"/>
              <w:spacing w:before="175"/>
              <w:ind w:left="329"/>
              <w:rPr>
                <w:sz w:val="22"/>
              </w:rPr>
            </w:pPr>
            <w:r>
              <w:rPr>
                <w:sz w:val="22"/>
              </w:rPr>
              <w:t>Underwood, 1977</w:t>
            </w:r>
          </w:p>
        </w:tc>
        <w:tc>
          <w:tcPr>
            <w:tcW w:w="2044" w:type="dxa"/>
            <w:tcBorders>
              <w:top w:val="nil"/>
              <w:left w:val="nil"/>
              <w:right w:val="nil"/>
            </w:tcBorders>
          </w:tcPr>
          <w:p>
            <w:pPr>
              <w:pStyle w:val="TableParagraph"/>
              <w:rPr>
                <w:sz w:val="22"/>
              </w:rPr>
            </w:pPr>
          </w:p>
          <w:p>
            <w:pPr>
              <w:pStyle w:val="TableParagraph"/>
              <w:spacing w:before="175"/>
              <w:ind w:left="768"/>
              <w:rPr>
                <w:sz w:val="22"/>
              </w:rPr>
            </w:pPr>
            <w:r>
              <w:rPr>
                <w:sz w:val="22"/>
              </w:rPr>
              <w:t>Europa</w:t>
            </w:r>
          </w:p>
        </w:tc>
        <w:tc>
          <w:tcPr>
            <w:tcW w:w="1447" w:type="dxa"/>
            <w:tcBorders>
              <w:top w:val="nil"/>
              <w:left w:val="nil"/>
              <w:right w:val="nil"/>
            </w:tcBorders>
          </w:tcPr>
          <w:p>
            <w:pPr>
              <w:pStyle w:val="TableParagraph"/>
              <w:rPr>
                <w:sz w:val="22"/>
              </w:rPr>
            </w:pPr>
          </w:p>
          <w:p>
            <w:pPr>
              <w:pStyle w:val="TableParagraph"/>
              <w:spacing w:before="175"/>
              <w:ind w:left="696" w:right="425"/>
              <w:jc w:val="center"/>
              <w:rPr>
                <w:sz w:val="22"/>
              </w:rPr>
            </w:pPr>
            <w:r>
              <w:rPr>
                <w:sz w:val="22"/>
              </w:rPr>
              <w:t>B1</w:t>
            </w:r>
          </w:p>
        </w:tc>
      </w:tr>
    </w:tbl>
    <w:p>
      <w:pPr>
        <w:pStyle w:val="BodyText"/>
        <w:rPr>
          <w:sz w:val="20"/>
        </w:rPr>
      </w:pPr>
    </w:p>
    <w:p>
      <w:pPr>
        <w:pStyle w:val="BodyText"/>
        <w:rPr>
          <w:sz w:val="20"/>
        </w:rPr>
      </w:pPr>
    </w:p>
    <w:p>
      <w:pPr>
        <w:pStyle w:val="BodyText"/>
        <w:spacing w:before="6"/>
        <w:rPr>
          <w:sz w:val="25"/>
        </w:rPr>
      </w:pPr>
    </w:p>
    <w:p>
      <w:pPr>
        <w:pStyle w:val="Heading2"/>
        <w:numPr>
          <w:ilvl w:val="2"/>
          <w:numId w:val="7"/>
        </w:numPr>
        <w:tabs>
          <w:tab w:pos="878" w:val="left" w:leader="none"/>
        </w:tabs>
        <w:spacing w:line="240" w:lineRule="auto" w:before="69" w:after="0"/>
        <w:ind w:left="877" w:right="0" w:hanging="605"/>
        <w:jc w:val="both"/>
        <w:rPr>
          <w:i/>
        </w:rPr>
      </w:pPr>
      <w:bookmarkStart w:name="_bookmark7" w:id="11"/>
      <w:bookmarkEnd w:id="11"/>
      <w:r>
        <w:rPr>
          <w:b w:val="0"/>
          <w:i w:val="0"/>
        </w:rPr>
      </w:r>
      <w:bookmarkStart w:name="_bookmark7" w:id="12"/>
      <w:bookmarkEnd w:id="12"/>
      <w:r>
        <w:rPr>
          <w:i/>
        </w:rPr>
        <w:t>E</w:t>
      </w:r>
      <w:r>
        <w:rPr>
          <w:i/>
        </w:rPr>
        <w:t>l Genoma, Estructura y Organización de</w:t>
      </w:r>
      <w:r>
        <w:rPr>
          <w:i/>
          <w:spacing w:val="-22"/>
        </w:rPr>
        <w:t> </w:t>
      </w:r>
      <w:r>
        <w:rPr>
          <w:i/>
        </w:rPr>
        <w:t>IPNV.</w:t>
      </w:r>
    </w:p>
    <w:p>
      <w:pPr>
        <w:pStyle w:val="BodyText"/>
        <w:spacing w:line="360" w:lineRule="auto" w:before="36"/>
        <w:ind w:left="272" w:right="559"/>
        <w:jc w:val="both"/>
      </w:pPr>
      <w:r>
        <w:rPr/>
        <w:t>El genoma consta de dos segmentos de RNA de doble cadena (dsRNA) que codifica para 5 proteínas virales (Figura N°1). El segmento A (~ 3,2 kb) codifica 4 de ellas y contiene </w:t>
      </w:r>
      <w:r>
        <w:rPr>
          <w:spacing w:val="-3"/>
        </w:rPr>
        <w:t>la </w:t>
      </w:r>
      <w:r>
        <w:rPr/>
        <w:t>superposición de dos marcos de lectura abierta (ORFs) (Duncan y Dobos, 1986). El mayor marco de lectura codifica una poliproteína de 106-kDa (NH2-pVP2-NS proteasa-VP3- COOH) que co-traduccionalmente es escindida rápidamente por una proteasa (VP4) para generar </w:t>
      </w:r>
      <w:r>
        <w:rPr>
          <w:spacing w:val="-3"/>
        </w:rPr>
        <w:t>las </w:t>
      </w:r>
      <w:r>
        <w:rPr/>
        <w:t>proteínas principales de </w:t>
      </w:r>
      <w:r>
        <w:rPr>
          <w:spacing w:val="-5"/>
        </w:rPr>
        <w:t>la </w:t>
      </w:r>
      <w:r>
        <w:rPr/>
        <w:t>cápside (VP2 y VP3). Un segundo marco de lectura (menor tamaño) se solapa con el extremo </w:t>
      </w:r>
      <w:r>
        <w:rPr>
          <w:spacing w:val="-3"/>
        </w:rPr>
        <w:t>amino </w:t>
      </w:r>
      <w:r>
        <w:rPr/>
        <w:t>del mayor </w:t>
      </w:r>
      <w:r>
        <w:rPr>
          <w:spacing w:val="-3"/>
        </w:rPr>
        <w:t>marco </w:t>
      </w:r>
      <w:r>
        <w:rPr/>
        <w:t>de lectura y codifica un polipéptido de 17 kDa, </w:t>
      </w:r>
      <w:r>
        <w:rPr>
          <w:spacing w:val="-3"/>
        </w:rPr>
        <w:t>rico </w:t>
      </w:r>
      <w:r>
        <w:rPr/>
        <w:t>en arginina (Dobos, 1995), </w:t>
      </w:r>
      <w:r>
        <w:rPr>
          <w:spacing w:val="-5"/>
        </w:rPr>
        <w:t>la </w:t>
      </w:r>
      <w:r>
        <w:rPr/>
        <w:t>VP5, una proteína </w:t>
      </w:r>
      <w:r>
        <w:rPr>
          <w:spacing w:val="-3"/>
        </w:rPr>
        <w:t>no </w:t>
      </w:r>
      <w:r>
        <w:rPr/>
        <w:t>estructural que homólogamente corresponde a </w:t>
      </w:r>
      <w:r>
        <w:rPr>
          <w:spacing w:val="-5"/>
        </w:rPr>
        <w:t>la  </w:t>
      </w:r>
      <w:r>
        <w:rPr/>
        <w:t>del virus de </w:t>
      </w:r>
      <w:r>
        <w:rPr>
          <w:spacing w:val="-5"/>
        </w:rPr>
        <w:t>la  </w:t>
      </w:r>
      <w:r>
        <w:rPr/>
        <w:t>enfermedad de  </w:t>
      </w:r>
      <w:r>
        <w:rPr>
          <w:spacing w:val="-5"/>
        </w:rPr>
        <w:t>la  </w:t>
      </w:r>
      <w:r>
        <w:rPr/>
        <w:t>bursitis </w:t>
      </w:r>
      <w:r>
        <w:rPr>
          <w:spacing w:val="55"/>
        </w:rPr>
        <w:t> </w:t>
      </w:r>
      <w:r>
        <w:rPr/>
        <w:t>infecciosa</w:t>
      </w:r>
    </w:p>
    <w:p>
      <w:pPr>
        <w:spacing w:after="0" w:line="360" w:lineRule="auto"/>
        <w:jc w:val="both"/>
        <w:sectPr>
          <w:pgSz w:w="12240" w:h="15840"/>
          <w:pgMar w:header="0" w:footer="1382" w:top="1500" w:bottom="1580" w:left="1600" w:right="960"/>
        </w:sectPr>
      </w:pPr>
    </w:p>
    <w:p>
      <w:pPr>
        <w:pStyle w:val="BodyText"/>
        <w:spacing w:before="7"/>
        <w:rPr>
          <w:sz w:val="25"/>
        </w:rPr>
      </w:pPr>
    </w:p>
    <w:p>
      <w:pPr>
        <w:pStyle w:val="BodyText"/>
        <w:spacing w:line="360" w:lineRule="auto" w:before="70"/>
        <w:ind w:left="152" w:right="100"/>
        <w:jc w:val="both"/>
      </w:pPr>
      <w:r>
        <w:rPr/>
        <w:t>(IBDV).</w:t>
      </w:r>
      <w:r>
        <w:rPr>
          <w:spacing w:val="-3"/>
        </w:rPr>
        <w:t> </w:t>
      </w:r>
      <w:r>
        <w:rPr/>
        <w:t>La</w:t>
      </w:r>
      <w:r>
        <w:rPr>
          <w:spacing w:val="-6"/>
        </w:rPr>
        <w:t> </w:t>
      </w:r>
      <w:r>
        <w:rPr/>
        <w:t>VP2</w:t>
      </w:r>
      <w:r>
        <w:rPr>
          <w:spacing w:val="-4"/>
        </w:rPr>
        <w:t> </w:t>
      </w:r>
      <w:r>
        <w:rPr/>
        <w:t>es</w:t>
      </w:r>
      <w:r>
        <w:rPr>
          <w:spacing w:val="-7"/>
        </w:rPr>
        <w:t> </w:t>
      </w:r>
      <w:r>
        <w:rPr>
          <w:spacing w:val="-3"/>
        </w:rPr>
        <w:t>la</w:t>
      </w:r>
      <w:r>
        <w:rPr>
          <w:spacing w:val="-6"/>
        </w:rPr>
        <w:t> </w:t>
      </w:r>
      <w:r>
        <w:rPr/>
        <w:t>proteína</w:t>
      </w:r>
      <w:r>
        <w:rPr>
          <w:spacing w:val="-6"/>
        </w:rPr>
        <w:t> </w:t>
      </w:r>
      <w:r>
        <w:rPr/>
        <w:t>externa</w:t>
      </w:r>
      <w:r>
        <w:rPr>
          <w:spacing w:val="-6"/>
        </w:rPr>
        <w:t> </w:t>
      </w:r>
      <w:r>
        <w:rPr/>
        <w:t>principal</w:t>
      </w:r>
      <w:r>
        <w:rPr>
          <w:spacing w:val="-13"/>
        </w:rPr>
        <w:t> </w:t>
      </w:r>
      <w:r>
        <w:rPr/>
        <w:t>de</w:t>
      </w:r>
      <w:r>
        <w:rPr>
          <w:spacing w:val="3"/>
        </w:rPr>
        <w:t> </w:t>
      </w:r>
      <w:r>
        <w:rPr>
          <w:spacing w:val="-5"/>
        </w:rPr>
        <w:t>la</w:t>
      </w:r>
      <w:r>
        <w:rPr>
          <w:spacing w:val="-6"/>
        </w:rPr>
        <w:t> </w:t>
      </w:r>
      <w:r>
        <w:rPr/>
        <w:t>cápside</w:t>
      </w:r>
      <w:r>
        <w:rPr>
          <w:spacing w:val="-1"/>
        </w:rPr>
        <w:t> </w:t>
      </w:r>
      <w:r>
        <w:rPr/>
        <w:t>y</w:t>
      </w:r>
      <w:r>
        <w:rPr>
          <w:spacing w:val="-13"/>
        </w:rPr>
        <w:t> </w:t>
      </w:r>
      <w:r>
        <w:rPr/>
        <w:t>el</w:t>
      </w:r>
      <w:r>
        <w:rPr>
          <w:spacing w:val="-9"/>
        </w:rPr>
        <w:t> </w:t>
      </w:r>
      <w:r>
        <w:rPr/>
        <w:t>antígeno principal,</w:t>
      </w:r>
      <w:r>
        <w:rPr>
          <w:spacing w:val="2"/>
        </w:rPr>
        <w:t> </w:t>
      </w:r>
      <w:r>
        <w:rPr>
          <w:spacing w:val="-3"/>
        </w:rPr>
        <w:t>ya</w:t>
      </w:r>
      <w:r>
        <w:rPr>
          <w:spacing w:val="-6"/>
        </w:rPr>
        <w:t> </w:t>
      </w:r>
      <w:r>
        <w:rPr/>
        <w:t>que contiene </w:t>
      </w:r>
      <w:r>
        <w:rPr>
          <w:spacing w:val="-3"/>
        </w:rPr>
        <w:t>la </w:t>
      </w:r>
      <w:r>
        <w:rPr/>
        <w:t>región antigénica responsable de </w:t>
      </w:r>
      <w:r>
        <w:rPr>
          <w:spacing w:val="-3"/>
        </w:rPr>
        <w:t>la </w:t>
      </w:r>
      <w:r>
        <w:rPr/>
        <w:t>inducción de anticuerpos neutralizantes y </w:t>
      </w:r>
      <w:r>
        <w:rPr>
          <w:spacing w:val="-5"/>
        </w:rPr>
        <w:t>la </w:t>
      </w:r>
      <w:r>
        <w:rPr/>
        <w:t>especificidad de serotipo (Heppell </w:t>
      </w:r>
      <w:r>
        <w:rPr>
          <w:i/>
        </w:rPr>
        <w:t>et al., </w:t>
      </w:r>
      <w:r>
        <w:rPr/>
        <w:t>1995) representando el 60% </w:t>
      </w:r>
      <w:r>
        <w:rPr>
          <w:spacing w:val="-5"/>
        </w:rPr>
        <w:t>la </w:t>
      </w:r>
      <w:r>
        <w:rPr/>
        <w:t>proteína del virión (Dobos, 1995). De acuerdo con estudios realizadas por (Espinoza y Kuznar, 2002) sugieren que </w:t>
      </w:r>
      <w:r>
        <w:rPr>
          <w:spacing w:val="-3"/>
        </w:rPr>
        <w:t>la </w:t>
      </w:r>
      <w:r>
        <w:rPr/>
        <w:t>VP2 es glicosilada libremente en el citoplasma y que además es importante para el desarrollo de las vacunas, los diagnósticos y </w:t>
      </w:r>
      <w:r>
        <w:rPr>
          <w:spacing w:val="-3"/>
        </w:rPr>
        <w:t>la </w:t>
      </w:r>
      <w:r>
        <w:rPr/>
        <w:t>tipificación serológica de las cepas aisladas. La segunda proteína estructural (interna) principal es </w:t>
      </w:r>
      <w:r>
        <w:rPr>
          <w:spacing w:val="-5"/>
        </w:rPr>
        <w:t>la </w:t>
      </w:r>
      <w:r>
        <w:rPr/>
        <w:t>VP3 y es el polipéptido más abundante, con 672 moléculas por virión, en comparación con 544 moléculas de VP2. Sin embargo, debido a su menor tamaño (31-kDa) </w:t>
      </w:r>
      <w:r>
        <w:rPr>
          <w:spacing w:val="-3"/>
        </w:rPr>
        <w:t>forma </w:t>
      </w:r>
      <w:r>
        <w:rPr/>
        <w:t>solamente el 34% de </w:t>
      </w:r>
      <w:r>
        <w:rPr>
          <w:spacing w:val="-3"/>
        </w:rPr>
        <w:t>la masa </w:t>
      </w:r>
      <w:r>
        <w:rPr/>
        <w:t>total </w:t>
      </w:r>
      <w:r>
        <w:rPr>
          <w:spacing w:val="2"/>
        </w:rPr>
        <w:t>del </w:t>
      </w:r>
      <w:r>
        <w:rPr/>
        <w:t>virión (Dobos, 1995). Es sabido que </w:t>
      </w:r>
      <w:r>
        <w:rPr>
          <w:spacing w:val="-5"/>
        </w:rPr>
        <w:t>la </w:t>
      </w:r>
      <w:r>
        <w:rPr/>
        <w:t>VP3 es una proteína interna con una probable exposición de algunos epítopos en </w:t>
      </w:r>
      <w:r>
        <w:rPr>
          <w:spacing w:val="-5"/>
        </w:rPr>
        <w:t>la </w:t>
      </w:r>
      <w:r>
        <w:rPr/>
        <w:t>superficie del virión (Caswell-Reno </w:t>
      </w:r>
      <w:r>
        <w:rPr>
          <w:i/>
        </w:rPr>
        <w:t>et al</w:t>
      </w:r>
      <w:r>
        <w:rPr/>
        <w:t>., 1986) y que se une a </w:t>
      </w:r>
      <w:r>
        <w:rPr>
          <w:spacing w:val="-3"/>
        </w:rPr>
        <w:t>la </w:t>
      </w:r>
      <w:r>
        <w:rPr/>
        <w:t>estructura del genoma del dsRNA dando conformación a un complejo ribonucleoproteíco filiforme (Hjalmarsson </w:t>
      </w:r>
      <w:r>
        <w:rPr>
          <w:i/>
        </w:rPr>
        <w:t>et al., </w:t>
      </w:r>
      <w:r>
        <w:rPr/>
        <w:t>1999; Pedersen </w:t>
      </w:r>
      <w:r>
        <w:rPr>
          <w:i/>
        </w:rPr>
        <w:t>et al</w:t>
      </w:r>
      <w:r>
        <w:rPr/>
        <w:t>., 2007). Así </w:t>
      </w:r>
      <w:r>
        <w:rPr>
          <w:spacing w:val="-3"/>
        </w:rPr>
        <w:t>mismo </w:t>
      </w:r>
      <w:r>
        <w:rPr/>
        <w:t>se </w:t>
      </w:r>
      <w:r>
        <w:rPr>
          <w:spacing w:val="-3"/>
        </w:rPr>
        <w:t>ha</w:t>
      </w:r>
      <w:r>
        <w:rPr>
          <w:spacing w:val="-14"/>
        </w:rPr>
        <w:t> </w:t>
      </w:r>
      <w:r>
        <w:rPr/>
        <w:t>demostrado</w:t>
      </w:r>
      <w:r>
        <w:rPr>
          <w:spacing w:val="-9"/>
        </w:rPr>
        <w:t> </w:t>
      </w:r>
      <w:r>
        <w:rPr/>
        <w:t>que</w:t>
      </w:r>
      <w:r>
        <w:rPr>
          <w:spacing w:val="-19"/>
        </w:rPr>
        <w:t> </w:t>
      </w:r>
      <w:r>
        <w:rPr>
          <w:spacing w:val="-5"/>
        </w:rPr>
        <w:t>la</w:t>
      </w:r>
      <w:r>
        <w:rPr>
          <w:spacing w:val="-14"/>
        </w:rPr>
        <w:t> </w:t>
      </w:r>
      <w:r>
        <w:rPr/>
        <w:t>VP3</w:t>
      </w:r>
      <w:r>
        <w:rPr>
          <w:spacing w:val="-13"/>
        </w:rPr>
        <w:t> </w:t>
      </w:r>
      <w:r>
        <w:rPr/>
        <w:t>de</w:t>
      </w:r>
      <w:r>
        <w:rPr>
          <w:spacing w:val="-12"/>
        </w:rPr>
        <w:t> </w:t>
      </w:r>
      <w:r>
        <w:rPr/>
        <w:t>IPNV</w:t>
      </w:r>
      <w:r>
        <w:rPr>
          <w:spacing w:val="-14"/>
        </w:rPr>
        <w:t> </w:t>
      </w:r>
      <w:r>
        <w:rPr/>
        <w:t>e</w:t>
      </w:r>
      <w:r>
        <w:rPr>
          <w:spacing w:val="-14"/>
        </w:rPr>
        <w:t> </w:t>
      </w:r>
      <w:r>
        <w:rPr/>
        <w:t>IBDV</w:t>
      </w:r>
      <w:r>
        <w:rPr>
          <w:spacing w:val="-14"/>
        </w:rPr>
        <w:t> </w:t>
      </w:r>
      <w:r>
        <w:rPr/>
        <w:t>interactúan</w:t>
      </w:r>
      <w:r>
        <w:rPr>
          <w:spacing w:val="-19"/>
        </w:rPr>
        <w:t> </w:t>
      </w:r>
      <w:r>
        <w:rPr/>
        <w:t>con</w:t>
      </w:r>
      <w:r>
        <w:rPr>
          <w:spacing w:val="-18"/>
        </w:rPr>
        <w:t> </w:t>
      </w:r>
      <w:r>
        <w:rPr/>
        <w:t>el</w:t>
      </w:r>
      <w:r>
        <w:rPr>
          <w:spacing w:val="-23"/>
        </w:rPr>
        <w:t> </w:t>
      </w:r>
      <w:r>
        <w:rPr/>
        <w:t>dsRNA</w:t>
      </w:r>
      <w:r>
        <w:rPr>
          <w:spacing w:val="-19"/>
        </w:rPr>
        <w:t> </w:t>
      </w:r>
      <w:r>
        <w:rPr/>
        <w:t>de</w:t>
      </w:r>
      <w:r>
        <w:rPr>
          <w:spacing w:val="-14"/>
        </w:rPr>
        <w:t> </w:t>
      </w:r>
      <w:r>
        <w:rPr/>
        <w:t>sus</w:t>
      </w:r>
      <w:r>
        <w:rPr>
          <w:spacing w:val="-13"/>
        </w:rPr>
        <w:t> </w:t>
      </w:r>
      <w:r>
        <w:rPr/>
        <w:t>genomas</w:t>
      </w:r>
      <w:r>
        <w:rPr>
          <w:spacing w:val="-16"/>
        </w:rPr>
        <w:t> </w:t>
      </w:r>
      <w:r>
        <w:rPr/>
        <w:t>virales (Tacken </w:t>
      </w:r>
      <w:r>
        <w:rPr>
          <w:i/>
        </w:rPr>
        <w:t>et al., </w:t>
      </w:r>
      <w:r>
        <w:rPr/>
        <w:t>2002). Por </w:t>
      </w:r>
      <w:r>
        <w:rPr>
          <w:spacing w:val="-5"/>
        </w:rPr>
        <w:t>lo </w:t>
      </w:r>
      <w:r>
        <w:rPr/>
        <w:t>que a </w:t>
      </w:r>
      <w:r>
        <w:rPr>
          <w:spacing w:val="-5"/>
        </w:rPr>
        <w:t>la </w:t>
      </w:r>
      <w:r>
        <w:rPr/>
        <w:t>VP3 de los birnavirus se </w:t>
      </w:r>
      <w:r>
        <w:rPr>
          <w:spacing w:val="-4"/>
        </w:rPr>
        <w:t>les </w:t>
      </w:r>
      <w:r>
        <w:rPr/>
        <w:t>conoce </w:t>
      </w:r>
      <w:r>
        <w:rPr>
          <w:spacing w:val="-3"/>
        </w:rPr>
        <w:t>como </w:t>
      </w:r>
      <w:r>
        <w:rPr/>
        <w:t>organizador fundamental de </w:t>
      </w:r>
      <w:r>
        <w:rPr>
          <w:spacing w:val="-5"/>
        </w:rPr>
        <w:t>la </w:t>
      </w:r>
      <w:r>
        <w:rPr/>
        <w:t>estructura del virus e importante para el ensamblaje viral y </w:t>
      </w:r>
      <w:r>
        <w:rPr>
          <w:spacing w:val="-3"/>
        </w:rPr>
        <w:t>la </w:t>
      </w:r>
      <w:r>
        <w:rPr/>
        <w:t>replicación (Figura</w:t>
      </w:r>
      <w:r>
        <w:rPr>
          <w:spacing w:val="-11"/>
        </w:rPr>
        <w:t> </w:t>
      </w:r>
      <w:r>
        <w:rPr/>
        <w:t>N°2).</w:t>
      </w:r>
      <w:r>
        <w:rPr>
          <w:spacing w:val="-7"/>
        </w:rPr>
        <w:t> </w:t>
      </w:r>
      <w:r>
        <w:rPr/>
        <w:t>Lombardo</w:t>
      </w:r>
      <w:r>
        <w:rPr>
          <w:spacing w:val="-4"/>
        </w:rPr>
        <w:t> </w:t>
      </w:r>
      <w:r>
        <w:rPr>
          <w:i/>
        </w:rPr>
        <w:t>et</w:t>
      </w:r>
      <w:r>
        <w:rPr>
          <w:i/>
          <w:spacing w:val="-9"/>
        </w:rPr>
        <w:t> </w:t>
      </w:r>
      <w:r>
        <w:rPr>
          <w:i/>
        </w:rPr>
        <w:t>al</w:t>
      </w:r>
      <w:r>
        <w:rPr/>
        <w:t>.,</w:t>
      </w:r>
      <w:r>
        <w:rPr>
          <w:spacing w:val="-12"/>
        </w:rPr>
        <w:t> </w:t>
      </w:r>
      <w:r>
        <w:rPr/>
        <w:t>(1999)</w:t>
      </w:r>
      <w:r>
        <w:rPr>
          <w:spacing w:val="-7"/>
        </w:rPr>
        <w:t> </w:t>
      </w:r>
      <w:r>
        <w:rPr>
          <w:spacing w:val="-3"/>
        </w:rPr>
        <w:t>como</w:t>
      </w:r>
      <w:r>
        <w:rPr>
          <w:spacing w:val="-5"/>
        </w:rPr>
        <w:t> </w:t>
      </w:r>
      <w:r>
        <w:rPr/>
        <w:t>apoyo</w:t>
      </w:r>
      <w:r>
        <w:rPr>
          <w:spacing w:val="-10"/>
        </w:rPr>
        <w:t> </w:t>
      </w:r>
      <w:r>
        <w:rPr/>
        <w:t>a</w:t>
      </w:r>
      <w:r>
        <w:rPr>
          <w:spacing w:val="-11"/>
        </w:rPr>
        <w:t> </w:t>
      </w:r>
      <w:r>
        <w:rPr/>
        <w:t>esta</w:t>
      </w:r>
      <w:r>
        <w:rPr>
          <w:spacing w:val="-11"/>
        </w:rPr>
        <w:t> </w:t>
      </w:r>
      <w:r>
        <w:rPr/>
        <w:t>hipótesis</w:t>
      </w:r>
      <w:r>
        <w:rPr>
          <w:spacing w:val="-9"/>
        </w:rPr>
        <w:t> </w:t>
      </w:r>
      <w:r>
        <w:rPr/>
        <w:t>encontraron</w:t>
      </w:r>
      <w:r>
        <w:rPr>
          <w:spacing w:val="-14"/>
        </w:rPr>
        <w:t> </w:t>
      </w:r>
      <w:r>
        <w:rPr/>
        <w:t>en</w:t>
      </w:r>
      <w:r>
        <w:rPr>
          <w:spacing w:val="-14"/>
        </w:rPr>
        <w:t> </w:t>
      </w:r>
      <w:r>
        <w:rPr/>
        <w:t>IBDV</w:t>
      </w:r>
      <w:r>
        <w:rPr>
          <w:spacing w:val="-11"/>
        </w:rPr>
        <w:t> </w:t>
      </w:r>
      <w:r>
        <w:rPr/>
        <w:t>que </w:t>
      </w:r>
      <w:r>
        <w:rPr>
          <w:spacing w:val="-3"/>
        </w:rPr>
        <w:t>la </w:t>
      </w:r>
      <w:r>
        <w:rPr/>
        <w:t>interacción entre VP1 y VP3 resulta en </w:t>
      </w:r>
      <w:r>
        <w:rPr>
          <w:spacing w:val="-3"/>
        </w:rPr>
        <w:t>la </w:t>
      </w:r>
      <w:r>
        <w:rPr/>
        <w:t>encapsidación de VP1 en ausencia del genoma del IBDV, </w:t>
      </w:r>
      <w:r>
        <w:rPr>
          <w:spacing w:val="-5"/>
        </w:rPr>
        <w:t>lo </w:t>
      </w:r>
      <w:r>
        <w:rPr/>
        <w:t>que indica que VP3 funciona como un conector entre VP1 y VP2 durante </w:t>
      </w:r>
      <w:r>
        <w:rPr>
          <w:spacing w:val="2"/>
        </w:rPr>
        <w:t>el </w:t>
      </w:r>
      <w:r>
        <w:rPr/>
        <w:t>ensamblaje de viriones. La VP4 es </w:t>
      </w:r>
      <w:r>
        <w:rPr>
          <w:spacing w:val="-5"/>
        </w:rPr>
        <w:t>la </w:t>
      </w:r>
      <w:r>
        <w:rPr/>
        <w:t>proteína </w:t>
      </w:r>
      <w:r>
        <w:rPr>
          <w:spacing w:val="-3"/>
        </w:rPr>
        <w:t>no </w:t>
      </w:r>
      <w:r>
        <w:rPr/>
        <w:t>estructural que se procesa co- traduccionalmente. Presenta funciones de enzima proteasa de </w:t>
      </w:r>
      <w:r>
        <w:rPr>
          <w:spacing w:val="-3"/>
        </w:rPr>
        <w:t>ARN </w:t>
      </w:r>
      <w:r>
        <w:rPr/>
        <w:t>viral, a pesar de que carece de un </w:t>
      </w:r>
      <w:r>
        <w:rPr>
          <w:spacing w:val="-3"/>
        </w:rPr>
        <w:t>dominio </w:t>
      </w:r>
      <w:r>
        <w:rPr/>
        <w:t>ATPasa escindiendo </w:t>
      </w:r>
      <w:r>
        <w:rPr>
          <w:spacing w:val="-4"/>
        </w:rPr>
        <w:t>las </w:t>
      </w:r>
      <w:r>
        <w:rPr/>
        <w:t>uniones pVP2-VP4 y VP3-VP4 (Duncan </w:t>
      </w:r>
      <w:r>
        <w:rPr>
          <w:i/>
        </w:rPr>
        <w:t>et </w:t>
      </w:r>
      <w:r>
        <w:rPr>
          <w:i/>
        </w:rPr>
        <w:t>al.,</w:t>
      </w:r>
      <w:r>
        <w:rPr>
          <w:i/>
          <w:spacing w:val="-8"/>
        </w:rPr>
        <w:t> </w:t>
      </w:r>
      <w:r>
        <w:rPr/>
        <w:t>1987;</w:t>
      </w:r>
      <w:r>
        <w:rPr>
          <w:spacing w:val="-10"/>
        </w:rPr>
        <w:t> </w:t>
      </w:r>
      <w:r>
        <w:rPr/>
        <w:t>Birghan</w:t>
      </w:r>
      <w:r>
        <w:rPr>
          <w:spacing w:val="-10"/>
        </w:rPr>
        <w:t> </w:t>
      </w:r>
      <w:r>
        <w:rPr>
          <w:i/>
        </w:rPr>
        <w:t>et</w:t>
      </w:r>
      <w:r>
        <w:rPr>
          <w:i/>
          <w:spacing w:val="-5"/>
        </w:rPr>
        <w:t> </w:t>
      </w:r>
      <w:r>
        <w:rPr>
          <w:i/>
        </w:rPr>
        <w:t>al</w:t>
      </w:r>
      <w:r>
        <w:rPr/>
        <w:t>.,</w:t>
      </w:r>
      <w:r>
        <w:rPr>
          <w:spacing w:val="-8"/>
        </w:rPr>
        <w:t> </w:t>
      </w:r>
      <w:r>
        <w:rPr/>
        <w:t>2000).</w:t>
      </w:r>
      <w:r>
        <w:rPr>
          <w:spacing w:val="-8"/>
        </w:rPr>
        <w:t> </w:t>
      </w:r>
      <w:r>
        <w:rPr>
          <w:spacing w:val="-3"/>
        </w:rPr>
        <w:t>Petit</w:t>
      </w:r>
      <w:r>
        <w:rPr>
          <w:spacing w:val="-2"/>
        </w:rPr>
        <w:t> </w:t>
      </w:r>
      <w:r>
        <w:rPr>
          <w:spacing w:val="-3"/>
        </w:rPr>
        <w:t>et</w:t>
      </w:r>
      <w:r>
        <w:rPr>
          <w:spacing w:val="-4"/>
        </w:rPr>
        <w:t> </w:t>
      </w:r>
      <w:r>
        <w:rPr>
          <w:i/>
        </w:rPr>
        <w:t>al.,</w:t>
      </w:r>
      <w:r>
        <w:rPr>
          <w:i/>
          <w:spacing w:val="-8"/>
        </w:rPr>
        <w:t> </w:t>
      </w:r>
      <w:r>
        <w:rPr/>
        <w:t>(2000)</w:t>
      </w:r>
      <w:r>
        <w:rPr>
          <w:spacing w:val="-14"/>
        </w:rPr>
        <w:t> </w:t>
      </w:r>
      <w:r>
        <w:rPr/>
        <w:t>usando</w:t>
      </w:r>
      <w:r>
        <w:rPr>
          <w:spacing w:val="-2"/>
        </w:rPr>
        <w:t> </w:t>
      </w:r>
      <w:r>
        <w:rPr/>
        <w:t>mutagénesis</w:t>
      </w:r>
      <w:r>
        <w:rPr>
          <w:spacing w:val="-3"/>
        </w:rPr>
        <w:t> </w:t>
      </w:r>
      <w:r>
        <w:rPr/>
        <w:t>identificaron</w:t>
      </w:r>
      <w:r>
        <w:rPr>
          <w:spacing w:val="-11"/>
        </w:rPr>
        <w:t> </w:t>
      </w:r>
      <w:r>
        <w:rPr/>
        <w:t>en</w:t>
      </w:r>
      <w:r>
        <w:rPr>
          <w:spacing w:val="-11"/>
        </w:rPr>
        <w:t> </w:t>
      </w:r>
      <w:r>
        <w:rPr/>
        <w:t>VP4, dos</w:t>
      </w:r>
      <w:r>
        <w:rPr>
          <w:spacing w:val="-10"/>
        </w:rPr>
        <w:t> </w:t>
      </w:r>
      <w:r>
        <w:rPr/>
        <w:t>residuos</w:t>
      </w:r>
      <w:r>
        <w:rPr>
          <w:spacing w:val="-5"/>
        </w:rPr>
        <w:t> </w:t>
      </w:r>
      <w:r>
        <w:rPr/>
        <w:t>de</w:t>
      </w:r>
      <w:r>
        <w:rPr>
          <w:spacing w:val="-9"/>
        </w:rPr>
        <w:t> </w:t>
      </w:r>
      <w:r>
        <w:rPr/>
        <w:t>aminoácidos</w:t>
      </w:r>
      <w:r>
        <w:rPr>
          <w:spacing w:val="-5"/>
        </w:rPr>
        <w:t> </w:t>
      </w:r>
      <w:r>
        <w:rPr/>
        <w:t>claves</w:t>
      </w:r>
      <w:r>
        <w:rPr>
          <w:spacing w:val="-5"/>
        </w:rPr>
        <w:t> </w:t>
      </w:r>
      <w:r>
        <w:rPr/>
        <w:t>para</w:t>
      </w:r>
      <w:r>
        <w:rPr>
          <w:spacing w:val="-4"/>
        </w:rPr>
        <w:t> </w:t>
      </w:r>
      <w:r>
        <w:rPr/>
        <w:t>su</w:t>
      </w:r>
      <w:r>
        <w:rPr>
          <w:spacing w:val="-4"/>
        </w:rPr>
        <w:t> </w:t>
      </w:r>
      <w:r>
        <w:rPr/>
        <w:t>actividad</w:t>
      </w:r>
      <w:r>
        <w:rPr>
          <w:spacing w:val="-4"/>
        </w:rPr>
        <w:t> </w:t>
      </w:r>
      <w:r>
        <w:rPr/>
        <w:t>de</w:t>
      </w:r>
      <w:r>
        <w:rPr>
          <w:spacing w:val="-9"/>
        </w:rPr>
        <w:t> </w:t>
      </w:r>
      <w:r>
        <w:rPr/>
        <w:t>escisión</w:t>
      </w:r>
      <w:r>
        <w:rPr>
          <w:spacing w:val="-1"/>
        </w:rPr>
        <w:t> </w:t>
      </w:r>
      <w:r>
        <w:rPr/>
        <w:t>funcionando como blancos catalíticos; serina 633 y lisina 674 (Birghan </w:t>
      </w:r>
      <w:r>
        <w:rPr>
          <w:i/>
        </w:rPr>
        <w:t>et al</w:t>
      </w:r>
      <w:r>
        <w:rPr/>
        <w:t>., 2000). Igualmente estos mismos autores determinaron</w:t>
      </w:r>
      <w:r>
        <w:rPr>
          <w:spacing w:val="-18"/>
        </w:rPr>
        <w:t> </w:t>
      </w:r>
      <w:r>
        <w:rPr/>
        <w:t>supuestos</w:t>
      </w:r>
      <w:r>
        <w:rPr>
          <w:spacing w:val="-16"/>
        </w:rPr>
        <w:t> </w:t>
      </w:r>
      <w:r>
        <w:rPr/>
        <w:t>sitios</w:t>
      </w:r>
      <w:r>
        <w:rPr>
          <w:spacing w:val="-16"/>
        </w:rPr>
        <w:t> </w:t>
      </w:r>
      <w:r>
        <w:rPr/>
        <w:t>de</w:t>
      </w:r>
      <w:r>
        <w:rPr>
          <w:spacing w:val="-14"/>
        </w:rPr>
        <w:t> </w:t>
      </w:r>
      <w:r>
        <w:rPr/>
        <w:t>escisión</w:t>
      </w:r>
      <w:r>
        <w:rPr>
          <w:spacing w:val="-18"/>
        </w:rPr>
        <w:t> </w:t>
      </w:r>
      <w:r>
        <w:rPr/>
        <w:t>para</w:t>
      </w:r>
      <w:r>
        <w:rPr>
          <w:spacing w:val="-14"/>
        </w:rPr>
        <w:t> </w:t>
      </w:r>
      <w:r>
        <w:rPr/>
        <w:t>pVP2-VP4</w:t>
      </w:r>
      <w:r>
        <w:rPr>
          <w:spacing w:val="-13"/>
        </w:rPr>
        <w:t> </w:t>
      </w:r>
      <w:r>
        <w:rPr/>
        <w:t>en</w:t>
      </w:r>
      <w:r>
        <w:rPr>
          <w:spacing w:val="-13"/>
        </w:rPr>
        <w:t> </w:t>
      </w:r>
      <w:r>
        <w:rPr>
          <w:spacing w:val="-5"/>
        </w:rPr>
        <w:t>la</w:t>
      </w:r>
      <w:r>
        <w:rPr>
          <w:spacing w:val="-14"/>
        </w:rPr>
        <w:t> </w:t>
      </w:r>
      <w:r>
        <w:rPr/>
        <w:t>posición</w:t>
      </w:r>
      <w:r>
        <w:rPr>
          <w:spacing w:val="-18"/>
        </w:rPr>
        <w:t> </w:t>
      </w:r>
      <w:r>
        <w:rPr/>
        <w:t>de</w:t>
      </w:r>
      <w:r>
        <w:rPr>
          <w:spacing w:val="-14"/>
        </w:rPr>
        <w:t> </w:t>
      </w:r>
      <w:r>
        <w:rPr/>
        <w:t>aminoácidos</w:t>
      </w:r>
      <w:r>
        <w:rPr>
          <w:spacing w:val="-16"/>
        </w:rPr>
        <w:t> </w:t>
      </w:r>
      <w:r>
        <w:rPr/>
        <w:t>508- 509 y para VP3-VP4 en </w:t>
      </w:r>
      <w:r>
        <w:rPr>
          <w:spacing w:val="-5"/>
        </w:rPr>
        <w:t>la </w:t>
      </w:r>
      <w:r>
        <w:rPr/>
        <w:t>posición 734-735. La última proteína que es codificada por el segmento A es </w:t>
      </w:r>
      <w:r>
        <w:rPr>
          <w:spacing w:val="-5"/>
        </w:rPr>
        <w:t>la </w:t>
      </w:r>
      <w:r>
        <w:rPr/>
        <w:t>VP5 de 17-kDa, </w:t>
      </w:r>
      <w:r>
        <w:rPr>
          <w:spacing w:val="-3"/>
        </w:rPr>
        <w:t>no </w:t>
      </w:r>
      <w:r>
        <w:rPr/>
        <w:t>estructural</w:t>
      </w:r>
      <w:r>
        <w:rPr>
          <w:b/>
        </w:rPr>
        <w:t>, </w:t>
      </w:r>
      <w:r>
        <w:rPr/>
        <w:t>y que se </w:t>
      </w:r>
      <w:r>
        <w:rPr>
          <w:spacing w:val="-3"/>
        </w:rPr>
        <w:t>ha </w:t>
      </w:r>
      <w:r>
        <w:rPr/>
        <w:t>detectado en células infectadas con IPNV (Magyar y Dobos, 1994), pero al parecer </w:t>
      </w:r>
      <w:r>
        <w:rPr>
          <w:spacing w:val="-3"/>
        </w:rPr>
        <w:t>no </w:t>
      </w:r>
      <w:r>
        <w:rPr/>
        <w:t>es requerida para </w:t>
      </w:r>
      <w:r>
        <w:rPr>
          <w:spacing w:val="-5"/>
        </w:rPr>
        <w:t>la   </w:t>
      </w:r>
      <w:r>
        <w:rPr>
          <w:spacing w:val="9"/>
        </w:rPr>
        <w:t> </w:t>
      </w:r>
      <w:r>
        <w:rPr/>
        <w:t>replicación </w:t>
      </w:r>
      <w:r>
        <w:rPr>
          <w:spacing w:val="2"/>
        </w:rPr>
        <w:t>del</w:t>
      </w:r>
    </w:p>
    <w:p>
      <w:pPr>
        <w:spacing w:after="0" w:line="360" w:lineRule="auto"/>
        <w:jc w:val="both"/>
        <w:sectPr>
          <w:pgSz w:w="12240" w:h="15840"/>
          <w:pgMar w:header="0" w:footer="1382" w:top="1500" w:bottom="1580" w:left="1720" w:right="1420"/>
        </w:sectPr>
      </w:pPr>
    </w:p>
    <w:p>
      <w:pPr>
        <w:pStyle w:val="BodyText"/>
        <w:spacing w:before="7"/>
        <w:rPr>
          <w:sz w:val="25"/>
        </w:rPr>
      </w:pPr>
    </w:p>
    <w:p>
      <w:pPr>
        <w:pStyle w:val="BodyText"/>
        <w:spacing w:line="360" w:lineRule="auto" w:before="70"/>
        <w:ind w:left="152" w:right="101"/>
        <w:jc w:val="both"/>
      </w:pPr>
      <w:r>
        <w:rPr/>
        <w:t>virus. De la misma manera en IBDV, el segmento A también codifica una proteína no estructural de 17-kDa desde el menor ORF que se encuentra en células infectadas, pero no en el virión (Mundt </w:t>
      </w:r>
      <w:r>
        <w:rPr>
          <w:i/>
        </w:rPr>
        <w:t>et al., </w:t>
      </w:r>
      <w:r>
        <w:rPr/>
        <w:t>1995). Esta proteína no estructural es llamada VP5 y al igual que en IPNV no se requiere para la replicación del virus, pero al parecer juega un papel importante en la patogénesis viral (Yao </w:t>
      </w:r>
      <w:r>
        <w:rPr>
          <w:i/>
        </w:rPr>
        <w:t>et al</w:t>
      </w:r>
      <w:r>
        <w:rPr/>
        <w:t>., 1998). La VP5 pertenece a la familia de las proteínas denominadas </w:t>
      </w:r>
      <w:r>
        <w:rPr>
          <w:i/>
        </w:rPr>
        <w:t>Bcl-2 </w:t>
      </w:r>
      <w:r>
        <w:rPr/>
        <w:t>que están formadas por 25 miembros que regulan procesos de permeabilidad mitocondrial y constituyen un punto clave en la vía intrínseca de apoptosis celular. Su nombre se deriva de la proteína fundadora, el proto-oncogén </w:t>
      </w:r>
      <w:r>
        <w:rPr>
          <w:i/>
        </w:rPr>
        <w:t>Bcl-2 </w:t>
      </w:r>
      <w:r>
        <w:rPr/>
        <w:t>(</w:t>
      </w:r>
      <w:r>
        <w:rPr>
          <w:i/>
        </w:rPr>
        <w:t>B-cell- </w:t>
      </w:r>
      <w:r>
        <w:rPr>
          <w:i/>
        </w:rPr>
        <w:t>lymphoma2</w:t>
      </w:r>
      <w:r>
        <w:rPr/>
        <w:t>). A diferencia de otros oncogenes estudiados hasta la fecha la subfamilia </w:t>
      </w:r>
      <w:r>
        <w:rPr>
          <w:i/>
        </w:rPr>
        <w:t>Bcl-2 </w:t>
      </w:r>
      <w:r>
        <w:rPr/>
        <w:t>estaba implicada en el control de la proliferación celular y no en el bloqueo de la muerte celular. Esto ha sido reforzado por los estudios realizados por Hong </w:t>
      </w:r>
      <w:r>
        <w:rPr>
          <w:i/>
        </w:rPr>
        <w:t>et al., </w:t>
      </w:r>
      <w:r>
        <w:rPr/>
        <w:t>(2002) donde se ha visto que VP5 inhibe la apoptosis mediante dominios homólogos a BH1, BH2, BH3 y BH4. Sin embargo Santi </w:t>
      </w:r>
      <w:r>
        <w:rPr>
          <w:i/>
        </w:rPr>
        <w:t>et al</w:t>
      </w:r>
      <w:r>
        <w:rPr/>
        <w:t>., (2005) señalaron que VP5 no influye en la inducción de apoptosis al observar que IPNV puede inducir apoptosis independientemente del tamaño y expresión de la proteína VP5. Por lo tanto la función de la proteína VP5 es aún incierta.</w:t>
      </w:r>
    </w:p>
    <w:p>
      <w:pPr>
        <w:pStyle w:val="BodyText"/>
        <w:spacing w:line="360" w:lineRule="auto" w:before="4"/>
        <w:ind w:left="152" w:right="101"/>
        <w:jc w:val="both"/>
      </w:pPr>
      <w:r>
        <w:rPr/>
        <w:t>El</w:t>
      </w:r>
      <w:r>
        <w:rPr>
          <w:spacing w:val="-11"/>
        </w:rPr>
        <w:t> </w:t>
      </w:r>
      <w:r>
        <w:rPr/>
        <w:t>segmento</w:t>
      </w:r>
      <w:r>
        <w:rPr>
          <w:spacing w:val="-3"/>
        </w:rPr>
        <w:t> </w:t>
      </w:r>
      <w:r>
        <w:rPr/>
        <w:t>de</w:t>
      </w:r>
      <w:r>
        <w:rPr>
          <w:spacing w:val="-8"/>
        </w:rPr>
        <w:t> </w:t>
      </w:r>
      <w:r>
        <w:rPr/>
        <w:t>genoma</w:t>
      </w:r>
      <w:r>
        <w:rPr>
          <w:spacing w:val="-4"/>
        </w:rPr>
        <w:t> </w:t>
      </w:r>
      <w:r>
        <w:rPr/>
        <w:t>B</w:t>
      </w:r>
      <w:r>
        <w:rPr>
          <w:spacing w:val="-5"/>
        </w:rPr>
        <w:t> </w:t>
      </w:r>
      <w:r>
        <w:rPr/>
        <w:t>(~</w:t>
      </w:r>
      <w:r>
        <w:rPr>
          <w:spacing w:val="-8"/>
        </w:rPr>
        <w:t> </w:t>
      </w:r>
      <w:r>
        <w:rPr/>
        <w:t>2,8</w:t>
      </w:r>
      <w:r>
        <w:rPr>
          <w:spacing w:val="-8"/>
        </w:rPr>
        <w:t> </w:t>
      </w:r>
      <w:r>
        <w:rPr/>
        <w:t>kb)</w:t>
      </w:r>
      <w:r>
        <w:rPr>
          <w:spacing w:val="-2"/>
        </w:rPr>
        <w:t> </w:t>
      </w:r>
      <w:r>
        <w:rPr/>
        <w:t>codifica</w:t>
      </w:r>
      <w:r>
        <w:rPr>
          <w:spacing w:val="-4"/>
        </w:rPr>
        <w:t> </w:t>
      </w:r>
      <w:r>
        <w:rPr/>
        <w:t>solamente</w:t>
      </w:r>
      <w:r>
        <w:rPr>
          <w:spacing w:val="-4"/>
        </w:rPr>
        <w:t> </w:t>
      </w:r>
      <w:r>
        <w:rPr/>
        <w:t>un</w:t>
      </w:r>
      <w:r>
        <w:rPr>
          <w:spacing w:val="-8"/>
        </w:rPr>
        <w:t> </w:t>
      </w:r>
      <w:r>
        <w:rPr/>
        <w:t>polipéptido</w:t>
      </w:r>
      <w:r>
        <w:rPr>
          <w:spacing w:val="1"/>
        </w:rPr>
        <w:t> </w:t>
      </w:r>
      <w:r>
        <w:rPr/>
        <w:t>conocido</w:t>
      </w:r>
      <w:r>
        <w:rPr>
          <w:spacing w:val="1"/>
        </w:rPr>
        <w:t> </w:t>
      </w:r>
      <w:r>
        <w:rPr/>
        <w:t>como</w:t>
      </w:r>
      <w:r>
        <w:rPr>
          <w:spacing w:val="-3"/>
        </w:rPr>
        <w:t> </w:t>
      </w:r>
      <w:r>
        <w:rPr/>
        <w:t>VP1 de</w:t>
      </w:r>
      <w:r>
        <w:rPr>
          <w:spacing w:val="-11"/>
        </w:rPr>
        <w:t> </w:t>
      </w:r>
      <w:r>
        <w:rPr/>
        <w:t>94-kDa</w:t>
      </w:r>
      <w:r>
        <w:rPr>
          <w:spacing w:val="-11"/>
        </w:rPr>
        <w:t> </w:t>
      </w:r>
      <w:r>
        <w:rPr/>
        <w:t>asociada</w:t>
      </w:r>
      <w:r>
        <w:rPr>
          <w:spacing w:val="-11"/>
        </w:rPr>
        <w:t> </w:t>
      </w:r>
      <w:r>
        <w:rPr/>
        <w:t>a</w:t>
      </w:r>
      <w:r>
        <w:rPr>
          <w:spacing w:val="-6"/>
        </w:rPr>
        <w:t> </w:t>
      </w:r>
      <w:r>
        <w:rPr>
          <w:spacing w:val="-5"/>
        </w:rPr>
        <w:t>la</w:t>
      </w:r>
      <w:r>
        <w:rPr>
          <w:spacing w:val="-6"/>
        </w:rPr>
        <w:t> </w:t>
      </w:r>
      <w:r>
        <w:rPr>
          <w:spacing w:val="-3"/>
        </w:rPr>
        <w:t>ARN</w:t>
      </w:r>
      <w:r>
        <w:rPr>
          <w:spacing w:val="-10"/>
        </w:rPr>
        <w:t> </w:t>
      </w:r>
      <w:r>
        <w:rPr/>
        <w:t>polimerasa</w:t>
      </w:r>
      <w:r>
        <w:rPr>
          <w:spacing w:val="-11"/>
        </w:rPr>
        <w:t> </w:t>
      </w:r>
      <w:r>
        <w:rPr/>
        <w:t>dependiente</w:t>
      </w:r>
      <w:r>
        <w:rPr>
          <w:spacing w:val="-11"/>
        </w:rPr>
        <w:t> </w:t>
      </w:r>
      <w:r>
        <w:rPr/>
        <w:t>de</w:t>
      </w:r>
      <w:r>
        <w:rPr>
          <w:spacing w:val="-11"/>
        </w:rPr>
        <w:t> </w:t>
      </w:r>
      <w:r>
        <w:rPr>
          <w:spacing w:val="-3"/>
        </w:rPr>
        <w:t>ARN</w:t>
      </w:r>
      <w:r>
        <w:rPr>
          <w:spacing w:val="-10"/>
        </w:rPr>
        <w:t> </w:t>
      </w:r>
      <w:r>
        <w:rPr/>
        <w:t>(RdRp).</w:t>
      </w:r>
      <w:r>
        <w:rPr>
          <w:spacing w:val="-8"/>
        </w:rPr>
        <w:t> </w:t>
      </w:r>
      <w:r>
        <w:rPr/>
        <w:t>La</w:t>
      </w:r>
      <w:r>
        <w:rPr>
          <w:spacing w:val="-11"/>
        </w:rPr>
        <w:t> </w:t>
      </w:r>
      <w:r>
        <w:rPr/>
        <w:t>VP1</w:t>
      </w:r>
      <w:r>
        <w:rPr>
          <w:spacing w:val="-14"/>
        </w:rPr>
        <w:t> </w:t>
      </w:r>
      <w:r>
        <w:rPr/>
        <w:t>tiene</w:t>
      </w:r>
      <w:r>
        <w:rPr>
          <w:spacing w:val="-11"/>
        </w:rPr>
        <w:t> </w:t>
      </w:r>
      <w:r>
        <w:rPr/>
        <w:t>un</w:t>
      </w:r>
      <w:r>
        <w:rPr>
          <w:spacing w:val="-10"/>
        </w:rPr>
        <w:t> </w:t>
      </w:r>
      <w:r>
        <w:rPr>
          <w:spacing w:val="-3"/>
        </w:rPr>
        <w:t>bajo </w:t>
      </w:r>
      <w:r>
        <w:rPr/>
        <w:t>número de copias y forma solamente el 4% de </w:t>
      </w:r>
      <w:r>
        <w:rPr>
          <w:spacing w:val="-3"/>
        </w:rPr>
        <w:t>la </w:t>
      </w:r>
      <w:r>
        <w:rPr/>
        <w:t>proteína del virión total. Las RdRps de birnavirus</w:t>
      </w:r>
      <w:r>
        <w:rPr>
          <w:spacing w:val="-9"/>
        </w:rPr>
        <w:t> </w:t>
      </w:r>
      <w:r>
        <w:rPr/>
        <w:t>poseen</w:t>
      </w:r>
      <w:r>
        <w:rPr>
          <w:spacing w:val="-11"/>
        </w:rPr>
        <w:t> </w:t>
      </w:r>
      <w:r>
        <w:rPr/>
        <w:t>algunas</w:t>
      </w:r>
      <w:r>
        <w:rPr>
          <w:spacing w:val="-9"/>
        </w:rPr>
        <w:t> </w:t>
      </w:r>
      <w:r>
        <w:rPr/>
        <w:t>características</w:t>
      </w:r>
      <w:r>
        <w:rPr>
          <w:spacing w:val="-9"/>
        </w:rPr>
        <w:t> </w:t>
      </w:r>
      <w:r>
        <w:rPr/>
        <w:t>que</w:t>
      </w:r>
      <w:r>
        <w:rPr>
          <w:spacing w:val="-3"/>
        </w:rPr>
        <w:t> las</w:t>
      </w:r>
      <w:r>
        <w:rPr>
          <w:spacing w:val="-9"/>
        </w:rPr>
        <w:t> </w:t>
      </w:r>
      <w:r>
        <w:rPr/>
        <w:t>distinguen</w:t>
      </w:r>
      <w:r>
        <w:rPr>
          <w:spacing w:val="-11"/>
        </w:rPr>
        <w:t> </w:t>
      </w:r>
      <w:r>
        <w:rPr/>
        <w:t>de</w:t>
      </w:r>
      <w:r>
        <w:rPr>
          <w:spacing w:val="-3"/>
        </w:rPr>
        <w:t> </w:t>
      </w:r>
      <w:r>
        <w:rPr>
          <w:spacing w:val="-5"/>
        </w:rPr>
        <w:t>la</w:t>
      </w:r>
      <w:r>
        <w:rPr>
          <w:spacing w:val="-3"/>
        </w:rPr>
        <w:t> </w:t>
      </w:r>
      <w:r>
        <w:rPr/>
        <w:t>mayoría</w:t>
      </w:r>
      <w:r>
        <w:rPr>
          <w:spacing w:val="-8"/>
        </w:rPr>
        <w:t> </w:t>
      </w:r>
      <w:r>
        <w:rPr/>
        <w:t>de</w:t>
      </w:r>
      <w:r>
        <w:rPr>
          <w:spacing w:val="5"/>
        </w:rPr>
        <w:t> </w:t>
      </w:r>
      <w:r>
        <w:rPr/>
        <w:t>los</w:t>
      </w:r>
      <w:r>
        <w:rPr>
          <w:spacing w:val="-9"/>
        </w:rPr>
        <w:t> </w:t>
      </w:r>
      <w:r>
        <w:rPr/>
        <w:t>RdRps;</w:t>
      </w:r>
      <w:r>
        <w:rPr>
          <w:spacing w:val="-10"/>
        </w:rPr>
        <w:t> </w:t>
      </w:r>
      <w:r>
        <w:rPr/>
        <w:t>está presente en viriones en dos </w:t>
      </w:r>
      <w:r>
        <w:rPr>
          <w:spacing w:val="-3"/>
        </w:rPr>
        <w:t>formas: </w:t>
      </w:r>
      <w:r>
        <w:rPr/>
        <w:t>como un polipéptido libre y como una proteína de genoma</w:t>
      </w:r>
      <w:r>
        <w:rPr>
          <w:spacing w:val="-5"/>
        </w:rPr>
        <w:t> </w:t>
      </w:r>
      <w:r>
        <w:rPr/>
        <w:t>o</w:t>
      </w:r>
      <w:r>
        <w:rPr>
          <w:spacing w:val="1"/>
        </w:rPr>
        <w:t> </w:t>
      </w:r>
      <w:r>
        <w:rPr/>
        <w:t>unido</w:t>
      </w:r>
      <w:r>
        <w:rPr>
          <w:spacing w:val="1"/>
        </w:rPr>
        <w:t> </w:t>
      </w:r>
      <w:r>
        <w:rPr/>
        <w:t>por</w:t>
      </w:r>
      <w:r>
        <w:rPr>
          <w:spacing w:val="-2"/>
        </w:rPr>
        <w:t> </w:t>
      </w:r>
      <w:r>
        <w:rPr/>
        <w:t>VPg</w:t>
      </w:r>
      <w:r>
        <w:rPr>
          <w:spacing w:val="-3"/>
        </w:rPr>
        <w:t> </w:t>
      </w:r>
      <w:r>
        <w:rPr/>
        <w:t>en</w:t>
      </w:r>
      <w:r>
        <w:rPr>
          <w:spacing w:val="-9"/>
        </w:rPr>
        <w:t> </w:t>
      </w:r>
      <w:r>
        <w:rPr/>
        <w:t>el</w:t>
      </w:r>
      <w:r>
        <w:rPr>
          <w:spacing w:val="-13"/>
        </w:rPr>
        <w:t> </w:t>
      </w:r>
      <w:r>
        <w:rPr/>
        <w:t>extremo</w:t>
      </w:r>
      <w:r>
        <w:rPr>
          <w:spacing w:val="1"/>
        </w:rPr>
        <w:t> </w:t>
      </w:r>
      <w:r>
        <w:rPr/>
        <w:t>5'</w:t>
      </w:r>
      <w:r>
        <w:rPr>
          <w:spacing w:val="-9"/>
        </w:rPr>
        <w:t> </w:t>
      </w:r>
      <w:r>
        <w:rPr/>
        <w:t>de</w:t>
      </w:r>
      <w:r>
        <w:rPr>
          <w:spacing w:val="-1"/>
        </w:rPr>
        <w:t> </w:t>
      </w:r>
      <w:r>
        <w:rPr/>
        <w:t>ambos</w:t>
      </w:r>
      <w:r>
        <w:rPr>
          <w:spacing w:val="-6"/>
        </w:rPr>
        <w:t> </w:t>
      </w:r>
      <w:r>
        <w:rPr/>
        <w:t>segmentos</w:t>
      </w:r>
      <w:r>
        <w:rPr>
          <w:spacing w:val="-4"/>
        </w:rPr>
        <w:t> </w:t>
      </w:r>
      <w:r>
        <w:rPr/>
        <w:t>del</w:t>
      </w:r>
      <w:r>
        <w:rPr>
          <w:spacing w:val="-13"/>
        </w:rPr>
        <w:t> </w:t>
      </w:r>
      <w:r>
        <w:rPr/>
        <w:t>genoma</w:t>
      </w:r>
      <w:r>
        <w:rPr>
          <w:spacing w:val="-5"/>
        </w:rPr>
        <w:t> </w:t>
      </w:r>
      <w:r>
        <w:rPr/>
        <w:t>por</w:t>
      </w:r>
      <w:r>
        <w:rPr>
          <w:spacing w:val="-2"/>
        </w:rPr>
        <w:t> </w:t>
      </w:r>
      <w:r>
        <w:rPr/>
        <w:t>una</w:t>
      </w:r>
      <w:r>
        <w:rPr>
          <w:spacing w:val="-5"/>
        </w:rPr>
        <w:t> </w:t>
      </w:r>
      <w:r>
        <w:rPr/>
        <w:t>serina-5' GMP fosfodiéster que </w:t>
      </w:r>
      <w:r>
        <w:rPr>
          <w:spacing w:val="-3"/>
        </w:rPr>
        <w:t>sirve </w:t>
      </w:r>
      <w:r>
        <w:rPr/>
        <w:t>como cebador, utilizando grupos </w:t>
      </w:r>
      <w:r>
        <w:rPr>
          <w:spacing w:val="-3"/>
        </w:rPr>
        <w:t>hidroxilo </w:t>
      </w:r>
      <w:r>
        <w:rPr/>
        <w:t>de residuos de aminoácidos dentro de </w:t>
      </w:r>
      <w:r>
        <w:rPr>
          <w:spacing w:val="-5"/>
        </w:rPr>
        <w:t>la </w:t>
      </w:r>
      <w:r>
        <w:rPr/>
        <w:t>propia proteína (Calvert, 1991). Es importante anotar </w:t>
      </w:r>
      <w:r>
        <w:rPr>
          <w:spacing w:val="-5"/>
        </w:rPr>
        <w:t>lo </w:t>
      </w:r>
      <w:r>
        <w:rPr/>
        <w:t>estipulado por Dobos (1995) de que existe una extensa homología entre </w:t>
      </w:r>
      <w:r>
        <w:rPr>
          <w:spacing w:val="-3"/>
        </w:rPr>
        <w:t>las </w:t>
      </w:r>
      <w:r>
        <w:rPr/>
        <w:t>secuencias </w:t>
      </w:r>
      <w:r>
        <w:rPr>
          <w:spacing w:val="-3"/>
        </w:rPr>
        <w:t>no </w:t>
      </w:r>
      <w:r>
        <w:rPr/>
        <w:t>codificantes del segmento A y B que podrían ser importantes para el reconocimiento de </w:t>
      </w:r>
      <w:r>
        <w:rPr>
          <w:spacing w:val="-5"/>
        </w:rPr>
        <w:t>la </w:t>
      </w:r>
      <w:r>
        <w:rPr/>
        <w:t>iniciación </w:t>
      </w:r>
      <w:r>
        <w:rPr>
          <w:spacing w:val="2"/>
        </w:rPr>
        <w:t>del </w:t>
      </w:r>
      <w:r>
        <w:rPr/>
        <w:t>proceso</w:t>
      </w:r>
      <w:r>
        <w:rPr>
          <w:spacing w:val="-9"/>
        </w:rPr>
        <w:t> </w:t>
      </w:r>
      <w:r>
        <w:rPr/>
        <w:t>de</w:t>
      </w:r>
      <w:r>
        <w:rPr>
          <w:spacing w:val="-19"/>
        </w:rPr>
        <w:t> </w:t>
      </w:r>
      <w:r>
        <w:rPr/>
        <w:t>traducción</w:t>
      </w:r>
      <w:r>
        <w:rPr>
          <w:spacing w:val="-13"/>
        </w:rPr>
        <w:t> </w:t>
      </w:r>
      <w:r>
        <w:rPr/>
        <w:t>y</w:t>
      </w:r>
      <w:r>
        <w:rPr>
          <w:spacing w:val="-23"/>
        </w:rPr>
        <w:t> </w:t>
      </w:r>
      <w:r>
        <w:rPr/>
        <w:t>posiblemente</w:t>
      </w:r>
      <w:r>
        <w:rPr>
          <w:spacing w:val="-14"/>
        </w:rPr>
        <w:t> </w:t>
      </w:r>
      <w:r>
        <w:rPr/>
        <w:t>para</w:t>
      </w:r>
      <w:r>
        <w:rPr>
          <w:spacing w:val="-14"/>
        </w:rPr>
        <w:t> </w:t>
      </w:r>
      <w:r>
        <w:rPr/>
        <w:t>el</w:t>
      </w:r>
      <w:r>
        <w:rPr>
          <w:spacing w:val="-23"/>
        </w:rPr>
        <w:t> </w:t>
      </w:r>
      <w:r>
        <w:rPr/>
        <w:t>embalaje</w:t>
      </w:r>
      <w:r>
        <w:rPr>
          <w:spacing w:val="-14"/>
        </w:rPr>
        <w:t> </w:t>
      </w:r>
      <w:r>
        <w:rPr/>
        <w:t>del</w:t>
      </w:r>
      <w:r>
        <w:rPr>
          <w:spacing w:val="-23"/>
        </w:rPr>
        <w:t> </w:t>
      </w:r>
      <w:r>
        <w:rPr/>
        <w:t>genoma</w:t>
      </w:r>
      <w:r>
        <w:rPr>
          <w:spacing w:val="-14"/>
        </w:rPr>
        <w:t> </w:t>
      </w:r>
      <w:r>
        <w:rPr/>
        <w:t>por</w:t>
      </w:r>
      <w:r>
        <w:rPr>
          <w:spacing w:val="-12"/>
        </w:rPr>
        <w:t> </w:t>
      </w:r>
      <w:r>
        <w:rPr/>
        <w:t>parte</w:t>
      </w:r>
      <w:r>
        <w:rPr>
          <w:spacing w:val="-19"/>
        </w:rPr>
        <w:t> </w:t>
      </w:r>
      <w:r>
        <w:rPr/>
        <w:t>de</w:t>
      </w:r>
      <w:r>
        <w:rPr>
          <w:spacing w:val="-14"/>
        </w:rPr>
        <w:t> </w:t>
      </w:r>
      <w:r>
        <w:rPr>
          <w:spacing w:val="-5"/>
        </w:rPr>
        <w:t>la</w:t>
      </w:r>
      <w:r>
        <w:rPr>
          <w:spacing w:val="-14"/>
        </w:rPr>
        <w:t> </w:t>
      </w:r>
      <w:r>
        <w:rPr/>
        <w:t>polimerasa. El</w:t>
      </w:r>
      <w:r>
        <w:rPr>
          <w:spacing w:val="-8"/>
        </w:rPr>
        <w:t> </w:t>
      </w:r>
      <w:r>
        <w:rPr/>
        <w:t>virión</w:t>
      </w:r>
      <w:r>
        <w:rPr>
          <w:spacing w:val="-9"/>
        </w:rPr>
        <w:t> </w:t>
      </w:r>
      <w:r>
        <w:rPr/>
        <w:t>de</w:t>
      </w:r>
      <w:r>
        <w:rPr>
          <w:spacing w:val="-5"/>
        </w:rPr>
        <w:t> </w:t>
      </w:r>
      <w:r>
        <w:rPr/>
        <w:t>IPNV</w:t>
      </w:r>
      <w:r>
        <w:rPr>
          <w:spacing w:val="-5"/>
        </w:rPr>
        <w:t> </w:t>
      </w:r>
      <w:r>
        <w:rPr/>
        <w:t>es</w:t>
      </w:r>
      <w:r>
        <w:rPr>
          <w:spacing w:val="-6"/>
        </w:rPr>
        <w:t> </w:t>
      </w:r>
      <w:r>
        <w:rPr/>
        <w:t>sin</w:t>
      </w:r>
      <w:r>
        <w:rPr>
          <w:spacing w:val="-4"/>
        </w:rPr>
        <w:t> </w:t>
      </w:r>
      <w:r>
        <w:rPr/>
        <w:t>envoltura</w:t>
      </w:r>
      <w:r>
        <w:rPr>
          <w:spacing w:val="-5"/>
        </w:rPr>
        <w:t> </w:t>
      </w:r>
      <w:r>
        <w:rPr/>
        <w:t>y</w:t>
      </w:r>
      <w:r>
        <w:rPr>
          <w:spacing w:val="-10"/>
        </w:rPr>
        <w:t> </w:t>
      </w:r>
      <w:r>
        <w:rPr/>
        <w:t>de</w:t>
      </w:r>
      <w:r>
        <w:rPr>
          <w:spacing w:val="-5"/>
        </w:rPr>
        <w:t> </w:t>
      </w:r>
      <w:r>
        <w:rPr/>
        <w:t>una</w:t>
      </w:r>
      <w:r>
        <w:rPr>
          <w:spacing w:val="-5"/>
        </w:rPr>
        <w:t> </w:t>
      </w:r>
      <w:r>
        <w:rPr/>
        <w:t>sola</w:t>
      </w:r>
      <w:r>
        <w:rPr>
          <w:spacing w:val="-4"/>
        </w:rPr>
        <w:t> </w:t>
      </w:r>
      <w:r>
        <w:rPr/>
        <w:t>cubierta</w:t>
      </w:r>
      <w:r>
        <w:rPr>
          <w:spacing w:val="-5"/>
        </w:rPr>
        <w:t> </w:t>
      </w:r>
      <w:r>
        <w:rPr/>
        <w:t>icosaédrica</w:t>
      </w:r>
      <w:r>
        <w:rPr>
          <w:spacing w:val="-5"/>
        </w:rPr>
        <w:t> </w:t>
      </w:r>
      <w:r>
        <w:rPr/>
        <w:t>de</w:t>
      </w:r>
      <w:r>
        <w:rPr>
          <w:spacing w:val="-5"/>
        </w:rPr>
        <w:t> </w:t>
      </w:r>
      <w:r>
        <w:rPr/>
        <w:t>60</w:t>
      </w:r>
      <w:r>
        <w:rPr>
          <w:spacing w:val="-4"/>
        </w:rPr>
        <w:t> </w:t>
      </w:r>
      <w:r>
        <w:rPr/>
        <w:t>nm</w:t>
      </w:r>
      <w:r>
        <w:rPr>
          <w:spacing w:val="-8"/>
        </w:rPr>
        <w:t> </w:t>
      </w:r>
      <w:r>
        <w:rPr/>
        <w:t>(nanómetros) de diámetro (Dobos </w:t>
      </w:r>
      <w:r>
        <w:rPr>
          <w:i/>
        </w:rPr>
        <w:t>et al</w:t>
      </w:r>
      <w:r>
        <w:rPr/>
        <w:t>., 1979). La cápside o </w:t>
      </w:r>
      <w:r>
        <w:rPr>
          <w:spacing w:val="-5"/>
        </w:rPr>
        <w:t>la </w:t>
      </w:r>
      <w:r>
        <w:rPr/>
        <w:t>cubierta proteíca está compuesta de 132 capsómeros</w:t>
      </w:r>
      <w:r>
        <w:rPr>
          <w:spacing w:val="15"/>
        </w:rPr>
        <w:t> </w:t>
      </w:r>
      <w:r>
        <w:rPr/>
        <w:t>con</w:t>
      </w:r>
      <w:r>
        <w:rPr>
          <w:spacing w:val="14"/>
        </w:rPr>
        <w:t> </w:t>
      </w:r>
      <w:r>
        <w:rPr/>
        <w:t>un</w:t>
      </w:r>
      <w:r>
        <w:rPr>
          <w:spacing w:val="12"/>
        </w:rPr>
        <w:t> </w:t>
      </w:r>
      <w:r>
        <w:rPr/>
        <w:t>patrón</w:t>
      </w:r>
      <w:r>
        <w:rPr>
          <w:spacing w:val="14"/>
        </w:rPr>
        <w:t> </w:t>
      </w:r>
      <w:r>
        <w:rPr/>
        <w:t>icosaédrico</w:t>
      </w:r>
      <w:r>
        <w:rPr>
          <w:spacing w:val="17"/>
        </w:rPr>
        <w:t> </w:t>
      </w:r>
      <w:r>
        <w:rPr/>
        <w:t>T</w:t>
      </w:r>
      <w:r>
        <w:rPr>
          <w:spacing w:val="14"/>
        </w:rPr>
        <w:t> </w:t>
      </w:r>
      <w:r>
        <w:rPr/>
        <w:t>=</w:t>
      </w:r>
      <w:r>
        <w:rPr>
          <w:spacing w:val="16"/>
        </w:rPr>
        <w:t> </w:t>
      </w:r>
      <w:r>
        <w:rPr/>
        <w:t>13</w:t>
      </w:r>
      <w:r>
        <w:rPr>
          <w:spacing w:val="8"/>
        </w:rPr>
        <w:t> </w:t>
      </w:r>
      <w:r>
        <w:rPr/>
        <w:t>(Özel</w:t>
      </w:r>
      <w:r>
        <w:rPr>
          <w:spacing w:val="13"/>
        </w:rPr>
        <w:t> </w:t>
      </w:r>
      <w:r>
        <w:rPr/>
        <w:t>y</w:t>
      </w:r>
      <w:r>
        <w:rPr>
          <w:spacing w:val="8"/>
        </w:rPr>
        <w:t> </w:t>
      </w:r>
      <w:r>
        <w:rPr/>
        <w:t>Gelderblom,</w:t>
      </w:r>
      <w:r>
        <w:rPr>
          <w:spacing w:val="19"/>
        </w:rPr>
        <w:t> </w:t>
      </w:r>
      <w:r>
        <w:rPr/>
        <w:t>1985).</w:t>
      </w:r>
      <w:r>
        <w:rPr>
          <w:spacing w:val="21"/>
        </w:rPr>
        <w:t> </w:t>
      </w:r>
      <w:r>
        <w:rPr/>
        <w:t>La</w:t>
      </w:r>
      <w:r>
        <w:rPr>
          <w:spacing w:val="16"/>
        </w:rPr>
        <w:t> </w:t>
      </w:r>
      <w:r>
        <w:rPr/>
        <w:t>densidad</w:t>
      </w:r>
      <w:r>
        <w:rPr>
          <w:spacing w:val="17"/>
        </w:rPr>
        <w:t> </w:t>
      </w:r>
      <w:r>
        <w:rPr/>
        <w:t>de</w:t>
      </w:r>
    </w:p>
    <w:p>
      <w:pPr>
        <w:spacing w:after="0" w:line="360" w:lineRule="auto"/>
        <w:jc w:val="both"/>
        <w:sectPr>
          <w:pgSz w:w="12240" w:h="15840"/>
          <w:pgMar w:header="0" w:footer="1382" w:top="1500" w:bottom="1580" w:left="1720" w:right="1420"/>
        </w:sectPr>
      </w:pPr>
    </w:p>
    <w:p>
      <w:pPr>
        <w:pStyle w:val="BodyText"/>
        <w:spacing w:before="5"/>
        <w:rPr>
          <w:sz w:val="23"/>
        </w:rPr>
      </w:pPr>
    </w:p>
    <w:p>
      <w:pPr>
        <w:pStyle w:val="BodyText"/>
        <w:spacing w:line="352" w:lineRule="auto" w:before="79"/>
        <w:ind w:left="152" w:right="662"/>
        <w:jc w:val="both"/>
      </w:pPr>
      <w:r>
        <w:rPr/>
        <w:t>flotación de IPNV es 1,33 g cm</w:t>
      </w:r>
      <w:r>
        <w:rPr>
          <w:position w:val="9"/>
          <w:sz w:val="16"/>
        </w:rPr>
        <w:t>3 </w:t>
      </w:r>
      <w:r>
        <w:rPr/>
        <w:t>en CsCl y de la cápside vacía es 1,29 g cm</w:t>
      </w:r>
      <w:r>
        <w:rPr>
          <w:position w:val="9"/>
          <w:sz w:val="16"/>
        </w:rPr>
        <w:t>3 </w:t>
      </w:r>
      <w:r>
        <w:rPr/>
        <w:t>(Dobos </w:t>
      </w:r>
      <w:r>
        <w:rPr>
          <w:i/>
        </w:rPr>
        <w:t>et al</w:t>
      </w:r>
      <w:r>
        <w:rPr/>
        <w:t>., 1977). El peso molecular del virión se ha calculado en 55 x 10</w:t>
      </w:r>
      <w:r>
        <w:rPr>
          <w:position w:val="9"/>
          <w:sz w:val="16"/>
        </w:rPr>
        <w:t>6 </w:t>
      </w:r>
      <w:r>
        <w:rPr/>
        <w:t>y el genoma tiene un peso molecular de 3,77 x 10</w:t>
      </w:r>
      <w:r>
        <w:rPr>
          <w:position w:val="9"/>
          <w:sz w:val="16"/>
        </w:rPr>
        <w:t>6</w:t>
      </w:r>
      <w:r>
        <w:rPr/>
        <w:t>, contribuyendo con un 6,9% de la masa del virión (Dobos, 1995). Los segmentos A y B presentan regiones no codificantes que ya han sido secuenciados en distintas cepas (Duncan </w:t>
      </w:r>
      <w:r>
        <w:rPr>
          <w:i/>
        </w:rPr>
        <w:t>et al</w:t>
      </w:r>
      <w:r>
        <w:rPr/>
        <w:t>., 1991; Weber </w:t>
      </w:r>
      <w:r>
        <w:rPr>
          <w:i/>
        </w:rPr>
        <w:t>et al., </w:t>
      </w:r>
      <w:r>
        <w:rPr/>
        <w:t>2001; Yao </w:t>
      </w:r>
      <w:r>
        <w:rPr>
          <w:i/>
        </w:rPr>
        <w:t>et al</w:t>
      </w:r>
      <w:r>
        <w:rPr/>
        <w:t>., 1998).</w:t>
      </w:r>
    </w:p>
    <w:p>
      <w:pPr>
        <w:pStyle w:val="BodyText"/>
        <w:rPr>
          <w:sz w:val="20"/>
        </w:rPr>
      </w:pPr>
    </w:p>
    <w:p>
      <w:pPr>
        <w:pStyle w:val="BodyText"/>
        <w:spacing w:before="1"/>
        <w:rPr>
          <w:sz w:val="14"/>
        </w:rPr>
      </w:pPr>
      <w:r>
        <w:rPr/>
        <w:drawing>
          <wp:anchor distT="0" distB="0" distL="0" distR="0" allowOverlap="1" layoutInCell="1" locked="0" behindDoc="0" simplePos="0" relativeHeight="1096">
            <wp:simplePos x="0" y="0"/>
            <wp:positionH relativeFrom="page">
              <wp:posOffset>1188719</wp:posOffset>
            </wp:positionH>
            <wp:positionV relativeFrom="paragraph">
              <wp:posOffset>128135</wp:posOffset>
            </wp:positionV>
            <wp:extent cx="5968431" cy="3497579"/>
            <wp:effectExtent l="0" t="0" r="0" b="0"/>
            <wp:wrapTopAndBottom/>
            <wp:docPr id="5" name="image2.png" descr=""/>
            <wp:cNvGraphicFramePr>
              <a:graphicFrameLocks noChangeAspect="1"/>
            </wp:cNvGraphicFramePr>
            <a:graphic>
              <a:graphicData uri="http://schemas.openxmlformats.org/drawingml/2006/picture">
                <pic:pic>
                  <pic:nvPicPr>
                    <pic:cNvPr id="6" name="image2.png"/>
                    <pic:cNvPicPr/>
                  </pic:nvPicPr>
                  <pic:blipFill>
                    <a:blip r:embed="rId9" cstate="print"/>
                    <a:stretch>
                      <a:fillRect/>
                    </a:stretch>
                  </pic:blipFill>
                  <pic:spPr>
                    <a:xfrm>
                      <a:off x="0" y="0"/>
                      <a:ext cx="5968431" cy="3497579"/>
                    </a:xfrm>
                    <a:prstGeom prst="rect">
                      <a:avLst/>
                    </a:prstGeom>
                  </pic:spPr>
                </pic:pic>
              </a:graphicData>
            </a:graphic>
          </wp:anchor>
        </w:drawing>
      </w:r>
    </w:p>
    <w:p>
      <w:pPr>
        <w:pStyle w:val="BodyText"/>
      </w:pPr>
    </w:p>
    <w:p>
      <w:pPr>
        <w:pStyle w:val="BodyText"/>
        <w:spacing w:before="11"/>
        <w:rPr>
          <w:sz w:val="21"/>
        </w:rPr>
      </w:pPr>
    </w:p>
    <w:p>
      <w:pPr>
        <w:spacing w:line="360" w:lineRule="auto" w:before="0"/>
        <w:ind w:left="152" w:right="664" w:firstLine="0"/>
        <w:jc w:val="both"/>
        <w:rPr>
          <w:sz w:val="20"/>
        </w:rPr>
      </w:pPr>
      <w:r>
        <w:rPr>
          <w:sz w:val="20"/>
        </w:rPr>
        <w:t>Figura</w:t>
      </w:r>
      <w:r>
        <w:rPr>
          <w:spacing w:val="-7"/>
          <w:sz w:val="20"/>
        </w:rPr>
        <w:t> </w:t>
      </w:r>
      <w:r>
        <w:rPr>
          <w:sz w:val="20"/>
        </w:rPr>
        <w:t>N°1.</w:t>
      </w:r>
      <w:r>
        <w:rPr>
          <w:spacing w:val="-11"/>
          <w:sz w:val="20"/>
        </w:rPr>
        <w:t> </w:t>
      </w:r>
      <w:r>
        <w:rPr>
          <w:sz w:val="20"/>
        </w:rPr>
        <w:t>Organización</w:t>
      </w:r>
      <w:r>
        <w:rPr>
          <w:spacing w:val="-4"/>
          <w:sz w:val="20"/>
        </w:rPr>
        <w:t> </w:t>
      </w:r>
      <w:r>
        <w:rPr>
          <w:sz w:val="20"/>
        </w:rPr>
        <w:t>y</w:t>
      </w:r>
      <w:r>
        <w:rPr>
          <w:spacing w:val="-18"/>
          <w:sz w:val="20"/>
        </w:rPr>
        <w:t> </w:t>
      </w:r>
      <w:r>
        <w:rPr>
          <w:sz w:val="20"/>
        </w:rPr>
        <w:t>expresión</w:t>
      </w:r>
      <w:r>
        <w:rPr>
          <w:spacing w:val="-4"/>
          <w:sz w:val="20"/>
        </w:rPr>
        <w:t> </w:t>
      </w:r>
      <w:r>
        <w:rPr>
          <w:sz w:val="20"/>
        </w:rPr>
        <w:t>genómica</w:t>
      </w:r>
      <w:r>
        <w:rPr>
          <w:spacing w:val="-7"/>
          <w:sz w:val="20"/>
        </w:rPr>
        <w:t> </w:t>
      </w:r>
      <w:r>
        <w:rPr>
          <w:sz w:val="20"/>
        </w:rPr>
        <w:t>de</w:t>
      </w:r>
      <w:r>
        <w:rPr>
          <w:spacing w:val="-11"/>
          <w:sz w:val="20"/>
        </w:rPr>
        <w:t> </w:t>
      </w:r>
      <w:r>
        <w:rPr>
          <w:sz w:val="20"/>
        </w:rPr>
        <w:t>IPNV.</w:t>
      </w:r>
      <w:r>
        <w:rPr>
          <w:spacing w:val="-11"/>
          <w:sz w:val="20"/>
        </w:rPr>
        <w:t> </w:t>
      </w:r>
      <w:r>
        <w:rPr>
          <w:sz w:val="20"/>
        </w:rPr>
        <w:t>El</w:t>
      </w:r>
      <w:r>
        <w:rPr>
          <w:spacing w:val="-12"/>
          <w:sz w:val="20"/>
        </w:rPr>
        <w:t> </w:t>
      </w:r>
      <w:r>
        <w:rPr>
          <w:sz w:val="20"/>
        </w:rPr>
        <w:t>Segmento</w:t>
      </w:r>
      <w:r>
        <w:rPr>
          <w:spacing w:val="-13"/>
          <w:sz w:val="20"/>
        </w:rPr>
        <w:t> </w:t>
      </w:r>
      <w:r>
        <w:rPr>
          <w:sz w:val="20"/>
        </w:rPr>
        <w:t>A</w:t>
      </w:r>
      <w:r>
        <w:rPr>
          <w:spacing w:val="-10"/>
          <w:sz w:val="20"/>
        </w:rPr>
        <w:t> </w:t>
      </w:r>
      <w:r>
        <w:rPr>
          <w:sz w:val="20"/>
        </w:rPr>
        <w:t>maduro</w:t>
      </w:r>
      <w:r>
        <w:rPr>
          <w:spacing w:val="-13"/>
          <w:sz w:val="20"/>
        </w:rPr>
        <w:t> </w:t>
      </w:r>
      <w:r>
        <w:rPr>
          <w:sz w:val="20"/>
        </w:rPr>
        <w:t>produce</w:t>
      </w:r>
      <w:r>
        <w:rPr>
          <w:spacing w:val="-11"/>
          <w:sz w:val="20"/>
        </w:rPr>
        <w:t> </w:t>
      </w:r>
      <w:r>
        <w:rPr>
          <w:sz w:val="20"/>
        </w:rPr>
        <w:t>las</w:t>
      </w:r>
      <w:r>
        <w:rPr>
          <w:spacing w:val="-10"/>
          <w:sz w:val="20"/>
        </w:rPr>
        <w:t> </w:t>
      </w:r>
      <w:r>
        <w:rPr>
          <w:sz w:val="20"/>
        </w:rPr>
        <w:t>proteínas</w:t>
      </w:r>
      <w:r>
        <w:rPr>
          <w:spacing w:val="-10"/>
          <w:sz w:val="20"/>
        </w:rPr>
        <w:t> </w:t>
      </w:r>
      <w:r>
        <w:rPr>
          <w:sz w:val="20"/>
        </w:rPr>
        <w:t>virales VP2, VP3 y NS (proteasa) de </w:t>
      </w:r>
      <w:r>
        <w:rPr>
          <w:spacing w:val="-3"/>
          <w:sz w:val="20"/>
        </w:rPr>
        <w:t>un ORF </w:t>
      </w:r>
      <w:r>
        <w:rPr>
          <w:sz w:val="20"/>
        </w:rPr>
        <w:t>(marco de lectura) mayor. Después a </w:t>
      </w:r>
      <w:r>
        <w:rPr>
          <w:spacing w:val="-2"/>
          <w:sz w:val="20"/>
        </w:rPr>
        <w:t>partir </w:t>
      </w:r>
      <w:r>
        <w:rPr>
          <w:sz w:val="20"/>
        </w:rPr>
        <w:t>de </w:t>
      </w:r>
      <w:r>
        <w:rPr>
          <w:spacing w:val="-3"/>
          <w:sz w:val="20"/>
        </w:rPr>
        <w:t>un ORF </w:t>
      </w:r>
      <w:r>
        <w:rPr>
          <w:sz w:val="20"/>
        </w:rPr>
        <w:t>superpuesto produce otra proteína (VP5). El segmento B sintetiza la ARN-polimerasa dependiente de </w:t>
      </w:r>
      <w:r>
        <w:rPr>
          <w:spacing w:val="-3"/>
          <w:sz w:val="20"/>
        </w:rPr>
        <w:t>ARN </w:t>
      </w:r>
      <w:r>
        <w:rPr>
          <w:sz w:val="20"/>
        </w:rPr>
        <w:t>(RdRp). La </w:t>
      </w:r>
      <w:r>
        <w:rPr>
          <w:spacing w:val="-3"/>
          <w:sz w:val="20"/>
        </w:rPr>
        <w:t>ARN </w:t>
      </w:r>
      <w:r>
        <w:rPr>
          <w:sz w:val="20"/>
        </w:rPr>
        <w:t>Polimerasa viral se encuentra unida al extremo 5’ en ambos segmentos del genoma por </w:t>
      </w:r>
      <w:r>
        <w:rPr>
          <w:spacing w:val="-3"/>
          <w:sz w:val="20"/>
        </w:rPr>
        <w:t>un </w:t>
      </w:r>
      <w:r>
        <w:rPr>
          <w:sz w:val="20"/>
        </w:rPr>
        <w:t>enlace fosfodiéster </w:t>
      </w:r>
      <w:r>
        <w:rPr>
          <w:spacing w:val="-4"/>
          <w:sz w:val="20"/>
        </w:rPr>
        <w:t>en </w:t>
      </w:r>
      <w:r>
        <w:rPr>
          <w:sz w:val="20"/>
        </w:rPr>
        <w:t>forma de VPg y funciona como partidor (Dobos,</w:t>
      </w:r>
      <w:r>
        <w:rPr>
          <w:spacing w:val="-6"/>
          <w:sz w:val="20"/>
        </w:rPr>
        <w:t> </w:t>
      </w:r>
      <w:r>
        <w:rPr>
          <w:sz w:val="20"/>
        </w:rPr>
        <w:t>1995).</w:t>
      </w:r>
    </w:p>
    <w:p>
      <w:pPr>
        <w:spacing w:after="0" w:line="360" w:lineRule="auto"/>
        <w:jc w:val="both"/>
        <w:rPr>
          <w:sz w:val="20"/>
        </w:rPr>
        <w:sectPr>
          <w:pgSz w:w="12240" w:h="15840"/>
          <w:pgMar w:header="0" w:footer="1382" w:top="1500" w:bottom="1580" w:left="1720" w:right="860"/>
        </w:sectPr>
      </w:pPr>
    </w:p>
    <w:p>
      <w:pPr>
        <w:pStyle w:val="BodyText"/>
        <w:rPr>
          <w:sz w:val="20"/>
        </w:rPr>
      </w:pPr>
    </w:p>
    <w:p>
      <w:pPr>
        <w:pStyle w:val="BodyText"/>
        <w:spacing w:before="4"/>
        <w:rPr>
          <w:sz w:val="12"/>
        </w:rPr>
      </w:pPr>
    </w:p>
    <w:p>
      <w:pPr>
        <w:pStyle w:val="BodyText"/>
        <w:ind w:left="152"/>
        <w:rPr>
          <w:sz w:val="20"/>
        </w:rPr>
      </w:pPr>
      <w:r>
        <w:rPr>
          <w:sz w:val="20"/>
        </w:rPr>
        <w:drawing>
          <wp:inline distT="0" distB="0" distL="0" distR="0">
            <wp:extent cx="5596447" cy="3733895"/>
            <wp:effectExtent l="0" t="0" r="0" b="0"/>
            <wp:docPr id="7" name="image3.jpeg" descr=""/>
            <wp:cNvGraphicFramePr>
              <a:graphicFrameLocks noChangeAspect="1"/>
            </wp:cNvGraphicFramePr>
            <a:graphic>
              <a:graphicData uri="http://schemas.openxmlformats.org/drawingml/2006/picture">
                <pic:pic>
                  <pic:nvPicPr>
                    <pic:cNvPr id="8" name="image3.jpeg"/>
                    <pic:cNvPicPr/>
                  </pic:nvPicPr>
                  <pic:blipFill>
                    <a:blip r:embed="rId11" cstate="print"/>
                    <a:stretch>
                      <a:fillRect/>
                    </a:stretch>
                  </pic:blipFill>
                  <pic:spPr>
                    <a:xfrm>
                      <a:off x="0" y="0"/>
                      <a:ext cx="5596447" cy="3733895"/>
                    </a:xfrm>
                    <a:prstGeom prst="rect">
                      <a:avLst/>
                    </a:prstGeom>
                  </pic:spPr>
                </pic:pic>
              </a:graphicData>
            </a:graphic>
          </wp:inline>
        </w:drawing>
      </w:r>
      <w:r>
        <w:rPr>
          <w:sz w:val="20"/>
        </w:rPr>
      </w:r>
    </w:p>
    <w:p>
      <w:pPr>
        <w:pStyle w:val="BodyText"/>
        <w:rPr>
          <w:sz w:val="20"/>
        </w:rPr>
      </w:pPr>
    </w:p>
    <w:p>
      <w:pPr>
        <w:pStyle w:val="BodyText"/>
        <w:spacing w:before="4"/>
        <w:rPr>
          <w:sz w:val="25"/>
        </w:rPr>
      </w:pPr>
    </w:p>
    <w:p>
      <w:pPr>
        <w:spacing w:line="360" w:lineRule="auto" w:before="75"/>
        <w:ind w:left="152" w:right="102" w:firstLine="0"/>
        <w:jc w:val="both"/>
        <w:rPr>
          <w:sz w:val="20"/>
        </w:rPr>
      </w:pPr>
      <w:r>
        <w:rPr>
          <w:sz w:val="20"/>
        </w:rPr>
        <w:t>Figura N°2. Estructura de IPNV, mostrando las proteínas de conformación. La VP2 es la estructura mayor y la principal proteína externa de la cápside (60% virión). La VP3 es la estructural menor y la principal proteína interna (34% virión). (Lauksund, 2004)</w:t>
      </w:r>
    </w:p>
    <w:p>
      <w:pPr>
        <w:pStyle w:val="BodyText"/>
        <w:rPr>
          <w:sz w:val="20"/>
        </w:rPr>
      </w:pPr>
    </w:p>
    <w:p>
      <w:pPr>
        <w:pStyle w:val="BodyText"/>
        <w:spacing w:before="10"/>
        <w:rPr>
          <w:sz w:val="18"/>
        </w:rPr>
      </w:pPr>
    </w:p>
    <w:p>
      <w:pPr>
        <w:pStyle w:val="Heading2"/>
        <w:numPr>
          <w:ilvl w:val="2"/>
          <w:numId w:val="7"/>
        </w:numPr>
        <w:tabs>
          <w:tab w:pos="758" w:val="left" w:leader="none"/>
        </w:tabs>
        <w:spacing w:line="240" w:lineRule="auto" w:before="0" w:after="0"/>
        <w:ind w:left="757" w:right="0" w:hanging="605"/>
        <w:jc w:val="both"/>
        <w:rPr>
          <w:i/>
        </w:rPr>
      </w:pPr>
      <w:bookmarkStart w:name="_bookmark8" w:id="13"/>
      <w:bookmarkEnd w:id="13"/>
      <w:r>
        <w:rPr>
          <w:b w:val="0"/>
          <w:i w:val="0"/>
        </w:rPr>
      </w:r>
      <w:bookmarkStart w:name="_bookmark8" w:id="14"/>
      <w:bookmarkEnd w:id="14"/>
      <w:r>
        <w:rPr>
          <w:i/>
        </w:rPr>
        <w:t>C</w:t>
      </w:r>
      <w:r>
        <w:rPr>
          <w:i/>
        </w:rPr>
        <w:t>iclo de replicación</w:t>
      </w:r>
      <w:r>
        <w:rPr>
          <w:i/>
          <w:spacing w:val="-9"/>
        </w:rPr>
        <w:t> </w:t>
      </w:r>
      <w:r>
        <w:rPr>
          <w:i/>
        </w:rPr>
        <w:t>viral</w:t>
      </w:r>
    </w:p>
    <w:p>
      <w:pPr>
        <w:pStyle w:val="BodyText"/>
        <w:spacing w:line="360" w:lineRule="auto" w:before="36"/>
        <w:ind w:left="152" w:right="101"/>
        <w:jc w:val="both"/>
      </w:pPr>
      <w:r>
        <w:rPr/>
        <w:t>En</w:t>
      </w:r>
      <w:r>
        <w:rPr>
          <w:spacing w:val="-5"/>
        </w:rPr>
        <w:t> lo</w:t>
      </w:r>
      <w:r>
        <w:rPr/>
        <w:t> que</w:t>
      </w:r>
      <w:r>
        <w:rPr>
          <w:spacing w:val="-6"/>
        </w:rPr>
        <w:t> </w:t>
      </w:r>
      <w:r>
        <w:rPr/>
        <w:t>respecta</w:t>
      </w:r>
      <w:r>
        <w:rPr>
          <w:spacing w:val="-6"/>
        </w:rPr>
        <w:t> </w:t>
      </w:r>
      <w:r>
        <w:rPr/>
        <w:t>al</w:t>
      </w:r>
      <w:r>
        <w:rPr>
          <w:spacing w:val="-14"/>
        </w:rPr>
        <w:t> </w:t>
      </w:r>
      <w:r>
        <w:rPr/>
        <w:t>ciclo de</w:t>
      </w:r>
      <w:r>
        <w:rPr>
          <w:spacing w:val="-6"/>
        </w:rPr>
        <w:t> </w:t>
      </w:r>
      <w:r>
        <w:rPr/>
        <w:t>replicación</w:t>
      </w:r>
      <w:r>
        <w:rPr>
          <w:spacing w:val="-5"/>
        </w:rPr>
        <w:t> </w:t>
      </w:r>
      <w:r>
        <w:rPr/>
        <w:t>viral</w:t>
      </w:r>
      <w:r>
        <w:rPr>
          <w:spacing w:val="-14"/>
        </w:rPr>
        <w:t> </w:t>
      </w:r>
      <w:r>
        <w:rPr/>
        <w:t>de</w:t>
      </w:r>
      <w:r>
        <w:rPr>
          <w:spacing w:val="-6"/>
        </w:rPr>
        <w:t> </w:t>
      </w:r>
      <w:r>
        <w:rPr/>
        <w:t>IPNV</w:t>
      </w:r>
      <w:r>
        <w:rPr>
          <w:spacing w:val="-6"/>
        </w:rPr>
        <w:t> </w:t>
      </w:r>
      <w:r>
        <w:rPr/>
        <w:t>se</w:t>
      </w:r>
      <w:r>
        <w:rPr>
          <w:spacing w:val="-6"/>
        </w:rPr>
        <w:t> </w:t>
      </w:r>
      <w:r>
        <w:rPr/>
        <w:t>tiene</w:t>
      </w:r>
      <w:r>
        <w:rPr>
          <w:spacing w:val="6"/>
        </w:rPr>
        <w:t> </w:t>
      </w:r>
      <w:r>
        <w:rPr/>
        <w:t>información</w:t>
      </w:r>
      <w:r>
        <w:rPr>
          <w:spacing w:val="-10"/>
        </w:rPr>
        <w:t> </w:t>
      </w:r>
      <w:r>
        <w:rPr/>
        <w:t>pero</w:t>
      </w:r>
      <w:r>
        <w:rPr>
          <w:spacing w:val="2"/>
        </w:rPr>
        <w:t> </w:t>
      </w:r>
      <w:r>
        <w:rPr>
          <w:spacing w:val="-3"/>
        </w:rPr>
        <w:t>no</w:t>
      </w:r>
      <w:r>
        <w:rPr/>
        <w:t> </w:t>
      </w:r>
      <w:r>
        <w:rPr>
          <w:spacing w:val="-3"/>
        </w:rPr>
        <w:t>ha</w:t>
      </w:r>
      <w:r>
        <w:rPr>
          <w:spacing w:val="-6"/>
        </w:rPr>
        <w:t> </w:t>
      </w:r>
      <w:r>
        <w:rPr/>
        <w:t>sido dilucidado completamente. Se </w:t>
      </w:r>
      <w:r>
        <w:rPr>
          <w:spacing w:val="-3"/>
        </w:rPr>
        <w:t>sabe </w:t>
      </w:r>
      <w:r>
        <w:rPr/>
        <w:t>que durante el proceso el virus llega a </w:t>
      </w:r>
      <w:r>
        <w:rPr>
          <w:spacing w:val="-5"/>
        </w:rPr>
        <w:t>la </w:t>
      </w:r>
      <w:r>
        <w:rPr/>
        <w:t>célula </w:t>
      </w:r>
      <w:r>
        <w:rPr>
          <w:spacing w:val="2"/>
        </w:rPr>
        <w:t>del </w:t>
      </w:r>
      <w:r>
        <w:rPr/>
        <w:t>hospedero, seguido por el ingreso a </w:t>
      </w:r>
      <w:r>
        <w:rPr>
          <w:spacing w:val="-5"/>
        </w:rPr>
        <w:t>la </w:t>
      </w:r>
      <w:r>
        <w:rPr>
          <w:spacing w:val="-3"/>
        </w:rPr>
        <w:t>misma. </w:t>
      </w:r>
      <w:r>
        <w:rPr/>
        <w:t>IPNV puede replicarse en un rango de temperatura que van de los 10°C hasta los 20°C (Dobos, 1995) y se ha descrito que un </w:t>
      </w:r>
      <w:r>
        <w:rPr>
          <w:spacing w:val="-3"/>
        </w:rPr>
        <w:t>ciclo </w:t>
      </w:r>
      <w:r>
        <w:rPr/>
        <w:t>de</w:t>
      </w:r>
      <w:r>
        <w:rPr>
          <w:spacing w:val="-12"/>
        </w:rPr>
        <w:t> </w:t>
      </w:r>
      <w:r>
        <w:rPr/>
        <w:t>replicación</w:t>
      </w:r>
      <w:r>
        <w:rPr>
          <w:spacing w:val="-15"/>
        </w:rPr>
        <w:t> </w:t>
      </w:r>
      <w:r>
        <w:rPr/>
        <w:t>puede</w:t>
      </w:r>
      <w:r>
        <w:rPr>
          <w:spacing w:val="-12"/>
        </w:rPr>
        <w:t> </w:t>
      </w:r>
      <w:r>
        <w:rPr/>
        <w:t>durar</w:t>
      </w:r>
      <w:r>
        <w:rPr>
          <w:spacing w:val="-9"/>
        </w:rPr>
        <w:t> </w:t>
      </w:r>
      <w:r>
        <w:rPr/>
        <w:t>de</w:t>
      </w:r>
      <w:r>
        <w:rPr>
          <w:spacing w:val="-12"/>
        </w:rPr>
        <w:t> </w:t>
      </w:r>
      <w:r>
        <w:rPr/>
        <w:t>16</w:t>
      </w:r>
      <w:r>
        <w:rPr>
          <w:spacing w:val="-15"/>
        </w:rPr>
        <w:t> </w:t>
      </w:r>
      <w:r>
        <w:rPr/>
        <w:t>a</w:t>
      </w:r>
      <w:r>
        <w:rPr>
          <w:spacing w:val="-12"/>
        </w:rPr>
        <w:t> </w:t>
      </w:r>
      <w:r>
        <w:rPr/>
        <w:t>24</w:t>
      </w:r>
      <w:r>
        <w:rPr>
          <w:spacing w:val="-11"/>
        </w:rPr>
        <w:t> </w:t>
      </w:r>
      <w:r>
        <w:rPr/>
        <w:t>horas</w:t>
      </w:r>
      <w:r>
        <w:rPr>
          <w:spacing w:val="-10"/>
        </w:rPr>
        <w:t> </w:t>
      </w:r>
      <w:r>
        <w:rPr/>
        <w:t>(Villanueva</w:t>
      </w:r>
      <w:r>
        <w:rPr>
          <w:spacing w:val="-11"/>
        </w:rPr>
        <w:t> </w:t>
      </w:r>
      <w:r>
        <w:rPr>
          <w:i/>
        </w:rPr>
        <w:t>et</w:t>
      </w:r>
      <w:r>
        <w:rPr>
          <w:i/>
          <w:spacing w:val="-10"/>
        </w:rPr>
        <w:t> </w:t>
      </w:r>
      <w:r>
        <w:rPr>
          <w:i/>
        </w:rPr>
        <w:t>al</w:t>
      </w:r>
      <w:r>
        <w:rPr/>
        <w:t>.,</w:t>
      </w:r>
      <w:r>
        <w:rPr>
          <w:spacing w:val="-9"/>
        </w:rPr>
        <w:t> </w:t>
      </w:r>
      <w:r>
        <w:rPr/>
        <w:t>2004),</w:t>
      </w:r>
      <w:r>
        <w:rPr>
          <w:spacing w:val="-8"/>
        </w:rPr>
        <w:t> </w:t>
      </w:r>
      <w:r>
        <w:rPr/>
        <w:t>dependiendo</w:t>
      </w:r>
      <w:r>
        <w:rPr>
          <w:spacing w:val="-6"/>
        </w:rPr>
        <w:t> </w:t>
      </w:r>
      <w:r>
        <w:rPr/>
        <w:t>de</w:t>
      </w:r>
      <w:r>
        <w:rPr>
          <w:spacing w:val="-12"/>
        </w:rPr>
        <w:t> </w:t>
      </w:r>
      <w:r>
        <w:rPr>
          <w:spacing w:val="-5"/>
        </w:rPr>
        <w:t>la</w:t>
      </w:r>
      <w:r>
        <w:rPr>
          <w:spacing w:val="-7"/>
        </w:rPr>
        <w:t> </w:t>
      </w:r>
      <w:r>
        <w:rPr/>
        <w:t>línea celular y</w:t>
      </w:r>
      <w:r>
        <w:rPr>
          <w:spacing w:val="-10"/>
        </w:rPr>
        <w:t> </w:t>
      </w:r>
      <w:r>
        <w:rPr>
          <w:spacing w:val="-3"/>
        </w:rPr>
        <w:t>la</w:t>
      </w:r>
      <w:r>
        <w:rPr>
          <w:spacing w:val="-6"/>
        </w:rPr>
        <w:t> </w:t>
      </w:r>
      <w:r>
        <w:rPr/>
        <w:t>temperatura</w:t>
      </w:r>
      <w:r>
        <w:rPr>
          <w:spacing w:val="-6"/>
        </w:rPr>
        <w:t> </w:t>
      </w:r>
      <w:r>
        <w:rPr/>
        <w:t>de</w:t>
      </w:r>
      <w:r>
        <w:rPr>
          <w:spacing w:val="-6"/>
        </w:rPr>
        <w:t> </w:t>
      </w:r>
      <w:r>
        <w:rPr/>
        <w:t>infección</w:t>
      </w:r>
      <w:r>
        <w:rPr>
          <w:spacing w:val="-10"/>
        </w:rPr>
        <w:t> </w:t>
      </w:r>
      <w:r>
        <w:rPr/>
        <w:t>(Espinoza</w:t>
      </w:r>
      <w:r>
        <w:rPr>
          <w:spacing w:val="-2"/>
        </w:rPr>
        <w:t> </w:t>
      </w:r>
      <w:r>
        <w:rPr/>
        <w:t>y</w:t>
      </w:r>
      <w:r>
        <w:rPr>
          <w:spacing w:val="-10"/>
        </w:rPr>
        <w:t> </w:t>
      </w:r>
      <w:r>
        <w:rPr/>
        <w:t>Kuznar,</w:t>
      </w:r>
      <w:r>
        <w:rPr>
          <w:spacing w:val="-2"/>
        </w:rPr>
        <w:t> </w:t>
      </w:r>
      <w:r>
        <w:rPr/>
        <w:t>1997).</w:t>
      </w:r>
      <w:r>
        <w:rPr>
          <w:spacing w:val="-3"/>
        </w:rPr>
        <w:t> </w:t>
      </w:r>
      <w:r>
        <w:rPr/>
        <w:t>Después</w:t>
      </w:r>
      <w:r>
        <w:rPr>
          <w:spacing w:val="-7"/>
        </w:rPr>
        <w:t> </w:t>
      </w:r>
      <w:r>
        <w:rPr/>
        <w:t>de</w:t>
      </w:r>
      <w:r>
        <w:rPr>
          <w:spacing w:val="-2"/>
        </w:rPr>
        <w:t> </w:t>
      </w:r>
      <w:r>
        <w:rPr>
          <w:spacing w:val="-5"/>
        </w:rPr>
        <w:t>la</w:t>
      </w:r>
      <w:r>
        <w:rPr>
          <w:spacing w:val="-6"/>
        </w:rPr>
        <w:t> </w:t>
      </w:r>
      <w:r>
        <w:rPr/>
        <w:t>adsorción,</w:t>
      </w:r>
      <w:r>
        <w:rPr>
          <w:spacing w:val="-4"/>
        </w:rPr>
        <w:t> </w:t>
      </w:r>
      <w:r>
        <w:rPr/>
        <w:t>el virus es encerrado en compartimentos vesiculares periféricos. </w:t>
      </w:r>
      <w:r>
        <w:rPr>
          <w:spacing w:val="5"/>
        </w:rPr>
        <w:t>En </w:t>
      </w:r>
      <w:r>
        <w:rPr/>
        <w:t>células RTG-2 se </w:t>
      </w:r>
      <w:r>
        <w:rPr>
          <w:spacing w:val="-3"/>
        </w:rPr>
        <w:t>ha </w:t>
      </w:r>
      <w:r>
        <w:rPr/>
        <w:t>descrito que IPNV es endocitado (Granzow </w:t>
      </w:r>
      <w:r>
        <w:rPr>
          <w:i/>
        </w:rPr>
        <w:t>et al., </w:t>
      </w:r>
      <w:r>
        <w:rPr/>
        <w:t>1997) </w:t>
      </w:r>
      <w:r>
        <w:rPr>
          <w:spacing w:val="-5"/>
        </w:rPr>
        <w:t>lo </w:t>
      </w:r>
      <w:r>
        <w:rPr/>
        <w:t>que sugiere que </w:t>
      </w:r>
      <w:r>
        <w:rPr>
          <w:spacing w:val="-5"/>
        </w:rPr>
        <w:t>la </w:t>
      </w:r>
      <w:r>
        <w:rPr/>
        <w:t>entrada del IPNV</w:t>
      </w:r>
      <w:r>
        <w:rPr>
          <w:spacing w:val="18"/>
        </w:rPr>
        <w:t> </w:t>
      </w:r>
      <w:r>
        <w:rPr/>
        <w:t>al</w:t>
      </w:r>
      <w:r>
        <w:rPr>
          <w:spacing w:val="14"/>
        </w:rPr>
        <w:t> </w:t>
      </w:r>
      <w:r>
        <w:rPr/>
        <w:t>igual</w:t>
      </w:r>
      <w:r>
        <w:rPr>
          <w:spacing w:val="9"/>
        </w:rPr>
        <w:t> </w:t>
      </w:r>
      <w:r>
        <w:rPr/>
        <w:t>que</w:t>
      </w:r>
      <w:r>
        <w:rPr>
          <w:spacing w:val="23"/>
        </w:rPr>
        <w:t> </w:t>
      </w:r>
      <w:r>
        <w:rPr/>
        <w:t>muchos</w:t>
      </w:r>
      <w:r>
        <w:rPr>
          <w:spacing w:val="16"/>
        </w:rPr>
        <w:t> </w:t>
      </w:r>
      <w:r>
        <w:rPr/>
        <w:t>virus</w:t>
      </w:r>
      <w:r>
        <w:rPr>
          <w:spacing w:val="18"/>
        </w:rPr>
        <w:t> </w:t>
      </w:r>
      <w:r>
        <w:rPr/>
        <w:t>desnudos,</w:t>
      </w:r>
      <w:r>
        <w:rPr>
          <w:spacing w:val="20"/>
        </w:rPr>
        <w:t> </w:t>
      </w:r>
      <w:r>
        <w:rPr/>
        <w:t>se</w:t>
      </w:r>
      <w:r>
        <w:rPr>
          <w:spacing w:val="17"/>
        </w:rPr>
        <w:t> </w:t>
      </w:r>
      <w:r>
        <w:rPr/>
        <w:t>realiza</w:t>
      </w:r>
      <w:r>
        <w:rPr>
          <w:spacing w:val="17"/>
        </w:rPr>
        <w:t> </w:t>
      </w:r>
      <w:r>
        <w:rPr/>
        <w:t>por</w:t>
      </w:r>
      <w:r>
        <w:rPr>
          <w:spacing w:val="19"/>
        </w:rPr>
        <w:t> </w:t>
      </w:r>
      <w:r>
        <w:rPr/>
        <w:t>endocitosis</w:t>
      </w:r>
      <w:r>
        <w:rPr>
          <w:spacing w:val="16"/>
        </w:rPr>
        <w:t> </w:t>
      </w:r>
      <w:r>
        <w:rPr/>
        <w:t>(Couve</w:t>
      </w:r>
      <w:r>
        <w:rPr>
          <w:spacing w:val="23"/>
        </w:rPr>
        <w:t> </w:t>
      </w:r>
      <w:r>
        <w:rPr>
          <w:i/>
        </w:rPr>
        <w:t>et</w:t>
      </w:r>
      <w:r>
        <w:rPr>
          <w:i/>
          <w:spacing w:val="18"/>
        </w:rPr>
        <w:t> </w:t>
      </w:r>
      <w:r>
        <w:rPr>
          <w:i/>
        </w:rPr>
        <w:t>al</w:t>
      </w:r>
      <w:r>
        <w:rPr/>
        <w:t>.,</w:t>
      </w:r>
      <w:r>
        <w:rPr>
          <w:spacing w:val="16"/>
        </w:rPr>
        <w:t> </w:t>
      </w:r>
      <w:r>
        <w:rPr/>
        <w:t>1992)</w:t>
      </w:r>
    </w:p>
    <w:p>
      <w:pPr>
        <w:spacing w:after="0" w:line="360" w:lineRule="auto"/>
        <w:jc w:val="both"/>
        <w:sectPr>
          <w:footerReference w:type="default" r:id="rId10"/>
          <w:pgSz w:w="12240" w:h="15840"/>
          <w:pgMar w:footer="1382" w:header="0" w:top="1500" w:bottom="1580" w:left="1720" w:right="1420"/>
        </w:sectPr>
      </w:pPr>
    </w:p>
    <w:p>
      <w:pPr>
        <w:pStyle w:val="BodyText"/>
        <w:spacing w:before="7"/>
        <w:rPr>
          <w:sz w:val="25"/>
        </w:rPr>
      </w:pPr>
    </w:p>
    <w:p>
      <w:pPr>
        <w:pStyle w:val="BodyText"/>
        <w:spacing w:line="360" w:lineRule="auto" w:before="70"/>
        <w:ind w:left="152" w:right="99"/>
        <w:jc w:val="both"/>
      </w:pPr>
      <w:r>
        <w:rPr/>
        <w:t>(Fig.3). El pH </w:t>
      </w:r>
      <w:r>
        <w:rPr>
          <w:spacing w:val="-3"/>
        </w:rPr>
        <w:t>ácido </w:t>
      </w:r>
      <w:r>
        <w:rPr/>
        <w:t>endosómico puede promover cambios necesarios para que los viriones escapen hacia el citosol, sin embargo parece </w:t>
      </w:r>
      <w:r>
        <w:rPr>
          <w:spacing w:val="-3"/>
        </w:rPr>
        <w:t>no </w:t>
      </w:r>
      <w:r>
        <w:rPr/>
        <w:t>ser una condición obligatoria para lograr </w:t>
      </w:r>
      <w:r>
        <w:rPr>
          <w:spacing w:val="-5"/>
        </w:rPr>
        <w:t>la </w:t>
      </w:r>
      <w:r>
        <w:rPr/>
        <w:t>entrada en dicho compartimento de </w:t>
      </w:r>
      <w:r>
        <w:rPr>
          <w:spacing w:val="-3"/>
        </w:rPr>
        <w:t>las </w:t>
      </w:r>
      <w:r>
        <w:rPr/>
        <w:t>células infectadas (Espinoza y Kuznar, 1997). Una vez en el interior de </w:t>
      </w:r>
      <w:r>
        <w:rPr>
          <w:spacing w:val="-5"/>
        </w:rPr>
        <w:t>la </w:t>
      </w:r>
      <w:r>
        <w:rPr/>
        <w:t>célula, las partículas del virión se desmontan y los ácidos nucleicos son liberados al endosoma. Los pasos siguientes incluyen replicación, transcripción y traducción.</w:t>
      </w:r>
      <w:r>
        <w:rPr>
          <w:spacing w:val="-2"/>
        </w:rPr>
        <w:t> </w:t>
      </w:r>
      <w:r>
        <w:rPr/>
        <w:t>Finalmente,</w:t>
      </w:r>
      <w:r>
        <w:rPr>
          <w:spacing w:val="-2"/>
        </w:rPr>
        <w:t> </w:t>
      </w:r>
      <w:r>
        <w:rPr>
          <w:spacing w:val="-3"/>
        </w:rPr>
        <w:t>las</w:t>
      </w:r>
      <w:r>
        <w:rPr>
          <w:spacing w:val="-6"/>
        </w:rPr>
        <w:t> </w:t>
      </w:r>
      <w:r>
        <w:rPr/>
        <w:t>partículas</w:t>
      </w:r>
      <w:r>
        <w:rPr>
          <w:spacing w:val="-6"/>
        </w:rPr>
        <w:t> </w:t>
      </w:r>
      <w:r>
        <w:rPr/>
        <w:t>virales</w:t>
      </w:r>
      <w:r>
        <w:rPr>
          <w:spacing w:val="-6"/>
        </w:rPr>
        <w:t> </w:t>
      </w:r>
      <w:r>
        <w:rPr/>
        <w:t>se</w:t>
      </w:r>
      <w:r>
        <w:rPr>
          <w:spacing w:val="-5"/>
        </w:rPr>
        <w:t> </w:t>
      </w:r>
      <w:r>
        <w:rPr/>
        <w:t>ensamblan</w:t>
      </w:r>
      <w:r>
        <w:rPr>
          <w:spacing w:val="-4"/>
        </w:rPr>
        <w:t> </w:t>
      </w:r>
      <w:r>
        <w:rPr/>
        <w:t>y</w:t>
      </w:r>
      <w:r>
        <w:rPr>
          <w:spacing w:val="-9"/>
        </w:rPr>
        <w:t> </w:t>
      </w:r>
      <w:r>
        <w:rPr/>
        <w:t>los</w:t>
      </w:r>
      <w:r>
        <w:rPr>
          <w:spacing w:val="-6"/>
        </w:rPr>
        <w:t> </w:t>
      </w:r>
      <w:r>
        <w:rPr/>
        <w:t>viriones</w:t>
      </w:r>
      <w:r>
        <w:rPr>
          <w:spacing w:val="-2"/>
        </w:rPr>
        <w:t> </w:t>
      </w:r>
      <w:r>
        <w:rPr/>
        <w:t>maduros</w:t>
      </w:r>
      <w:r>
        <w:rPr>
          <w:spacing w:val="-6"/>
        </w:rPr>
        <w:t> </w:t>
      </w:r>
      <w:r>
        <w:rPr/>
        <w:t>se</w:t>
      </w:r>
      <w:r>
        <w:rPr>
          <w:spacing w:val="-5"/>
        </w:rPr>
        <w:t> </w:t>
      </w:r>
      <w:r>
        <w:rPr/>
        <w:t>liberan a</w:t>
      </w:r>
      <w:r>
        <w:rPr>
          <w:spacing w:val="-6"/>
        </w:rPr>
        <w:t> </w:t>
      </w:r>
      <w:r>
        <w:rPr/>
        <w:t>partir</w:t>
      </w:r>
      <w:r>
        <w:rPr>
          <w:spacing w:val="-3"/>
        </w:rPr>
        <w:t> </w:t>
      </w:r>
      <w:r>
        <w:rPr/>
        <w:t>de</w:t>
      </w:r>
      <w:r>
        <w:rPr>
          <w:spacing w:val="-1"/>
        </w:rPr>
        <w:t> </w:t>
      </w:r>
      <w:r>
        <w:rPr>
          <w:spacing w:val="-5"/>
        </w:rPr>
        <w:t>la</w:t>
      </w:r>
      <w:r>
        <w:rPr>
          <w:spacing w:val="-6"/>
        </w:rPr>
        <w:t> </w:t>
      </w:r>
      <w:r>
        <w:rPr/>
        <w:t>célula</w:t>
      </w:r>
      <w:r>
        <w:rPr>
          <w:spacing w:val="-1"/>
        </w:rPr>
        <w:t> </w:t>
      </w:r>
      <w:r>
        <w:rPr/>
        <w:t>huésped</w:t>
      </w:r>
      <w:r>
        <w:rPr>
          <w:spacing w:val="-5"/>
        </w:rPr>
        <w:t> </w:t>
      </w:r>
      <w:r>
        <w:rPr/>
        <w:t>(Marsh</w:t>
      </w:r>
      <w:r>
        <w:rPr>
          <w:spacing w:val="-5"/>
        </w:rPr>
        <w:t> </w:t>
      </w:r>
      <w:r>
        <w:rPr/>
        <w:t>y</w:t>
      </w:r>
      <w:r>
        <w:rPr>
          <w:spacing w:val="-10"/>
        </w:rPr>
        <w:t> </w:t>
      </w:r>
      <w:r>
        <w:rPr/>
        <w:t>Helenius,</w:t>
      </w:r>
      <w:r>
        <w:rPr>
          <w:spacing w:val="2"/>
        </w:rPr>
        <w:t> </w:t>
      </w:r>
      <w:r>
        <w:rPr/>
        <w:t>1989).</w:t>
      </w:r>
      <w:r>
        <w:rPr>
          <w:spacing w:val="-2"/>
        </w:rPr>
        <w:t> </w:t>
      </w:r>
      <w:r>
        <w:rPr/>
        <w:t>Aunque</w:t>
      </w:r>
      <w:r>
        <w:rPr>
          <w:spacing w:val="-6"/>
        </w:rPr>
        <w:t> </w:t>
      </w:r>
      <w:r>
        <w:rPr/>
        <w:t>es</w:t>
      </w:r>
      <w:r>
        <w:rPr>
          <w:spacing w:val="-6"/>
        </w:rPr>
        <w:t> </w:t>
      </w:r>
      <w:r>
        <w:rPr/>
        <w:t>poco el</w:t>
      </w:r>
      <w:r>
        <w:rPr>
          <w:spacing w:val="-14"/>
        </w:rPr>
        <w:t> </w:t>
      </w:r>
      <w:r>
        <w:rPr/>
        <w:t>conocimiento que se</w:t>
      </w:r>
      <w:r>
        <w:rPr>
          <w:spacing w:val="-16"/>
        </w:rPr>
        <w:t> </w:t>
      </w:r>
      <w:r>
        <w:rPr/>
        <w:t>tiene</w:t>
      </w:r>
      <w:r>
        <w:rPr>
          <w:spacing w:val="-13"/>
        </w:rPr>
        <w:t> </w:t>
      </w:r>
      <w:r>
        <w:rPr/>
        <w:t>sobre</w:t>
      </w:r>
      <w:r>
        <w:rPr>
          <w:spacing w:val="-13"/>
        </w:rPr>
        <w:t> </w:t>
      </w:r>
      <w:r>
        <w:rPr>
          <w:spacing w:val="-5"/>
        </w:rPr>
        <w:t>la</w:t>
      </w:r>
      <w:r>
        <w:rPr>
          <w:spacing w:val="-13"/>
        </w:rPr>
        <w:t> </w:t>
      </w:r>
      <w:r>
        <w:rPr/>
        <w:t>interacción</w:t>
      </w:r>
      <w:r>
        <w:rPr>
          <w:spacing w:val="-20"/>
        </w:rPr>
        <w:t> </w:t>
      </w:r>
      <w:r>
        <w:rPr/>
        <w:t>virus-célula.</w:t>
      </w:r>
      <w:r>
        <w:rPr>
          <w:spacing w:val="-14"/>
        </w:rPr>
        <w:t> </w:t>
      </w:r>
      <w:r>
        <w:rPr/>
        <w:t>Según</w:t>
      </w:r>
      <w:r>
        <w:rPr>
          <w:spacing w:val="-20"/>
        </w:rPr>
        <w:t> </w:t>
      </w:r>
      <w:r>
        <w:rPr/>
        <w:t>Kuznar</w:t>
      </w:r>
      <w:r>
        <w:rPr>
          <w:spacing w:val="-13"/>
        </w:rPr>
        <w:t> </w:t>
      </w:r>
      <w:r>
        <w:rPr>
          <w:i/>
        </w:rPr>
        <w:t>et</w:t>
      </w:r>
      <w:r>
        <w:rPr>
          <w:i/>
          <w:spacing w:val="-15"/>
        </w:rPr>
        <w:t> </w:t>
      </w:r>
      <w:r>
        <w:rPr>
          <w:i/>
        </w:rPr>
        <w:t>al</w:t>
      </w:r>
      <w:r>
        <w:rPr/>
        <w:t>.,</w:t>
      </w:r>
      <w:r>
        <w:rPr>
          <w:spacing w:val="-13"/>
        </w:rPr>
        <w:t> </w:t>
      </w:r>
      <w:r>
        <w:rPr/>
        <w:t>(1995),</w:t>
      </w:r>
      <w:r>
        <w:rPr>
          <w:spacing w:val="-18"/>
        </w:rPr>
        <w:t> </w:t>
      </w:r>
      <w:r>
        <w:rPr/>
        <w:t>IPNV</w:t>
      </w:r>
      <w:r>
        <w:rPr>
          <w:spacing w:val="-16"/>
        </w:rPr>
        <w:t> </w:t>
      </w:r>
      <w:r>
        <w:rPr/>
        <w:t>se</w:t>
      </w:r>
      <w:r>
        <w:rPr>
          <w:spacing w:val="-16"/>
        </w:rPr>
        <w:t> </w:t>
      </w:r>
      <w:r>
        <w:rPr/>
        <w:t>une</w:t>
      </w:r>
      <w:r>
        <w:rPr>
          <w:spacing w:val="-16"/>
        </w:rPr>
        <w:t> </w:t>
      </w:r>
      <w:r>
        <w:rPr/>
        <w:t>de</w:t>
      </w:r>
      <w:r>
        <w:rPr>
          <w:spacing w:val="-16"/>
        </w:rPr>
        <w:t> </w:t>
      </w:r>
      <w:r>
        <w:rPr/>
        <w:t>manera específica y </w:t>
      </w:r>
      <w:r>
        <w:rPr>
          <w:spacing w:val="-3"/>
        </w:rPr>
        <w:t>no </w:t>
      </w:r>
      <w:r>
        <w:rPr/>
        <w:t>específica a células CHSE-214 por </w:t>
      </w:r>
      <w:r>
        <w:rPr>
          <w:spacing w:val="-4"/>
        </w:rPr>
        <w:t>medio </w:t>
      </w:r>
      <w:r>
        <w:rPr/>
        <w:t>de polipéptidos de 100-200 kDa que se encuentran en </w:t>
      </w:r>
      <w:r>
        <w:rPr>
          <w:spacing w:val="-3"/>
        </w:rPr>
        <w:t>la </w:t>
      </w:r>
      <w:r>
        <w:rPr/>
        <w:t>membrana celular, pero solamente </w:t>
      </w:r>
      <w:r>
        <w:rPr>
          <w:spacing w:val="-5"/>
        </w:rPr>
        <w:t>la </w:t>
      </w:r>
      <w:r>
        <w:rPr/>
        <w:t>unión de los receptores específicos puede generar una infección severa. La proteína </w:t>
      </w:r>
      <w:r>
        <w:rPr>
          <w:spacing w:val="2"/>
        </w:rPr>
        <w:t>VP2 </w:t>
      </w:r>
      <w:r>
        <w:rPr/>
        <w:t>parece ser </w:t>
      </w:r>
      <w:r>
        <w:rPr>
          <w:spacing w:val="-5"/>
        </w:rPr>
        <w:t>la </w:t>
      </w:r>
      <w:r>
        <w:rPr/>
        <w:t>proteína de unión de células (Dobos, 1976) al igual que otros virus de mamíferos que carecen de envoltura,</w:t>
      </w:r>
      <w:r>
        <w:rPr>
          <w:spacing w:val="-10"/>
        </w:rPr>
        <w:t> </w:t>
      </w:r>
      <w:r>
        <w:rPr>
          <w:spacing w:val="-3"/>
        </w:rPr>
        <w:t>pero</w:t>
      </w:r>
      <w:r>
        <w:rPr>
          <w:spacing w:val="-7"/>
        </w:rPr>
        <w:t> </w:t>
      </w:r>
      <w:r>
        <w:rPr/>
        <w:t>de</w:t>
      </w:r>
      <w:r>
        <w:rPr>
          <w:spacing w:val="-17"/>
        </w:rPr>
        <w:t> </w:t>
      </w:r>
      <w:r>
        <w:rPr/>
        <w:t>acuerdo</w:t>
      </w:r>
      <w:r>
        <w:rPr>
          <w:spacing w:val="-7"/>
        </w:rPr>
        <w:t> </w:t>
      </w:r>
      <w:r>
        <w:rPr/>
        <w:t>con</w:t>
      </w:r>
      <w:r>
        <w:rPr>
          <w:spacing w:val="-14"/>
        </w:rPr>
        <w:t> </w:t>
      </w:r>
      <w:r>
        <w:rPr/>
        <w:t>Granzow</w:t>
      </w:r>
      <w:r>
        <w:rPr>
          <w:spacing w:val="-11"/>
        </w:rPr>
        <w:t> </w:t>
      </w:r>
      <w:r>
        <w:rPr>
          <w:i/>
        </w:rPr>
        <w:t>et</w:t>
      </w:r>
      <w:r>
        <w:rPr>
          <w:i/>
          <w:spacing w:val="-16"/>
        </w:rPr>
        <w:t> </w:t>
      </w:r>
      <w:r>
        <w:rPr>
          <w:i/>
        </w:rPr>
        <w:t>al.,</w:t>
      </w:r>
      <w:r>
        <w:rPr>
          <w:i/>
          <w:spacing w:val="-14"/>
        </w:rPr>
        <w:t> </w:t>
      </w:r>
      <w:r>
        <w:rPr/>
        <w:t>(1997),</w:t>
      </w:r>
      <w:r>
        <w:rPr>
          <w:spacing w:val="-13"/>
        </w:rPr>
        <w:t> </w:t>
      </w:r>
      <w:r>
        <w:rPr/>
        <w:t>IPNV</w:t>
      </w:r>
      <w:r>
        <w:rPr>
          <w:spacing w:val="-17"/>
        </w:rPr>
        <w:t> </w:t>
      </w:r>
      <w:r>
        <w:rPr/>
        <w:t>es</w:t>
      </w:r>
      <w:r>
        <w:rPr>
          <w:spacing w:val="-14"/>
        </w:rPr>
        <w:t> </w:t>
      </w:r>
      <w:r>
        <w:rPr/>
        <w:t>internalizado</w:t>
      </w:r>
      <w:r>
        <w:rPr>
          <w:spacing w:val="-7"/>
        </w:rPr>
        <w:t> </w:t>
      </w:r>
      <w:r>
        <w:rPr/>
        <w:t>por</w:t>
      </w:r>
      <w:r>
        <w:rPr>
          <w:spacing w:val="-12"/>
        </w:rPr>
        <w:t> </w:t>
      </w:r>
      <w:r>
        <w:rPr/>
        <w:t>endocitosis mediada por receptores. En experimentos usando células CHSE-214 infectadas donde se ha marcado el RNA viral se reveló que </w:t>
      </w:r>
      <w:r>
        <w:rPr>
          <w:spacing w:val="-5"/>
        </w:rPr>
        <w:t>la </w:t>
      </w:r>
      <w:r>
        <w:rPr/>
        <w:t>tasa de síntesis de RNA específico del virus fue máxima a </w:t>
      </w:r>
      <w:r>
        <w:rPr>
          <w:spacing w:val="-3"/>
        </w:rPr>
        <w:t>las </w:t>
      </w:r>
      <w:r>
        <w:rPr/>
        <w:t>8-10 horas después de </w:t>
      </w:r>
      <w:r>
        <w:rPr>
          <w:spacing w:val="-5"/>
        </w:rPr>
        <w:t>la </w:t>
      </w:r>
      <w:r>
        <w:rPr/>
        <w:t>infección y completamente </w:t>
      </w:r>
      <w:r>
        <w:rPr>
          <w:spacing w:val="-3"/>
        </w:rPr>
        <w:t>disminuyó </w:t>
      </w:r>
      <w:r>
        <w:rPr/>
        <w:t>en unas 14 horas (Somogyi y Dobos, 1980). Tres formas de ARN han sido detectados: </w:t>
      </w:r>
      <w:r>
        <w:rPr>
          <w:spacing w:val="-3"/>
        </w:rPr>
        <w:t>la </w:t>
      </w:r>
      <w:r>
        <w:rPr/>
        <w:t>transcripción intermedia 14-16S, </w:t>
      </w:r>
      <w:r>
        <w:rPr>
          <w:spacing w:val="-3"/>
        </w:rPr>
        <w:t>la </w:t>
      </w:r>
      <w:r>
        <w:rPr/>
        <w:t>24S ssRNA (ARNm viral) y 14S dsRNA (RNA del virión). Además se sabe que el ARNm del segmento A se sintetiza de 2-3 veces más que el mRNA del segmento B, </w:t>
      </w:r>
      <w:r>
        <w:rPr>
          <w:spacing w:val="-5"/>
        </w:rPr>
        <w:t>lo </w:t>
      </w:r>
      <w:r>
        <w:rPr/>
        <w:t>que refleja </w:t>
      </w:r>
      <w:r>
        <w:rPr>
          <w:spacing w:val="-5"/>
        </w:rPr>
        <w:t>la </w:t>
      </w:r>
      <w:r>
        <w:rPr/>
        <w:t>abundante relación de polipéptidos principales del virión. El ARNm viral </w:t>
      </w:r>
      <w:r>
        <w:rPr>
          <w:spacing w:val="-3"/>
        </w:rPr>
        <w:t>no </w:t>
      </w:r>
      <w:r>
        <w:rPr/>
        <w:t>contiene poli-A (Dobos, 1995). En un trabajo de Espinoza </w:t>
      </w:r>
      <w:r>
        <w:rPr>
          <w:i/>
        </w:rPr>
        <w:t>et al</w:t>
      </w:r>
      <w:r>
        <w:rPr/>
        <w:t>., (2000) los resultados arrojaron que en infecciones tempranas, tanto VP2 y VP3 son sintetizados en poliribosomas libres y el ensamblamiento de IPNV empieza a realizarse cerca del núcleo de </w:t>
      </w:r>
      <w:r>
        <w:rPr>
          <w:spacing w:val="-3"/>
        </w:rPr>
        <w:t>la </w:t>
      </w:r>
      <w:r>
        <w:rPr/>
        <w:t>células después de que el “grueso” de RNA ha sido sintetizado. Sin embargo, poco se conoce del ensamblado de IPNV y </w:t>
      </w:r>
      <w:r>
        <w:rPr>
          <w:spacing w:val="-5"/>
        </w:rPr>
        <w:t>la </w:t>
      </w:r>
      <w:r>
        <w:rPr/>
        <w:t>liberación desde </w:t>
      </w:r>
      <w:r>
        <w:rPr>
          <w:spacing w:val="-5"/>
        </w:rPr>
        <w:t>la </w:t>
      </w:r>
      <w:r>
        <w:rPr/>
        <w:t>célula huésped. De acuerdo con Villanueva </w:t>
      </w:r>
      <w:r>
        <w:rPr>
          <w:i/>
        </w:rPr>
        <w:t>et al</w:t>
      </w:r>
      <w:r>
        <w:rPr/>
        <w:t>., (2004) el ensamblaje sufre dos epatas de maduración, </w:t>
      </w:r>
      <w:r>
        <w:rPr>
          <w:spacing w:val="-5"/>
        </w:rPr>
        <w:t>la </w:t>
      </w:r>
      <w:r>
        <w:rPr/>
        <w:t>primera es una partícula viral inmadura </w:t>
      </w:r>
      <w:r>
        <w:rPr>
          <w:spacing w:val="-3"/>
        </w:rPr>
        <w:t>no </w:t>
      </w:r>
      <w:r>
        <w:rPr/>
        <w:t>infectiva de 65-68 nm de diámetro, que está formado por </w:t>
      </w:r>
      <w:r>
        <w:rPr>
          <w:spacing w:val="-5"/>
        </w:rPr>
        <w:t>la </w:t>
      </w:r>
      <w:r>
        <w:rPr/>
        <w:t>pre- VP2</w:t>
      </w:r>
      <w:r>
        <w:rPr>
          <w:spacing w:val="-5"/>
        </w:rPr>
        <w:t> </w:t>
      </w:r>
      <w:r>
        <w:rPr/>
        <w:t>y</w:t>
      </w:r>
      <w:r>
        <w:rPr>
          <w:spacing w:val="-14"/>
        </w:rPr>
        <w:t> </w:t>
      </w:r>
      <w:r>
        <w:rPr/>
        <w:t>que</w:t>
      </w:r>
      <w:r>
        <w:rPr>
          <w:spacing w:val="-6"/>
        </w:rPr>
        <w:t> </w:t>
      </w:r>
      <w:r>
        <w:rPr/>
        <w:t>se</w:t>
      </w:r>
      <w:r>
        <w:rPr>
          <w:spacing w:val="-6"/>
        </w:rPr>
        <w:t> </w:t>
      </w:r>
      <w:r>
        <w:rPr/>
        <w:t>forma</w:t>
      </w:r>
      <w:r>
        <w:rPr>
          <w:spacing w:val="-6"/>
        </w:rPr>
        <w:t> </w:t>
      </w:r>
      <w:r>
        <w:rPr/>
        <w:t>al</w:t>
      </w:r>
      <w:r>
        <w:rPr>
          <w:spacing w:val="-9"/>
        </w:rPr>
        <w:t> </w:t>
      </w:r>
      <w:r>
        <w:rPr>
          <w:spacing w:val="-4"/>
        </w:rPr>
        <w:t>mismo</w:t>
      </w:r>
      <w:r>
        <w:rPr>
          <w:spacing w:val="-1"/>
        </w:rPr>
        <w:t> </w:t>
      </w:r>
      <w:r>
        <w:rPr/>
        <w:t>tiempo</w:t>
      </w:r>
      <w:r>
        <w:rPr>
          <w:spacing w:val="2"/>
        </w:rPr>
        <w:t> </w:t>
      </w:r>
      <w:r>
        <w:rPr/>
        <w:t>cuando</w:t>
      </w:r>
      <w:r>
        <w:rPr>
          <w:spacing w:val="-1"/>
        </w:rPr>
        <w:t> </w:t>
      </w:r>
      <w:r>
        <w:rPr>
          <w:spacing w:val="-5"/>
        </w:rPr>
        <w:t>la</w:t>
      </w:r>
      <w:r>
        <w:rPr>
          <w:spacing w:val="-6"/>
        </w:rPr>
        <w:t> </w:t>
      </w:r>
      <w:r>
        <w:rPr/>
        <w:t>síntesis</w:t>
      </w:r>
      <w:r>
        <w:rPr>
          <w:spacing w:val="-7"/>
        </w:rPr>
        <w:t> </w:t>
      </w:r>
      <w:r>
        <w:rPr/>
        <w:t>del</w:t>
      </w:r>
      <w:r>
        <w:rPr>
          <w:spacing w:val="-14"/>
        </w:rPr>
        <w:t> </w:t>
      </w:r>
      <w:r>
        <w:rPr/>
        <w:t>dsRNA</w:t>
      </w:r>
      <w:r>
        <w:rPr>
          <w:spacing w:val="-6"/>
        </w:rPr>
        <w:t> </w:t>
      </w:r>
      <w:r>
        <w:rPr/>
        <w:t>viral</w:t>
      </w:r>
      <w:r>
        <w:rPr>
          <w:spacing w:val="-9"/>
        </w:rPr>
        <w:t> </w:t>
      </w:r>
      <w:r>
        <w:rPr/>
        <w:t>ha</w:t>
      </w:r>
      <w:r>
        <w:rPr>
          <w:spacing w:val="-6"/>
        </w:rPr>
        <w:t> </w:t>
      </w:r>
      <w:r>
        <w:rPr/>
        <w:t>comenzado.</w:t>
      </w:r>
      <w:r>
        <w:rPr>
          <w:spacing w:val="-4"/>
        </w:rPr>
        <w:t> </w:t>
      </w:r>
      <w:r>
        <w:rPr/>
        <w:t>Esta</w:t>
      </w:r>
    </w:p>
    <w:p>
      <w:pPr>
        <w:spacing w:after="0" w:line="360" w:lineRule="auto"/>
        <w:jc w:val="both"/>
        <w:sectPr>
          <w:footerReference w:type="default" r:id="rId12"/>
          <w:pgSz w:w="12240" w:h="15840"/>
          <w:pgMar w:footer="1382" w:header="0" w:top="1500" w:bottom="1580" w:left="1720" w:right="1420"/>
          <w:pgNumType w:start="11"/>
        </w:sectPr>
      </w:pPr>
    </w:p>
    <w:p>
      <w:pPr>
        <w:pStyle w:val="BodyText"/>
        <w:spacing w:before="7"/>
        <w:rPr>
          <w:sz w:val="25"/>
        </w:rPr>
      </w:pPr>
    </w:p>
    <w:p>
      <w:pPr>
        <w:pStyle w:val="BodyText"/>
        <w:spacing w:line="360" w:lineRule="auto" w:before="70"/>
        <w:ind w:left="152" w:right="115"/>
        <w:jc w:val="both"/>
      </w:pPr>
      <w:r>
        <w:rPr/>
        <w:drawing>
          <wp:anchor distT="0" distB="0" distL="0" distR="0" allowOverlap="1" layoutInCell="1" locked="0" behindDoc="0" simplePos="0" relativeHeight="1120">
            <wp:simplePos x="0" y="0"/>
            <wp:positionH relativeFrom="page">
              <wp:posOffset>2218943</wp:posOffset>
            </wp:positionH>
            <wp:positionV relativeFrom="paragraph">
              <wp:posOffset>588822</wp:posOffset>
            </wp:positionV>
            <wp:extent cx="2875412" cy="3028950"/>
            <wp:effectExtent l="0" t="0" r="0" b="0"/>
            <wp:wrapTopAndBottom/>
            <wp:docPr id="9" name="image4.jpeg" descr=""/>
            <wp:cNvGraphicFramePr>
              <a:graphicFrameLocks noChangeAspect="1"/>
            </wp:cNvGraphicFramePr>
            <a:graphic>
              <a:graphicData uri="http://schemas.openxmlformats.org/drawingml/2006/picture">
                <pic:pic>
                  <pic:nvPicPr>
                    <pic:cNvPr id="10" name="image4.jpeg"/>
                    <pic:cNvPicPr/>
                  </pic:nvPicPr>
                  <pic:blipFill>
                    <a:blip r:embed="rId13" cstate="print"/>
                    <a:stretch>
                      <a:fillRect/>
                    </a:stretch>
                  </pic:blipFill>
                  <pic:spPr>
                    <a:xfrm>
                      <a:off x="0" y="0"/>
                      <a:ext cx="2875412" cy="3028950"/>
                    </a:xfrm>
                    <a:prstGeom prst="rect">
                      <a:avLst/>
                    </a:prstGeom>
                  </pic:spPr>
                </pic:pic>
              </a:graphicData>
            </a:graphic>
          </wp:anchor>
        </w:drawing>
      </w:r>
      <w:r>
        <w:rPr/>
        <w:t>partícula viral inmadura es la precursora de la partícula viral madura de 60 nm de diámetro formada con la VP2 madura.</w:t>
      </w:r>
    </w:p>
    <w:p>
      <w:pPr>
        <w:spacing w:line="360" w:lineRule="auto" w:before="138"/>
        <w:ind w:left="152" w:right="103" w:firstLine="0"/>
        <w:jc w:val="both"/>
        <w:rPr>
          <w:sz w:val="20"/>
        </w:rPr>
      </w:pPr>
      <w:r>
        <w:rPr>
          <w:sz w:val="20"/>
        </w:rPr>
        <w:t>Figura 3: IPNV ingresa en células de gónada trucha arco iris (RTG-2) por endocitosis. Micrografía electrónica (Granzow </w:t>
      </w:r>
      <w:r>
        <w:rPr>
          <w:i/>
          <w:sz w:val="20"/>
        </w:rPr>
        <w:t>et al</w:t>
      </w:r>
      <w:r>
        <w:rPr>
          <w:sz w:val="20"/>
        </w:rPr>
        <w:t>., 1997) Bar = 100 nm.</w:t>
      </w:r>
    </w:p>
    <w:p>
      <w:pPr>
        <w:pStyle w:val="BodyText"/>
        <w:rPr>
          <w:sz w:val="20"/>
        </w:rPr>
      </w:pPr>
    </w:p>
    <w:p>
      <w:pPr>
        <w:pStyle w:val="BodyText"/>
        <w:spacing w:before="9"/>
        <w:rPr>
          <w:sz w:val="16"/>
        </w:rPr>
      </w:pPr>
    </w:p>
    <w:p>
      <w:pPr>
        <w:pStyle w:val="Heading2"/>
        <w:spacing w:before="0"/>
        <w:ind w:left="152" w:firstLine="0"/>
        <w:rPr>
          <w:i/>
        </w:rPr>
      </w:pPr>
      <w:bookmarkStart w:name="_bookmark9" w:id="15"/>
      <w:bookmarkEnd w:id="15"/>
      <w:r>
        <w:rPr>
          <w:b w:val="0"/>
          <w:i w:val="0"/>
        </w:rPr>
      </w:r>
      <w:r>
        <w:rPr>
          <w:i/>
        </w:rPr>
        <w:t>2.2.3 Determinantes moleculares de virulencia de IPNV</w:t>
      </w:r>
    </w:p>
    <w:p>
      <w:pPr>
        <w:pStyle w:val="BodyText"/>
        <w:spacing w:line="360" w:lineRule="auto" w:before="36"/>
        <w:ind w:left="152" w:right="101"/>
        <w:jc w:val="both"/>
      </w:pPr>
      <w:r>
        <w:rPr/>
        <w:t>Análisis de secuencia de nucleótidos de los residuos de </w:t>
      </w:r>
      <w:r>
        <w:rPr>
          <w:spacing w:val="-5"/>
        </w:rPr>
        <w:t>la </w:t>
      </w:r>
      <w:r>
        <w:rPr/>
        <w:t>proteína VP2 han demostrado que este</w:t>
      </w:r>
      <w:r>
        <w:rPr>
          <w:spacing w:val="-10"/>
        </w:rPr>
        <w:t> </w:t>
      </w:r>
      <w:r>
        <w:rPr/>
        <w:t>péptido</w:t>
      </w:r>
      <w:r>
        <w:rPr>
          <w:spacing w:val="-4"/>
        </w:rPr>
        <w:t> </w:t>
      </w:r>
      <w:r>
        <w:rPr/>
        <w:t>es</w:t>
      </w:r>
      <w:r>
        <w:rPr>
          <w:spacing w:val="-12"/>
        </w:rPr>
        <w:t> </w:t>
      </w:r>
      <w:r>
        <w:rPr/>
        <w:t>el</w:t>
      </w:r>
      <w:r>
        <w:rPr>
          <w:spacing w:val="-19"/>
        </w:rPr>
        <w:t> </w:t>
      </w:r>
      <w:r>
        <w:rPr/>
        <w:t>principal</w:t>
      </w:r>
      <w:r>
        <w:rPr>
          <w:spacing w:val="-14"/>
        </w:rPr>
        <w:t> </w:t>
      </w:r>
      <w:r>
        <w:rPr/>
        <w:t>determinante</w:t>
      </w:r>
      <w:r>
        <w:rPr>
          <w:spacing w:val="-11"/>
        </w:rPr>
        <w:t> </w:t>
      </w:r>
      <w:r>
        <w:rPr/>
        <w:t>de</w:t>
      </w:r>
      <w:r>
        <w:rPr>
          <w:spacing w:val="-11"/>
        </w:rPr>
        <w:t> </w:t>
      </w:r>
      <w:r>
        <w:rPr/>
        <w:t>virulencia</w:t>
      </w:r>
      <w:r>
        <w:rPr>
          <w:spacing w:val="-6"/>
        </w:rPr>
        <w:t> </w:t>
      </w:r>
      <w:r>
        <w:rPr/>
        <w:t>de</w:t>
      </w:r>
      <w:r>
        <w:rPr>
          <w:spacing w:val="-11"/>
        </w:rPr>
        <w:t> </w:t>
      </w:r>
      <w:r>
        <w:rPr/>
        <w:t>IPNV</w:t>
      </w:r>
      <w:r>
        <w:rPr>
          <w:spacing w:val="-11"/>
        </w:rPr>
        <w:t> </w:t>
      </w:r>
      <w:r>
        <w:rPr/>
        <w:t>(Bruslind</w:t>
      </w:r>
      <w:r>
        <w:rPr>
          <w:spacing w:val="-5"/>
        </w:rPr>
        <w:t> </w:t>
      </w:r>
      <w:r>
        <w:rPr/>
        <w:t>y</w:t>
      </w:r>
      <w:r>
        <w:rPr>
          <w:spacing w:val="-14"/>
        </w:rPr>
        <w:t> </w:t>
      </w:r>
      <w:r>
        <w:rPr/>
        <w:t>Reno</w:t>
      </w:r>
      <w:r>
        <w:rPr>
          <w:spacing w:val="-5"/>
        </w:rPr>
        <w:t> </w:t>
      </w:r>
      <w:r>
        <w:rPr/>
        <w:t>2000;</w:t>
      </w:r>
      <w:r>
        <w:rPr>
          <w:spacing w:val="-12"/>
        </w:rPr>
        <w:t> </w:t>
      </w:r>
      <w:r>
        <w:rPr/>
        <w:t>Santi </w:t>
      </w:r>
      <w:r>
        <w:rPr>
          <w:i/>
        </w:rPr>
        <w:t>et al</w:t>
      </w:r>
      <w:r>
        <w:rPr/>
        <w:t>., 2004; Shivappa </w:t>
      </w:r>
      <w:r>
        <w:rPr>
          <w:i/>
        </w:rPr>
        <w:t>et al., </w:t>
      </w:r>
      <w:r>
        <w:rPr/>
        <w:t>2004). En trabajos se </w:t>
      </w:r>
      <w:r>
        <w:rPr>
          <w:spacing w:val="-3"/>
        </w:rPr>
        <w:t>ha </w:t>
      </w:r>
      <w:r>
        <w:rPr/>
        <w:t>observado que IPNV pierde virulencia con pasajes en células CHSE-214 y que una cepa virulenta del serotipo Sp perdió su virulencia</w:t>
      </w:r>
      <w:r>
        <w:rPr>
          <w:spacing w:val="-7"/>
        </w:rPr>
        <w:t> </w:t>
      </w:r>
      <w:r>
        <w:rPr/>
        <w:t>después</w:t>
      </w:r>
      <w:r>
        <w:rPr>
          <w:spacing w:val="-8"/>
        </w:rPr>
        <w:t> </w:t>
      </w:r>
      <w:r>
        <w:rPr/>
        <w:t>de</w:t>
      </w:r>
      <w:r>
        <w:rPr>
          <w:spacing w:val="-7"/>
        </w:rPr>
        <w:t> </w:t>
      </w:r>
      <w:r>
        <w:rPr/>
        <w:t>13</w:t>
      </w:r>
      <w:r>
        <w:rPr>
          <w:spacing w:val="-6"/>
        </w:rPr>
        <w:t> </w:t>
      </w:r>
      <w:r>
        <w:rPr/>
        <w:t>pasajes</w:t>
      </w:r>
      <w:r>
        <w:rPr>
          <w:spacing w:val="-8"/>
        </w:rPr>
        <w:t> </w:t>
      </w:r>
      <w:r>
        <w:rPr/>
        <w:t>en</w:t>
      </w:r>
      <w:r>
        <w:rPr>
          <w:spacing w:val="-11"/>
        </w:rPr>
        <w:t> </w:t>
      </w:r>
      <w:r>
        <w:rPr/>
        <w:t>células</w:t>
      </w:r>
      <w:r>
        <w:rPr>
          <w:spacing w:val="-8"/>
        </w:rPr>
        <w:t> </w:t>
      </w:r>
      <w:r>
        <w:rPr/>
        <w:t>RTG-2</w:t>
      </w:r>
      <w:r>
        <w:rPr>
          <w:spacing w:val="-11"/>
        </w:rPr>
        <w:t> </w:t>
      </w:r>
      <w:r>
        <w:rPr/>
        <w:t>(Dorson</w:t>
      </w:r>
      <w:r>
        <w:rPr>
          <w:spacing w:val="-10"/>
        </w:rPr>
        <w:t> </w:t>
      </w:r>
      <w:r>
        <w:rPr>
          <w:i/>
        </w:rPr>
        <w:t>et</w:t>
      </w:r>
      <w:r>
        <w:rPr>
          <w:i/>
          <w:spacing w:val="-10"/>
        </w:rPr>
        <w:t> </w:t>
      </w:r>
      <w:r>
        <w:rPr>
          <w:i/>
        </w:rPr>
        <w:t>al</w:t>
      </w:r>
      <w:r>
        <w:rPr/>
        <w:t>.,</w:t>
      </w:r>
      <w:r>
        <w:rPr>
          <w:spacing w:val="-8"/>
        </w:rPr>
        <w:t> </w:t>
      </w:r>
      <w:r>
        <w:rPr/>
        <w:t>1978;</w:t>
      </w:r>
      <w:r>
        <w:rPr>
          <w:spacing w:val="-10"/>
        </w:rPr>
        <w:t> </w:t>
      </w:r>
      <w:r>
        <w:rPr/>
        <w:t>McAllister</w:t>
      </w:r>
      <w:r>
        <w:rPr>
          <w:spacing w:val="-4"/>
        </w:rPr>
        <w:t> </w:t>
      </w:r>
      <w:r>
        <w:rPr/>
        <w:t>y</w:t>
      </w:r>
      <w:r>
        <w:rPr>
          <w:spacing w:val="-15"/>
        </w:rPr>
        <w:t> </w:t>
      </w:r>
      <w:r>
        <w:rPr/>
        <w:t>Owens 1986). Por otra parte Bruslind y Reno (2000) identificaron diferencias entre aminoácidos en las posiciones 217 y 286 de VP2 que se pueden distinguir en aislados virales de cepas de distinta virulencia. Esta variación de </w:t>
      </w:r>
      <w:r>
        <w:rPr>
          <w:spacing w:val="-3"/>
        </w:rPr>
        <w:t>la </w:t>
      </w:r>
      <w:r>
        <w:rPr/>
        <w:t>virulencia entre cepas puede ser un reflejo </w:t>
      </w:r>
      <w:r>
        <w:rPr>
          <w:spacing w:val="4"/>
        </w:rPr>
        <w:t>de </w:t>
      </w:r>
      <w:r>
        <w:rPr>
          <w:spacing w:val="-5"/>
        </w:rPr>
        <w:t>la </w:t>
      </w:r>
      <w:r>
        <w:rPr/>
        <w:t>compleja naturaleza de enfermedad de IPN. Tal es </w:t>
      </w:r>
      <w:r>
        <w:rPr>
          <w:spacing w:val="-3"/>
        </w:rPr>
        <w:t>la </w:t>
      </w:r>
      <w:r>
        <w:rPr/>
        <w:t>situación que </w:t>
      </w:r>
      <w:r>
        <w:rPr>
          <w:spacing w:val="-3"/>
        </w:rPr>
        <w:t>las </w:t>
      </w:r>
      <w:r>
        <w:rPr/>
        <w:t>posiciones 217, 221, 247, 500 de VP2 de </w:t>
      </w:r>
      <w:r>
        <w:rPr>
          <w:spacing w:val="-3"/>
        </w:rPr>
        <w:t>la </w:t>
      </w:r>
      <w:r>
        <w:rPr/>
        <w:t>cepa Sp de acuerdo estudios realizados por Santi </w:t>
      </w:r>
      <w:r>
        <w:rPr>
          <w:i/>
        </w:rPr>
        <w:t>et al., </w:t>
      </w:r>
      <w:r>
        <w:rPr/>
        <w:t>(2003) y Shivappa </w:t>
      </w:r>
      <w:r>
        <w:rPr>
          <w:i/>
        </w:rPr>
        <w:t>et al., </w:t>
      </w:r>
      <w:r>
        <w:rPr/>
        <w:t>(2004) podrían</w:t>
      </w:r>
      <w:r>
        <w:rPr>
          <w:spacing w:val="-44"/>
        </w:rPr>
        <w:t> </w:t>
      </w:r>
      <w:r>
        <w:rPr/>
        <w:t>estar implicados en </w:t>
      </w:r>
      <w:r>
        <w:rPr>
          <w:spacing w:val="-5"/>
        </w:rPr>
        <w:t>la </w:t>
      </w:r>
      <w:r>
        <w:rPr/>
        <w:t>virulencia de IPNV. Además, estudios llevados a cabo por Song </w:t>
      </w:r>
      <w:r>
        <w:rPr>
          <w:i/>
        </w:rPr>
        <w:t>et al., </w:t>
      </w:r>
      <w:r>
        <w:rPr/>
        <w:t>(2005) revelan que residuos de Thr (treonina) en </w:t>
      </w:r>
      <w:r>
        <w:rPr>
          <w:spacing w:val="-3"/>
        </w:rPr>
        <w:t>la</w:t>
      </w:r>
      <w:r>
        <w:rPr>
          <w:spacing w:val="-20"/>
        </w:rPr>
        <w:t> </w:t>
      </w:r>
      <w:r>
        <w:rPr/>
        <w:t>posición</w:t>
      </w:r>
    </w:p>
    <w:p>
      <w:pPr>
        <w:spacing w:after="0" w:line="360" w:lineRule="auto"/>
        <w:jc w:val="both"/>
        <w:sectPr>
          <w:pgSz w:w="12240" w:h="15840"/>
          <w:pgMar w:header="0" w:footer="1382" w:top="1500" w:bottom="1580" w:left="1720" w:right="1420"/>
        </w:sectPr>
      </w:pPr>
    </w:p>
    <w:p>
      <w:pPr>
        <w:pStyle w:val="BodyText"/>
        <w:spacing w:before="7"/>
        <w:rPr>
          <w:sz w:val="25"/>
        </w:rPr>
      </w:pPr>
    </w:p>
    <w:p>
      <w:pPr>
        <w:pStyle w:val="BodyText"/>
        <w:spacing w:line="360" w:lineRule="auto" w:before="70"/>
        <w:ind w:left="152" w:right="106"/>
        <w:jc w:val="both"/>
      </w:pPr>
      <w:r>
        <w:rPr/>
        <w:t>217 (Thr 217) y Ala (alanina) 221 de </w:t>
      </w:r>
      <w:r>
        <w:rPr>
          <w:spacing w:val="-3"/>
        </w:rPr>
        <w:t>la </w:t>
      </w:r>
      <w:r>
        <w:rPr/>
        <w:t>proteína VP2 son los mayores determinantes de </w:t>
      </w:r>
      <w:r>
        <w:rPr>
          <w:spacing w:val="-5"/>
        </w:rPr>
        <w:t>la </w:t>
      </w:r>
      <w:r>
        <w:rPr/>
        <w:t>virulencia</w:t>
      </w:r>
      <w:r>
        <w:rPr>
          <w:spacing w:val="-8"/>
        </w:rPr>
        <w:t> </w:t>
      </w:r>
      <w:r>
        <w:rPr/>
        <w:t>de</w:t>
      </w:r>
      <w:r>
        <w:rPr>
          <w:spacing w:val="-8"/>
        </w:rPr>
        <w:t> </w:t>
      </w:r>
      <w:r>
        <w:rPr/>
        <w:t>IPNV</w:t>
      </w:r>
      <w:r>
        <w:rPr>
          <w:spacing w:val="-8"/>
        </w:rPr>
        <w:t> </w:t>
      </w:r>
      <w:r>
        <w:rPr/>
        <w:t>del</w:t>
      </w:r>
      <w:r>
        <w:rPr>
          <w:spacing w:val="-16"/>
        </w:rPr>
        <w:t> </w:t>
      </w:r>
      <w:r>
        <w:rPr/>
        <w:t>serotipo</w:t>
      </w:r>
      <w:r>
        <w:rPr>
          <w:spacing w:val="-2"/>
        </w:rPr>
        <w:t> </w:t>
      </w:r>
      <w:r>
        <w:rPr/>
        <w:t>Sp.</w:t>
      </w:r>
      <w:r>
        <w:rPr>
          <w:spacing w:val="-8"/>
        </w:rPr>
        <w:t> </w:t>
      </w:r>
      <w:r>
        <w:rPr/>
        <w:t>Estos</w:t>
      </w:r>
      <w:r>
        <w:rPr>
          <w:spacing w:val="-9"/>
        </w:rPr>
        <w:t> </w:t>
      </w:r>
      <w:r>
        <w:rPr/>
        <w:t>autores</w:t>
      </w:r>
      <w:r>
        <w:rPr>
          <w:spacing w:val="-9"/>
        </w:rPr>
        <w:t> </w:t>
      </w:r>
      <w:r>
        <w:rPr/>
        <w:t>estipulan</w:t>
      </w:r>
      <w:r>
        <w:rPr>
          <w:spacing w:val="-12"/>
        </w:rPr>
        <w:t> </w:t>
      </w:r>
      <w:r>
        <w:rPr/>
        <w:t>que</w:t>
      </w:r>
      <w:r>
        <w:rPr>
          <w:spacing w:val="-8"/>
        </w:rPr>
        <w:t> </w:t>
      </w:r>
      <w:r>
        <w:rPr/>
        <w:t>aislados</w:t>
      </w:r>
      <w:r>
        <w:rPr>
          <w:spacing w:val="-9"/>
        </w:rPr>
        <w:t> </w:t>
      </w:r>
      <w:r>
        <w:rPr/>
        <w:t>de</w:t>
      </w:r>
      <w:r>
        <w:rPr>
          <w:spacing w:val="-4"/>
        </w:rPr>
        <w:t> </w:t>
      </w:r>
      <w:r>
        <w:rPr/>
        <w:t>mayor</w:t>
      </w:r>
      <w:r>
        <w:rPr>
          <w:spacing w:val="-5"/>
        </w:rPr>
        <w:t> </w:t>
      </w:r>
      <w:r>
        <w:rPr/>
        <w:t>virulencia poseen residuos de Thr en </w:t>
      </w:r>
      <w:r>
        <w:rPr>
          <w:spacing w:val="-5"/>
        </w:rPr>
        <w:t>la </w:t>
      </w:r>
      <w:r>
        <w:rPr/>
        <w:t>posición 217 y Ala en 221; de moderada virulencia se</w:t>
      </w:r>
      <w:r>
        <w:rPr>
          <w:spacing w:val="-36"/>
        </w:rPr>
        <w:t> </w:t>
      </w:r>
      <w:r>
        <w:rPr/>
        <w:t>encontró en cepas con residuos de Pro (prolina) 217 y Ala 221; y cepas que contienen Thr 221, independiente del residuo en </w:t>
      </w:r>
      <w:r>
        <w:rPr>
          <w:spacing w:val="-5"/>
        </w:rPr>
        <w:t>la </w:t>
      </w:r>
      <w:r>
        <w:rPr/>
        <w:t>posición 217 son denominados</w:t>
      </w:r>
      <w:r>
        <w:rPr>
          <w:spacing w:val="-2"/>
        </w:rPr>
        <w:t> </w:t>
      </w:r>
      <w:r>
        <w:rPr/>
        <w:t>avirulentos.</w:t>
      </w:r>
    </w:p>
    <w:p>
      <w:pPr>
        <w:pStyle w:val="BodyText"/>
      </w:pPr>
    </w:p>
    <w:p>
      <w:pPr>
        <w:pStyle w:val="Heading2"/>
        <w:numPr>
          <w:ilvl w:val="1"/>
          <w:numId w:val="7"/>
        </w:numPr>
        <w:tabs>
          <w:tab w:pos="575" w:val="left" w:leader="none"/>
        </w:tabs>
        <w:spacing w:line="240" w:lineRule="auto" w:before="146" w:after="0"/>
        <w:ind w:left="574" w:right="0" w:hanging="422"/>
        <w:jc w:val="both"/>
        <w:rPr>
          <w:i/>
        </w:rPr>
      </w:pPr>
      <w:bookmarkStart w:name="_bookmark10" w:id="16"/>
      <w:bookmarkEnd w:id="16"/>
      <w:r>
        <w:rPr>
          <w:b w:val="0"/>
          <w:i w:val="0"/>
        </w:rPr>
      </w:r>
      <w:bookmarkStart w:name="_bookmark10" w:id="17"/>
      <w:bookmarkEnd w:id="17"/>
      <w:r>
        <w:rPr>
          <w:i/>
        </w:rPr>
        <w:t>E</w:t>
      </w:r>
      <w:r>
        <w:rPr>
          <w:i/>
        </w:rPr>
        <w:t>pidemiología</w:t>
      </w:r>
    </w:p>
    <w:p>
      <w:pPr>
        <w:pStyle w:val="BodyText"/>
        <w:spacing w:line="360" w:lineRule="auto" w:before="132"/>
        <w:ind w:left="152" w:right="99"/>
        <w:jc w:val="both"/>
      </w:pPr>
      <w:r>
        <w:rPr/>
        <w:t>Trabajos</w:t>
      </w:r>
      <w:r>
        <w:rPr>
          <w:spacing w:val="-6"/>
        </w:rPr>
        <w:t> </w:t>
      </w:r>
      <w:r>
        <w:rPr/>
        <w:t>realizados</w:t>
      </w:r>
      <w:r>
        <w:rPr>
          <w:spacing w:val="-4"/>
        </w:rPr>
        <w:t> </w:t>
      </w:r>
      <w:r>
        <w:rPr/>
        <w:t>señalan</w:t>
      </w:r>
      <w:r>
        <w:rPr>
          <w:spacing w:val="-9"/>
        </w:rPr>
        <w:t> </w:t>
      </w:r>
      <w:r>
        <w:rPr/>
        <w:t>que</w:t>
      </w:r>
      <w:r>
        <w:rPr>
          <w:spacing w:val="-4"/>
        </w:rPr>
        <w:t> </w:t>
      </w:r>
      <w:r>
        <w:rPr/>
        <w:t>IPNV</w:t>
      </w:r>
      <w:r>
        <w:rPr>
          <w:spacing w:val="-10"/>
        </w:rPr>
        <w:t> </w:t>
      </w:r>
      <w:r>
        <w:rPr/>
        <w:t>generalmente</w:t>
      </w:r>
      <w:r>
        <w:rPr>
          <w:spacing w:val="-5"/>
        </w:rPr>
        <w:t> </w:t>
      </w:r>
      <w:r>
        <w:rPr/>
        <w:t>causa</w:t>
      </w:r>
      <w:r>
        <w:rPr>
          <w:spacing w:val="-5"/>
        </w:rPr>
        <w:t> </w:t>
      </w:r>
      <w:r>
        <w:rPr/>
        <w:t>alta</w:t>
      </w:r>
      <w:r>
        <w:rPr>
          <w:spacing w:val="-5"/>
        </w:rPr>
        <w:t> </w:t>
      </w:r>
      <w:r>
        <w:rPr/>
        <w:t>mortalidad</w:t>
      </w:r>
      <w:r>
        <w:rPr>
          <w:spacing w:val="-4"/>
        </w:rPr>
        <w:t> </w:t>
      </w:r>
      <w:r>
        <w:rPr/>
        <w:t>en</w:t>
      </w:r>
      <w:r>
        <w:rPr>
          <w:spacing w:val="-6"/>
        </w:rPr>
        <w:t> </w:t>
      </w:r>
      <w:r>
        <w:rPr/>
        <w:t>peces</w:t>
      </w:r>
      <w:r>
        <w:rPr>
          <w:spacing w:val="-1"/>
        </w:rPr>
        <w:t> </w:t>
      </w:r>
      <w:r>
        <w:rPr/>
        <w:t>jóvenes, mientras</w:t>
      </w:r>
      <w:r>
        <w:rPr>
          <w:spacing w:val="-7"/>
        </w:rPr>
        <w:t> </w:t>
      </w:r>
      <w:r>
        <w:rPr/>
        <w:t>que</w:t>
      </w:r>
      <w:r>
        <w:rPr>
          <w:spacing w:val="-6"/>
        </w:rPr>
        <w:t> </w:t>
      </w:r>
      <w:r>
        <w:rPr/>
        <w:t>ésta</w:t>
      </w:r>
      <w:r>
        <w:rPr>
          <w:spacing w:val="-4"/>
        </w:rPr>
        <w:t> </w:t>
      </w:r>
      <w:r>
        <w:rPr/>
        <w:t>es</w:t>
      </w:r>
      <w:r>
        <w:rPr>
          <w:spacing w:val="-7"/>
        </w:rPr>
        <w:t> </w:t>
      </w:r>
      <w:r>
        <w:rPr/>
        <w:t>relativamente</w:t>
      </w:r>
      <w:r>
        <w:rPr>
          <w:spacing w:val="-6"/>
        </w:rPr>
        <w:t> </w:t>
      </w:r>
      <w:r>
        <w:rPr/>
        <w:t>rara</w:t>
      </w:r>
      <w:r>
        <w:rPr>
          <w:spacing w:val="-6"/>
        </w:rPr>
        <w:t> </w:t>
      </w:r>
      <w:r>
        <w:rPr/>
        <w:t>en</w:t>
      </w:r>
      <w:r>
        <w:rPr>
          <w:spacing w:val="-10"/>
        </w:rPr>
        <w:t> </w:t>
      </w:r>
      <w:r>
        <w:rPr/>
        <w:t>peces</w:t>
      </w:r>
      <w:r>
        <w:rPr>
          <w:spacing w:val="-7"/>
        </w:rPr>
        <w:t> </w:t>
      </w:r>
      <w:r>
        <w:rPr/>
        <w:t>adultos</w:t>
      </w:r>
      <w:r>
        <w:rPr>
          <w:spacing w:val="-8"/>
        </w:rPr>
        <w:t> </w:t>
      </w:r>
      <w:r>
        <w:rPr/>
        <w:t>(Roberts</w:t>
      </w:r>
      <w:r>
        <w:rPr>
          <w:spacing w:val="-7"/>
        </w:rPr>
        <w:t> </w:t>
      </w:r>
      <w:r>
        <w:rPr/>
        <w:t>y</w:t>
      </w:r>
      <w:r>
        <w:rPr>
          <w:spacing w:val="-14"/>
        </w:rPr>
        <w:t> </w:t>
      </w:r>
      <w:r>
        <w:rPr/>
        <w:t>Pearson,</w:t>
      </w:r>
      <w:r>
        <w:rPr>
          <w:spacing w:val="-3"/>
        </w:rPr>
        <w:t> </w:t>
      </w:r>
      <w:r>
        <w:rPr/>
        <w:t>2005).</w:t>
      </w:r>
      <w:r>
        <w:rPr>
          <w:spacing w:val="-3"/>
        </w:rPr>
        <w:t> </w:t>
      </w:r>
      <w:r>
        <w:rPr/>
        <w:t>También se</w:t>
      </w:r>
      <w:r>
        <w:rPr>
          <w:spacing w:val="-7"/>
        </w:rPr>
        <w:t> </w:t>
      </w:r>
      <w:r>
        <w:rPr>
          <w:spacing w:val="-3"/>
        </w:rPr>
        <w:t>ha</w:t>
      </w:r>
      <w:r>
        <w:rPr>
          <w:spacing w:val="-12"/>
        </w:rPr>
        <w:t> </w:t>
      </w:r>
      <w:r>
        <w:rPr/>
        <w:t>reportado</w:t>
      </w:r>
      <w:r>
        <w:rPr>
          <w:spacing w:val="-5"/>
        </w:rPr>
        <w:t> </w:t>
      </w:r>
      <w:r>
        <w:rPr/>
        <w:t>que</w:t>
      </w:r>
      <w:r>
        <w:rPr>
          <w:spacing w:val="-12"/>
        </w:rPr>
        <w:t> </w:t>
      </w:r>
      <w:r>
        <w:rPr/>
        <w:t>animales</w:t>
      </w:r>
      <w:r>
        <w:rPr>
          <w:spacing w:val="-13"/>
        </w:rPr>
        <w:t> </w:t>
      </w:r>
      <w:r>
        <w:rPr/>
        <w:t>que</w:t>
      </w:r>
      <w:r>
        <w:rPr>
          <w:spacing w:val="-6"/>
        </w:rPr>
        <w:t> </w:t>
      </w:r>
      <w:r>
        <w:rPr/>
        <w:t>logran</w:t>
      </w:r>
      <w:r>
        <w:rPr>
          <w:spacing w:val="-15"/>
        </w:rPr>
        <w:t> </w:t>
      </w:r>
      <w:r>
        <w:rPr/>
        <w:t>sobrevivir</w:t>
      </w:r>
      <w:r>
        <w:rPr>
          <w:spacing w:val="-4"/>
        </w:rPr>
        <w:t> </w:t>
      </w:r>
      <w:r>
        <w:rPr/>
        <w:t>a</w:t>
      </w:r>
      <w:r>
        <w:rPr>
          <w:spacing w:val="-7"/>
        </w:rPr>
        <w:t> </w:t>
      </w:r>
      <w:r>
        <w:rPr>
          <w:spacing w:val="-5"/>
        </w:rPr>
        <w:t>la</w:t>
      </w:r>
      <w:r>
        <w:rPr>
          <w:spacing w:val="-7"/>
        </w:rPr>
        <w:t> </w:t>
      </w:r>
      <w:r>
        <w:rPr/>
        <w:t>infección</w:t>
      </w:r>
      <w:r>
        <w:rPr>
          <w:spacing w:val="-13"/>
        </w:rPr>
        <w:t> </w:t>
      </w:r>
      <w:r>
        <w:rPr/>
        <w:t>en</w:t>
      </w:r>
      <w:r>
        <w:rPr>
          <w:spacing w:val="-11"/>
        </w:rPr>
        <w:t> </w:t>
      </w:r>
      <w:r>
        <w:rPr/>
        <w:t>las</w:t>
      </w:r>
      <w:r>
        <w:rPr>
          <w:spacing w:val="-8"/>
        </w:rPr>
        <w:t> </w:t>
      </w:r>
      <w:r>
        <w:rPr/>
        <w:t>fase</w:t>
      </w:r>
      <w:r>
        <w:rPr>
          <w:spacing w:val="-12"/>
        </w:rPr>
        <w:t> </w:t>
      </w:r>
      <w:r>
        <w:rPr/>
        <w:t>de</w:t>
      </w:r>
      <w:r>
        <w:rPr>
          <w:spacing w:val="-7"/>
        </w:rPr>
        <w:t> </w:t>
      </w:r>
      <w:r>
        <w:rPr/>
        <w:t>larva</w:t>
      </w:r>
      <w:r>
        <w:rPr>
          <w:spacing w:val="-12"/>
        </w:rPr>
        <w:t> </w:t>
      </w:r>
      <w:r>
        <w:rPr/>
        <w:t>o</w:t>
      </w:r>
      <w:r>
        <w:rPr>
          <w:spacing w:val="-6"/>
        </w:rPr>
        <w:t> </w:t>
      </w:r>
      <w:r>
        <w:rPr/>
        <w:t>alevín se vuelven portadores asintomáticos (Saint-Jean </w:t>
      </w:r>
      <w:r>
        <w:rPr>
          <w:i/>
        </w:rPr>
        <w:t>et al., </w:t>
      </w:r>
      <w:r>
        <w:rPr/>
        <w:t>2003). Además se conoce que IPNV puede causar altas mortalidades significativas en </w:t>
      </w:r>
      <w:r>
        <w:rPr>
          <w:spacing w:val="-3"/>
        </w:rPr>
        <w:t>la </w:t>
      </w:r>
      <w:r>
        <w:rPr/>
        <w:t>fase de “</w:t>
      </w:r>
      <w:r>
        <w:rPr>
          <w:i/>
        </w:rPr>
        <w:t>postsmolts</w:t>
      </w:r>
      <w:r>
        <w:rPr/>
        <w:t>” de salmón </w:t>
      </w:r>
      <w:r>
        <w:rPr>
          <w:spacing w:val="2"/>
        </w:rPr>
        <w:t>del </w:t>
      </w:r>
      <w:r>
        <w:rPr/>
        <w:t>Atlántico, cuando son transferidos del agua dulce a </w:t>
      </w:r>
      <w:r>
        <w:rPr>
          <w:spacing w:val="-5"/>
        </w:rPr>
        <w:t>la </w:t>
      </w:r>
      <w:r>
        <w:rPr/>
        <w:t>salada para el engorde (Ortega y Enríquez, 2007). De acuerdo con McKenna </w:t>
      </w:r>
      <w:r>
        <w:rPr>
          <w:i/>
        </w:rPr>
        <w:t>et al., </w:t>
      </w:r>
      <w:r>
        <w:rPr/>
        <w:t>(2001) cerca de un 5% de los peces trasladados</w:t>
      </w:r>
      <w:r>
        <w:rPr>
          <w:spacing w:val="-17"/>
        </w:rPr>
        <w:t> </w:t>
      </w:r>
      <w:r>
        <w:rPr/>
        <w:t>al</w:t>
      </w:r>
      <w:r>
        <w:rPr>
          <w:spacing w:val="-19"/>
        </w:rPr>
        <w:t> </w:t>
      </w:r>
      <w:r>
        <w:rPr/>
        <w:t>mar</w:t>
      </w:r>
      <w:r>
        <w:rPr>
          <w:spacing w:val="-7"/>
        </w:rPr>
        <w:t> </w:t>
      </w:r>
      <w:r>
        <w:rPr/>
        <w:t>mueren</w:t>
      </w:r>
      <w:r>
        <w:rPr>
          <w:spacing w:val="-18"/>
        </w:rPr>
        <w:t> </w:t>
      </w:r>
      <w:r>
        <w:rPr/>
        <w:t>en</w:t>
      </w:r>
      <w:r>
        <w:rPr>
          <w:spacing w:val="-19"/>
        </w:rPr>
        <w:t> </w:t>
      </w:r>
      <w:r>
        <w:rPr/>
        <w:t>esta</w:t>
      </w:r>
      <w:r>
        <w:rPr>
          <w:spacing w:val="-11"/>
        </w:rPr>
        <w:t> </w:t>
      </w:r>
      <w:r>
        <w:rPr>
          <w:spacing w:val="-3"/>
        </w:rPr>
        <w:t>fase.</w:t>
      </w:r>
      <w:r>
        <w:rPr>
          <w:spacing w:val="-8"/>
        </w:rPr>
        <w:t> </w:t>
      </w:r>
      <w:r>
        <w:rPr/>
        <w:t>Además</w:t>
      </w:r>
      <w:r>
        <w:rPr>
          <w:spacing w:val="-11"/>
        </w:rPr>
        <w:t> </w:t>
      </w:r>
      <w:r>
        <w:rPr/>
        <w:t>se</w:t>
      </w:r>
      <w:r>
        <w:rPr>
          <w:spacing w:val="-11"/>
        </w:rPr>
        <w:t> </w:t>
      </w:r>
      <w:r>
        <w:rPr>
          <w:spacing w:val="-3"/>
        </w:rPr>
        <w:t>ha</w:t>
      </w:r>
      <w:r>
        <w:rPr>
          <w:spacing w:val="-15"/>
        </w:rPr>
        <w:t> </w:t>
      </w:r>
      <w:r>
        <w:rPr/>
        <w:t>considerado</w:t>
      </w:r>
      <w:r>
        <w:rPr>
          <w:spacing w:val="-10"/>
        </w:rPr>
        <w:t> </w:t>
      </w:r>
      <w:r>
        <w:rPr/>
        <w:t>que</w:t>
      </w:r>
      <w:r>
        <w:rPr>
          <w:spacing w:val="-13"/>
        </w:rPr>
        <w:t> </w:t>
      </w:r>
      <w:r>
        <w:rPr>
          <w:spacing w:val="-5"/>
        </w:rPr>
        <w:t>la</w:t>
      </w:r>
      <w:r>
        <w:rPr>
          <w:spacing w:val="-11"/>
        </w:rPr>
        <w:t> </w:t>
      </w:r>
      <w:r>
        <w:rPr/>
        <w:t>mortalidad</w:t>
      </w:r>
      <w:r>
        <w:rPr>
          <w:spacing w:val="-14"/>
        </w:rPr>
        <w:t> </w:t>
      </w:r>
      <w:r>
        <w:rPr/>
        <w:t>en</w:t>
      </w:r>
      <w:r>
        <w:rPr>
          <w:spacing w:val="-14"/>
        </w:rPr>
        <w:t> </w:t>
      </w:r>
      <w:r>
        <w:rPr/>
        <w:t>brotes epidemiológicos puede variar con </w:t>
      </w:r>
      <w:r>
        <w:rPr>
          <w:spacing w:val="-3"/>
        </w:rPr>
        <w:t>la </w:t>
      </w:r>
      <w:r>
        <w:rPr/>
        <w:t>edad de los peces, </w:t>
      </w:r>
      <w:r>
        <w:rPr>
          <w:spacing w:val="-3"/>
        </w:rPr>
        <w:t>la </w:t>
      </w:r>
      <w:r>
        <w:rPr/>
        <w:t>especie, </w:t>
      </w:r>
      <w:r>
        <w:rPr>
          <w:spacing w:val="-5"/>
        </w:rPr>
        <w:t>la </w:t>
      </w:r>
      <w:r>
        <w:rPr/>
        <w:t>temperatura, y otras condiciones ambientales (Frantsi y Savan, 1971; McAllister y Owens, 1986; Silim </w:t>
      </w:r>
      <w:r>
        <w:rPr>
          <w:i/>
        </w:rPr>
        <w:t>et al</w:t>
      </w:r>
      <w:r>
        <w:rPr/>
        <w:t>., 1982;</w:t>
      </w:r>
      <w:r>
        <w:rPr>
          <w:spacing w:val="-5"/>
        </w:rPr>
        <w:t> </w:t>
      </w:r>
      <w:r>
        <w:rPr>
          <w:spacing w:val="-3"/>
        </w:rPr>
        <w:t>Wolf, </w:t>
      </w:r>
      <w:r>
        <w:rPr/>
        <w:t>1988,</w:t>
      </w:r>
      <w:r>
        <w:rPr>
          <w:spacing w:val="-3"/>
        </w:rPr>
        <w:t> </w:t>
      </w:r>
      <w:r>
        <w:rPr/>
        <w:t>OIE,</w:t>
      </w:r>
      <w:r>
        <w:rPr>
          <w:spacing w:val="-7"/>
        </w:rPr>
        <w:t> </w:t>
      </w:r>
      <w:r>
        <w:rPr/>
        <w:t>2008).</w:t>
      </w:r>
      <w:r>
        <w:rPr>
          <w:spacing w:val="-3"/>
        </w:rPr>
        <w:t> </w:t>
      </w:r>
      <w:r>
        <w:rPr/>
        <w:t>Los</w:t>
      </w:r>
      <w:r>
        <w:rPr>
          <w:spacing w:val="-7"/>
        </w:rPr>
        <w:t> </w:t>
      </w:r>
      <w:r>
        <w:rPr/>
        <w:t>signos</w:t>
      </w:r>
      <w:r>
        <w:rPr>
          <w:spacing w:val="-7"/>
        </w:rPr>
        <w:t> </w:t>
      </w:r>
      <w:r>
        <w:rPr/>
        <w:t>clínicos</w:t>
      </w:r>
      <w:r>
        <w:rPr>
          <w:spacing w:val="-7"/>
        </w:rPr>
        <w:t> </w:t>
      </w:r>
      <w:r>
        <w:rPr/>
        <w:t>aparecen</w:t>
      </w:r>
      <w:r>
        <w:rPr>
          <w:spacing w:val="-10"/>
        </w:rPr>
        <w:t> </w:t>
      </w:r>
      <w:r>
        <w:rPr/>
        <w:t>entre</w:t>
      </w:r>
      <w:r>
        <w:rPr>
          <w:spacing w:val="-2"/>
        </w:rPr>
        <w:t> </w:t>
      </w:r>
      <w:r>
        <w:rPr/>
        <w:t>3</w:t>
      </w:r>
      <w:r>
        <w:rPr>
          <w:spacing w:val="-5"/>
        </w:rPr>
        <w:t> </w:t>
      </w:r>
      <w:r>
        <w:rPr/>
        <w:t>a</w:t>
      </w:r>
      <w:r>
        <w:rPr>
          <w:spacing w:val="-11"/>
        </w:rPr>
        <w:t> </w:t>
      </w:r>
      <w:r>
        <w:rPr/>
        <w:t>5</w:t>
      </w:r>
      <w:r>
        <w:rPr>
          <w:spacing w:val="-5"/>
        </w:rPr>
        <w:t> </w:t>
      </w:r>
      <w:r>
        <w:rPr>
          <w:spacing w:val="-3"/>
        </w:rPr>
        <w:t>días</w:t>
      </w:r>
      <w:r>
        <w:rPr>
          <w:spacing w:val="-7"/>
        </w:rPr>
        <w:t> </w:t>
      </w:r>
      <w:r>
        <w:rPr/>
        <w:t>en</w:t>
      </w:r>
      <w:r>
        <w:rPr>
          <w:spacing w:val="-5"/>
        </w:rPr>
        <w:t> </w:t>
      </w:r>
      <w:r>
        <w:rPr/>
        <w:t>larvas</w:t>
      </w:r>
      <w:r>
        <w:rPr>
          <w:spacing w:val="-5"/>
        </w:rPr>
        <w:t> </w:t>
      </w:r>
      <w:r>
        <w:rPr/>
        <w:t>o entre los días 8 a 10 en alevines después de </w:t>
      </w:r>
      <w:r>
        <w:rPr>
          <w:spacing w:val="-5"/>
        </w:rPr>
        <w:t>la </w:t>
      </w:r>
      <w:r>
        <w:rPr/>
        <w:t>exposición al virus y el </w:t>
      </w:r>
      <w:r>
        <w:rPr>
          <w:spacing w:val="-3"/>
        </w:rPr>
        <w:t>máximo </w:t>
      </w:r>
      <w:r>
        <w:rPr/>
        <w:t>pico de mortalidad ocurre generalmente a los 12 a 18 días. De acuerdo con Noga (1996) </w:t>
      </w:r>
      <w:r>
        <w:rPr>
          <w:spacing w:val="-5"/>
        </w:rPr>
        <w:t>la </w:t>
      </w:r>
      <w:r>
        <w:rPr/>
        <w:t>temperatura óptima para el desarrollo de </w:t>
      </w:r>
      <w:r>
        <w:rPr>
          <w:spacing w:val="-3"/>
        </w:rPr>
        <w:t>la </w:t>
      </w:r>
      <w:r>
        <w:rPr/>
        <w:t>enfermedad es entre los 10°C a 14°C y generalmente el virus es altamente</w:t>
      </w:r>
      <w:r>
        <w:rPr>
          <w:spacing w:val="-7"/>
        </w:rPr>
        <w:t> </w:t>
      </w:r>
      <w:r>
        <w:rPr/>
        <w:t>contagioso</w:t>
      </w:r>
      <w:r>
        <w:rPr>
          <w:spacing w:val="-1"/>
        </w:rPr>
        <w:t> </w:t>
      </w:r>
      <w:r>
        <w:rPr/>
        <w:t>entre</w:t>
      </w:r>
      <w:r>
        <w:rPr>
          <w:spacing w:val="-7"/>
        </w:rPr>
        <w:t> </w:t>
      </w:r>
      <w:r>
        <w:rPr/>
        <w:t>especies</w:t>
      </w:r>
      <w:r>
        <w:rPr>
          <w:spacing w:val="-8"/>
        </w:rPr>
        <w:t> </w:t>
      </w:r>
      <w:r>
        <w:rPr/>
        <w:t>de</w:t>
      </w:r>
      <w:r>
        <w:rPr>
          <w:spacing w:val="-7"/>
        </w:rPr>
        <w:t> </w:t>
      </w:r>
      <w:r>
        <w:rPr/>
        <w:t>peces</w:t>
      </w:r>
      <w:r>
        <w:rPr>
          <w:spacing w:val="-3"/>
        </w:rPr>
        <w:t> </w:t>
      </w:r>
      <w:r>
        <w:rPr/>
        <w:t>sensibles.</w:t>
      </w:r>
      <w:r>
        <w:rPr>
          <w:spacing w:val="-4"/>
        </w:rPr>
        <w:t> </w:t>
      </w:r>
      <w:r>
        <w:rPr/>
        <w:t>La</w:t>
      </w:r>
      <w:r>
        <w:rPr>
          <w:spacing w:val="-7"/>
        </w:rPr>
        <w:t> </w:t>
      </w:r>
      <w:r>
        <w:rPr/>
        <w:t>transmisión</w:t>
      </w:r>
      <w:r>
        <w:rPr>
          <w:spacing w:val="-11"/>
        </w:rPr>
        <w:t> </w:t>
      </w:r>
      <w:r>
        <w:rPr/>
        <w:t>horizontal</w:t>
      </w:r>
      <w:r>
        <w:rPr>
          <w:spacing w:val="-15"/>
        </w:rPr>
        <w:t> </w:t>
      </w:r>
      <w:r>
        <w:rPr/>
        <w:t>resulta</w:t>
      </w:r>
      <w:r>
        <w:rPr>
          <w:spacing w:val="-7"/>
        </w:rPr>
        <w:t> </w:t>
      </w:r>
      <w:r>
        <w:rPr>
          <w:spacing w:val="2"/>
        </w:rPr>
        <w:t>del </w:t>
      </w:r>
      <w:r>
        <w:rPr/>
        <w:t>contacto</w:t>
      </w:r>
      <w:r>
        <w:rPr>
          <w:spacing w:val="-9"/>
        </w:rPr>
        <w:t> </w:t>
      </w:r>
      <w:r>
        <w:rPr/>
        <w:t>y</w:t>
      </w:r>
      <w:r>
        <w:rPr>
          <w:spacing w:val="-19"/>
        </w:rPr>
        <w:t> </w:t>
      </w:r>
      <w:r>
        <w:rPr>
          <w:spacing w:val="-3"/>
        </w:rPr>
        <w:t>la</w:t>
      </w:r>
      <w:r>
        <w:rPr>
          <w:spacing w:val="-11"/>
        </w:rPr>
        <w:t> </w:t>
      </w:r>
      <w:r>
        <w:rPr/>
        <w:t>ingestión</w:t>
      </w:r>
      <w:r>
        <w:rPr>
          <w:spacing w:val="-19"/>
        </w:rPr>
        <w:t> </w:t>
      </w:r>
      <w:r>
        <w:rPr/>
        <w:t>de</w:t>
      </w:r>
      <w:r>
        <w:rPr>
          <w:spacing w:val="-15"/>
        </w:rPr>
        <w:t> </w:t>
      </w:r>
      <w:r>
        <w:rPr/>
        <w:t>tejido</w:t>
      </w:r>
      <w:r>
        <w:rPr>
          <w:spacing w:val="-10"/>
        </w:rPr>
        <w:t> </w:t>
      </w:r>
      <w:r>
        <w:rPr/>
        <w:t>infectado</w:t>
      </w:r>
      <w:r>
        <w:rPr>
          <w:spacing w:val="-10"/>
        </w:rPr>
        <w:t> </w:t>
      </w:r>
      <w:r>
        <w:rPr/>
        <w:t>y</w:t>
      </w:r>
      <w:r>
        <w:rPr>
          <w:spacing w:val="-19"/>
        </w:rPr>
        <w:t> </w:t>
      </w:r>
      <w:r>
        <w:rPr>
          <w:spacing w:val="-3"/>
        </w:rPr>
        <w:t>las</w:t>
      </w:r>
      <w:r>
        <w:rPr>
          <w:spacing w:val="-17"/>
        </w:rPr>
        <w:t> </w:t>
      </w:r>
      <w:r>
        <w:rPr/>
        <w:t>heces</w:t>
      </w:r>
      <w:r>
        <w:rPr>
          <w:spacing w:val="-12"/>
        </w:rPr>
        <w:t> </w:t>
      </w:r>
      <w:r>
        <w:rPr/>
        <w:t>y</w:t>
      </w:r>
      <w:r>
        <w:rPr>
          <w:spacing w:val="-19"/>
        </w:rPr>
        <w:t> </w:t>
      </w:r>
      <w:r>
        <w:rPr>
          <w:spacing w:val="-3"/>
        </w:rPr>
        <w:t>la</w:t>
      </w:r>
      <w:r>
        <w:rPr>
          <w:spacing w:val="-14"/>
        </w:rPr>
        <w:t> </w:t>
      </w:r>
      <w:r>
        <w:rPr/>
        <w:t>vertical</w:t>
      </w:r>
      <w:r>
        <w:rPr>
          <w:spacing w:val="-19"/>
        </w:rPr>
        <w:t> </w:t>
      </w:r>
      <w:r>
        <w:rPr/>
        <w:t>se</w:t>
      </w:r>
      <w:r>
        <w:rPr>
          <w:spacing w:val="-15"/>
        </w:rPr>
        <w:t> </w:t>
      </w:r>
      <w:r>
        <w:rPr/>
        <w:t>produce</w:t>
      </w:r>
      <w:r>
        <w:rPr>
          <w:spacing w:val="-15"/>
        </w:rPr>
        <w:t> </w:t>
      </w:r>
      <w:r>
        <w:rPr/>
        <w:t>mediante</w:t>
      </w:r>
      <w:r>
        <w:rPr>
          <w:spacing w:val="-15"/>
        </w:rPr>
        <w:t> </w:t>
      </w:r>
      <w:r>
        <w:rPr/>
        <w:t>fluidos reproductivos y ovas (Wolf, 1960, OIE, 2008). En </w:t>
      </w:r>
      <w:r>
        <w:rPr>
          <w:spacing w:val="-5"/>
        </w:rPr>
        <w:t>la </w:t>
      </w:r>
      <w:r>
        <w:rPr/>
        <w:t>transmisión horizontal el tracto digestivo es presumiblemente el principal sitio de </w:t>
      </w:r>
      <w:r>
        <w:rPr>
          <w:spacing w:val="-3"/>
        </w:rPr>
        <w:t>la </w:t>
      </w:r>
      <w:r>
        <w:rPr/>
        <w:t>infección, aunque branquias pueden ser igualmente importante, dado que tanto larvas como alevines son fácilmente infectados por inmersión (Wolf, 1988). Novoa </w:t>
      </w:r>
      <w:r>
        <w:rPr>
          <w:i/>
        </w:rPr>
        <w:t>et al.</w:t>
      </w:r>
      <w:r>
        <w:rPr/>
        <w:t>, (1995) determinaron que los poros sensoriales del sistema de </w:t>
      </w:r>
      <w:r>
        <w:rPr>
          <w:spacing w:val="-5"/>
        </w:rPr>
        <w:t>la </w:t>
      </w:r>
      <w:r>
        <w:rPr/>
        <w:t>línea lateral es otra </w:t>
      </w:r>
      <w:r>
        <w:rPr>
          <w:spacing w:val="-4"/>
        </w:rPr>
        <w:t>vía </w:t>
      </w:r>
      <w:r>
        <w:rPr/>
        <w:t>de infección horizontal. Además que los peces portadores continúan eliminando virus a través de </w:t>
      </w:r>
      <w:r>
        <w:rPr>
          <w:spacing w:val="-3"/>
        </w:rPr>
        <w:t>la </w:t>
      </w:r>
      <w:r>
        <w:rPr/>
        <w:t>orina y las heces hasta por un </w:t>
      </w:r>
      <w:r>
        <w:rPr>
          <w:spacing w:val="58"/>
        </w:rPr>
        <w:t> </w:t>
      </w:r>
      <w:r>
        <w:rPr/>
        <w:t>periodo</w:t>
      </w:r>
    </w:p>
    <w:p>
      <w:pPr>
        <w:spacing w:after="0" w:line="360" w:lineRule="auto"/>
        <w:jc w:val="both"/>
        <w:sectPr>
          <w:pgSz w:w="12240" w:h="15840"/>
          <w:pgMar w:header="0" w:footer="1382" w:top="1500" w:bottom="1580" w:left="1720" w:right="1420"/>
        </w:sectPr>
      </w:pPr>
    </w:p>
    <w:p>
      <w:pPr>
        <w:pStyle w:val="BodyText"/>
        <w:spacing w:before="7"/>
        <w:rPr>
          <w:sz w:val="25"/>
        </w:rPr>
      </w:pPr>
    </w:p>
    <w:p>
      <w:pPr>
        <w:pStyle w:val="BodyText"/>
        <w:spacing w:line="360" w:lineRule="auto" w:before="70"/>
        <w:ind w:left="152" w:right="104"/>
        <w:jc w:val="both"/>
      </w:pPr>
      <w:r>
        <w:rPr/>
        <w:t>de dos o más años. Toranzo y Hetrick (1983) demostraron que el IPNV es muy persistente en el ambiente y puede sobrevivir durante meses en vísceras congeladas, 3 meses en agua estéril y al aire atmosférico a 10°C durante más de 1 mes. No solamente IPNV infecta a salmónidos si no ha sido aislado en más de 30 familias de peces, 11 especies de moluscos y cuatro especies de crustáceos (Hill y Way, 1995; Saint-Jean </w:t>
      </w:r>
      <w:r>
        <w:rPr>
          <w:i/>
        </w:rPr>
        <w:t>et al</w:t>
      </w:r>
      <w:r>
        <w:rPr/>
        <w:t>., 2006; Ortega y Enríquez, 2007). En relación a otros tipos de trasmisores se pueden mencionar aves y mamíferos ictiófagos (Saint-Jean </w:t>
      </w:r>
      <w:r>
        <w:rPr>
          <w:i/>
        </w:rPr>
        <w:t>et al</w:t>
      </w:r>
      <w:r>
        <w:rPr/>
        <w:t>., 2003). Durante la enfermedad clínica, la mortalidad es inversamente proporcional a la edad de los animales afectados (Wolf, 1988). El cuadro clínico más característico se presenta en trucha arco iris (</w:t>
      </w:r>
      <w:r>
        <w:rPr>
          <w:i/>
        </w:rPr>
        <w:t>Oncorhynchus mykiss</w:t>
      </w:r>
      <w:r>
        <w:rPr/>
        <w:t>), salmón del Atlántico (</w:t>
      </w:r>
      <w:r>
        <w:rPr>
          <w:i/>
        </w:rPr>
        <w:t>Salmo salar</w:t>
      </w:r>
      <w:r>
        <w:rPr/>
        <w:t>) y varias especies de salmón del Pacífico (</w:t>
      </w:r>
      <w:r>
        <w:rPr>
          <w:i/>
        </w:rPr>
        <w:t>Oncorhynchus spp.</w:t>
      </w:r>
      <w:r>
        <w:rPr/>
        <w:t>) menores a las 1.500 Unidades térmicas acumuladas (UTA) (Ortega y Enríquez, 2007).</w:t>
      </w:r>
    </w:p>
    <w:p>
      <w:pPr>
        <w:pStyle w:val="BodyText"/>
        <w:spacing w:line="362" w:lineRule="auto" w:before="4"/>
        <w:ind w:left="152" w:right="111"/>
        <w:jc w:val="both"/>
      </w:pPr>
      <w:r>
        <w:rPr/>
        <w:t>Por otra parte se han descrito algunos casos de disminución de mortalidad cuando la temperatura del agua alcanza valores igual o superiores a 16°C (OIE, 2006).</w:t>
      </w:r>
    </w:p>
    <w:p>
      <w:pPr>
        <w:pStyle w:val="BodyText"/>
      </w:pPr>
    </w:p>
    <w:p>
      <w:pPr>
        <w:pStyle w:val="Heading2"/>
        <w:numPr>
          <w:ilvl w:val="1"/>
          <w:numId w:val="7"/>
        </w:numPr>
        <w:tabs>
          <w:tab w:pos="638" w:val="left" w:leader="none"/>
        </w:tabs>
        <w:spacing w:line="240" w:lineRule="auto" w:before="143" w:after="0"/>
        <w:ind w:left="637" w:right="0" w:hanging="422"/>
        <w:jc w:val="both"/>
        <w:rPr>
          <w:i/>
        </w:rPr>
      </w:pPr>
      <w:bookmarkStart w:name="_bookmark11" w:id="18"/>
      <w:bookmarkEnd w:id="18"/>
      <w:r>
        <w:rPr>
          <w:b w:val="0"/>
          <w:i w:val="0"/>
        </w:rPr>
      </w:r>
      <w:bookmarkStart w:name="_bookmark11" w:id="19"/>
      <w:bookmarkEnd w:id="19"/>
      <w:r>
        <w:rPr>
          <w:i/>
        </w:rPr>
        <w:t>Diagno</w:t>
      </w:r>
      <w:r>
        <w:rPr>
          <w:i/>
        </w:rPr>
        <w:t>stico</w:t>
      </w:r>
    </w:p>
    <w:p>
      <w:pPr>
        <w:pStyle w:val="BodyText"/>
        <w:spacing w:line="360" w:lineRule="auto" w:before="132"/>
        <w:ind w:left="152" w:right="102"/>
        <w:jc w:val="both"/>
      </w:pPr>
      <w:r>
        <w:rPr/>
        <w:t>La técnica de </w:t>
      </w:r>
      <w:r>
        <w:rPr>
          <w:spacing w:val="-5"/>
        </w:rPr>
        <w:t>la </w:t>
      </w:r>
      <w:r>
        <w:rPr/>
        <w:t>microscopía electrónica siempre fue </w:t>
      </w:r>
      <w:r>
        <w:rPr>
          <w:spacing w:val="-5"/>
        </w:rPr>
        <w:t>la </w:t>
      </w:r>
      <w:r>
        <w:rPr/>
        <w:t>única alternativa de diagnóstico para IPNV hasta que se implementó el desarrollo de </w:t>
      </w:r>
      <w:r>
        <w:rPr>
          <w:spacing w:val="-5"/>
        </w:rPr>
        <w:t>la </w:t>
      </w:r>
      <w:r>
        <w:rPr/>
        <w:t>técnica de cultivo celular que posibilitó </w:t>
      </w:r>
      <w:r>
        <w:rPr>
          <w:spacing w:val="-5"/>
        </w:rPr>
        <w:t>la </w:t>
      </w:r>
      <w:r>
        <w:rPr/>
        <w:t>observación de </w:t>
      </w:r>
      <w:r>
        <w:rPr>
          <w:spacing w:val="-5"/>
        </w:rPr>
        <w:t>la </w:t>
      </w:r>
      <w:r>
        <w:rPr/>
        <w:t>replicación viral (Wolf, 1966). Como dato relevante para el diagnóstico; IPNV </w:t>
      </w:r>
      <w:r>
        <w:rPr>
          <w:spacing w:val="-3"/>
        </w:rPr>
        <w:t>fue </w:t>
      </w:r>
      <w:r>
        <w:rPr/>
        <w:t>el primer virus de peces óseos en ser </w:t>
      </w:r>
      <w:r>
        <w:rPr>
          <w:spacing w:val="-3"/>
        </w:rPr>
        <w:t>aislado </w:t>
      </w:r>
      <w:r>
        <w:rPr>
          <w:i/>
        </w:rPr>
        <w:t>in vitro</w:t>
      </w:r>
      <w:r>
        <w:rPr/>
        <w:t>, utilizando células de tejidos de trucha (Wolf </w:t>
      </w:r>
      <w:r>
        <w:rPr>
          <w:i/>
        </w:rPr>
        <w:t>et al</w:t>
      </w:r>
      <w:r>
        <w:rPr/>
        <w:t>., 1960). Un diagnóstico clínico definitivo de IPNV requiere </w:t>
      </w:r>
      <w:r>
        <w:rPr>
          <w:spacing w:val="4"/>
        </w:rPr>
        <w:t>el </w:t>
      </w:r>
      <w:r>
        <w:rPr/>
        <w:t>aislamiento de altos títulos virales de tejidos diana y con signos clínicos adecuados en </w:t>
      </w:r>
      <w:r>
        <w:rPr>
          <w:spacing w:val="-3"/>
        </w:rPr>
        <w:t>las </w:t>
      </w:r>
      <w:r>
        <w:rPr/>
        <w:t>especies susceptibles. </w:t>
      </w:r>
      <w:r>
        <w:rPr>
          <w:spacing w:val="3"/>
        </w:rPr>
        <w:t>El </w:t>
      </w:r>
      <w:r>
        <w:rPr/>
        <w:t>tejido recomendado para el aislamiento del virus es riñón posterior (OIE,</w:t>
      </w:r>
      <w:r>
        <w:rPr>
          <w:spacing w:val="-5"/>
        </w:rPr>
        <w:t> </w:t>
      </w:r>
      <w:r>
        <w:rPr/>
        <w:t>2003).</w:t>
      </w:r>
      <w:r>
        <w:rPr>
          <w:spacing w:val="-5"/>
        </w:rPr>
        <w:t> </w:t>
      </w:r>
      <w:r>
        <w:rPr/>
        <w:t>Un</w:t>
      </w:r>
      <w:r>
        <w:rPr>
          <w:spacing w:val="-11"/>
        </w:rPr>
        <w:t> </w:t>
      </w:r>
      <w:r>
        <w:rPr/>
        <w:t>diagnóstico</w:t>
      </w:r>
      <w:r>
        <w:rPr>
          <w:spacing w:val="-2"/>
        </w:rPr>
        <w:t> </w:t>
      </w:r>
      <w:r>
        <w:rPr/>
        <w:t>presuntivo</w:t>
      </w:r>
      <w:r>
        <w:rPr>
          <w:spacing w:val="-2"/>
        </w:rPr>
        <w:t> </w:t>
      </w:r>
      <w:r>
        <w:rPr/>
        <w:t>de</w:t>
      </w:r>
      <w:r>
        <w:rPr>
          <w:spacing w:val="-8"/>
        </w:rPr>
        <w:t> </w:t>
      </w:r>
      <w:r>
        <w:rPr/>
        <w:t>IPN</w:t>
      </w:r>
      <w:r>
        <w:rPr>
          <w:spacing w:val="-7"/>
        </w:rPr>
        <w:t> </w:t>
      </w:r>
      <w:r>
        <w:rPr/>
        <w:t>se</w:t>
      </w:r>
      <w:r>
        <w:rPr>
          <w:spacing w:val="-12"/>
        </w:rPr>
        <w:t> </w:t>
      </w:r>
      <w:r>
        <w:rPr/>
        <w:t>basa</w:t>
      </w:r>
      <w:r>
        <w:rPr>
          <w:spacing w:val="-8"/>
        </w:rPr>
        <w:t> </w:t>
      </w:r>
      <w:r>
        <w:rPr/>
        <w:t>únicamente</w:t>
      </w:r>
      <w:r>
        <w:rPr>
          <w:spacing w:val="-8"/>
        </w:rPr>
        <w:t> </w:t>
      </w:r>
      <w:r>
        <w:rPr/>
        <w:t>en</w:t>
      </w:r>
      <w:r>
        <w:rPr>
          <w:spacing w:val="-7"/>
        </w:rPr>
        <w:t> </w:t>
      </w:r>
      <w:r>
        <w:rPr>
          <w:spacing w:val="-5"/>
        </w:rPr>
        <w:t>la</w:t>
      </w:r>
      <w:r>
        <w:rPr>
          <w:spacing w:val="-8"/>
        </w:rPr>
        <w:t> </w:t>
      </w:r>
      <w:r>
        <w:rPr/>
        <w:t>presencia</w:t>
      </w:r>
      <w:r>
        <w:rPr>
          <w:spacing w:val="-8"/>
        </w:rPr>
        <w:t> </w:t>
      </w:r>
      <w:r>
        <w:rPr/>
        <w:t>de</w:t>
      </w:r>
      <w:r>
        <w:rPr>
          <w:spacing w:val="-8"/>
        </w:rPr>
        <w:t> </w:t>
      </w:r>
      <w:r>
        <w:rPr/>
        <w:t>signos clínicos típicos y </w:t>
      </w:r>
      <w:r>
        <w:rPr>
          <w:spacing w:val="-5"/>
        </w:rPr>
        <w:t>la </w:t>
      </w:r>
      <w:r>
        <w:rPr/>
        <w:t>patología observada, sin embargo, esto puede ser dudoso. La técnica de ELISA</w:t>
      </w:r>
      <w:r>
        <w:rPr>
          <w:spacing w:val="-13"/>
        </w:rPr>
        <w:t> </w:t>
      </w:r>
      <w:r>
        <w:rPr/>
        <w:t>(Ensayo</w:t>
      </w:r>
      <w:r>
        <w:rPr>
          <w:spacing w:val="-4"/>
        </w:rPr>
        <w:t> </w:t>
      </w:r>
      <w:r>
        <w:rPr/>
        <w:t>Inmune</w:t>
      </w:r>
      <w:r>
        <w:rPr>
          <w:spacing w:val="-10"/>
        </w:rPr>
        <w:t> </w:t>
      </w:r>
      <w:r>
        <w:rPr/>
        <w:t>absorbente</w:t>
      </w:r>
      <w:r>
        <w:rPr>
          <w:spacing w:val="-10"/>
        </w:rPr>
        <w:t> </w:t>
      </w:r>
      <w:r>
        <w:rPr/>
        <w:t>Ligado</w:t>
      </w:r>
      <w:r>
        <w:rPr>
          <w:spacing w:val="-4"/>
        </w:rPr>
        <w:t> </w:t>
      </w:r>
      <w:r>
        <w:rPr/>
        <w:t>a</w:t>
      </w:r>
      <w:r>
        <w:rPr>
          <w:spacing w:val="-10"/>
        </w:rPr>
        <w:t> </w:t>
      </w:r>
      <w:r>
        <w:rPr/>
        <w:t>una</w:t>
      </w:r>
      <w:r>
        <w:rPr>
          <w:spacing w:val="-10"/>
        </w:rPr>
        <w:t> </w:t>
      </w:r>
      <w:r>
        <w:rPr/>
        <w:t>Enzima,</w:t>
      </w:r>
      <w:r>
        <w:rPr>
          <w:spacing w:val="-2"/>
        </w:rPr>
        <w:t> </w:t>
      </w:r>
      <w:r>
        <w:rPr>
          <w:spacing w:val="-5"/>
        </w:rPr>
        <w:t>la </w:t>
      </w:r>
      <w:r>
        <w:rPr/>
        <w:t>inmunofluorescencia</w:t>
      </w:r>
      <w:r>
        <w:rPr>
          <w:spacing w:val="-10"/>
        </w:rPr>
        <w:t> </w:t>
      </w:r>
      <w:r>
        <w:rPr/>
        <w:t>(IFA)</w:t>
      </w:r>
      <w:r>
        <w:rPr>
          <w:spacing w:val="-3"/>
        </w:rPr>
        <w:t> </w:t>
      </w:r>
      <w:r>
        <w:rPr/>
        <w:t>y</w:t>
      </w:r>
      <w:r>
        <w:rPr>
          <w:spacing w:val="-13"/>
        </w:rPr>
        <w:t> </w:t>
      </w:r>
      <w:r>
        <w:rPr>
          <w:spacing w:val="-5"/>
        </w:rPr>
        <w:t>la </w:t>
      </w:r>
      <w:r>
        <w:rPr/>
        <w:t>transcripción reversa (RT)-PCR se utilizan en el diagnóstico confirmatorio (Bustin, 2002; Saint-Jean et al., 2003). Los aislamientos e identificación de IPNV son generalmente sencillos,</w:t>
      </w:r>
      <w:r>
        <w:rPr>
          <w:spacing w:val="-11"/>
        </w:rPr>
        <w:t> </w:t>
      </w:r>
      <w:r>
        <w:rPr/>
        <w:t>sin</w:t>
      </w:r>
      <w:r>
        <w:rPr>
          <w:spacing w:val="-16"/>
        </w:rPr>
        <w:t> </w:t>
      </w:r>
      <w:r>
        <w:rPr/>
        <w:t>embargo</w:t>
      </w:r>
      <w:r>
        <w:rPr>
          <w:spacing w:val="-8"/>
        </w:rPr>
        <w:t> </w:t>
      </w:r>
      <w:r>
        <w:rPr/>
        <w:t>este</w:t>
      </w:r>
      <w:r>
        <w:rPr>
          <w:spacing w:val="-13"/>
        </w:rPr>
        <w:t> </w:t>
      </w:r>
      <w:r>
        <w:rPr/>
        <w:t>virus</w:t>
      </w:r>
      <w:r>
        <w:rPr>
          <w:spacing w:val="-11"/>
        </w:rPr>
        <w:t> </w:t>
      </w:r>
      <w:r>
        <w:rPr/>
        <w:t>puede</w:t>
      </w:r>
      <w:r>
        <w:rPr>
          <w:spacing w:val="-12"/>
        </w:rPr>
        <w:t> </w:t>
      </w:r>
      <w:r>
        <w:rPr/>
        <w:t>coexistir</w:t>
      </w:r>
      <w:r>
        <w:rPr>
          <w:spacing w:val="-11"/>
        </w:rPr>
        <w:t> </w:t>
      </w:r>
      <w:r>
        <w:rPr/>
        <w:t>con</w:t>
      </w:r>
      <w:r>
        <w:rPr>
          <w:spacing w:val="-16"/>
        </w:rPr>
        <w:t> </w:t>
      </w:r>
      <w:r>
        <w:rPr/>
        <w:t>otro</w:t>
      </w:r>
      <w:r>
        <w:rPr>
          <w:spacing w:val="-12"/>
        </w:rPr>
        <w:t> </w:t>
      </w:r>
      <w:r>
        <w:rPr/>
        <w:t>patógeno,</w:t>
      </w:r>
      <w:r>
        <w:rPr>
          <w:spacing w:val="-14"/>
        </w:rPr>
        <w:t> </w:t>
      </w:r>
      <w:r>
        <w:rPr/>
        <w:t>por</w:t>
      </w:r>
      <w:r>
        <w:rPr>
          <w:spacing w:val="-15"/>
        </w:rPr>
        <w:t> </w:t>
      </w:r>
      <w:r>
        <w:rPr>
          <w:spacing w:val="-5"/>
        </w:rPr>
        <w:t>lo</w:t>
      </w:r>
      <w:r>
        <w:rPr>
          <w:spacing w:val="-8"/>
        </w:rPr>
        <w:t> </w:t>
      </w:r>
      <w:r>
        <w:rPr/>
        <w:t>que</w:t>
      </w:r>
      <w:r>
        <w:rPr>
          <w:spacing w:val="-13"/>
        </w:rPr>
        <w:t> </w:t>
      </w:r>
      <w:r>
        <w:rPr/>
        <w:t>un</w:t>
      </w:r>
      <w:r>
        <w:rPr>
          <w:spacing w:val="-16"/>
        </w:rPr>
        <w:t> </w:t>
      </w:r>
      <w:r>
        <w:rPr/>
        <w:t>diagnóstico</w:t>
      </w:r>
    </w:p>
    <w:p>
      <w:pPr>
        <w:spacing w:after="0" w:line="360" w:lineRule="auto"/>
        <w:jc w:val="both"/>
        <w:sectPr>
          <w:pgSz w:w="12240" w:h="15840"/>
          <w:pgMar w:header="0" w:footer="1382" w:top="1500" w:bottom="1580" w:left="1720" w:right="1420"/>
        </w:sectPr>
      </w:pPr>
    </w:p>
    <w:p>
      <w:pPr>
        <w:pStyle w:val="BodyText"/>
        <w:spacing w:before="7"/>
        <w:rPr>
          <w:sz w:val="25"/>
        </w:rPr>
      </w:pPr>
    </w:p>
    <w:p>
      <w:pPr>
        <w:pStyle w:val="BodyText"/>
        <w:spacing w:line="360" w:lineRule="auto" w:before="70"/>
        <w:ind w:left="152" w:right="101"/>
        <w:jc w:val="both"/>
      </w:pPr>
      <w:r>
        <w:rPr/>
        <w:t>completo y diferenciado sería el preferido. Por lo tanto, la técnica de oro establecida para el diagnóstico definitivo es el aislamiento viral en cultivo celular (OIE, 2003).</w:t>
      </w:r>
    </w:p>
    <w:p>
      <w:pPr>
        <w:pStyle w:val="BodyText"/>
        <w:spacing w:line="360" w:lineRule="auto" w:before="4"/>
        <w:ind w:left="152" w:right="99"/>
        <w:jc w:val="both"/>
      </w:pPr>
      <w:r>
        <w:rPr/>
        <w:t>En</w:t>
      </w:r>
      <w:r>
        <w:rPr>
          <w:spacing w:val="-5"/>
        </w:rPr>
        <w:t> lo</w:t>
      </w:r>
      <w:r>
        <w:rPr/>
        <w:t> que</w:t>
      </w:r>
      <w:r>
        <w:rPr>
          <w:spacing w:val="-6"/>
        </w:rPr>
        <w:t> </w:t>
      </w:r>
      <w:r>
        <w:rPr/>
        <w:t>respecta</w:t>
      </w:r>
      <w:r>
        <w:rPr>
          <w:spacing w:val="-6"/>
        </w:rPr>
        <w:t> </w:t>
      </w:r>
      <w:r>
        <w:rPr/>
        <w:t>a</w:t>
      </w:r>
      <w:r>
        <w:rPr>
          <w:spacing w:val="-9"/>
        </w:rPr>
        <w:t> </w:t>
      </w:r>
      <w:r>
        <w:rPr/>
        <w:t>técnicas</w:t>
      </w:r>
      <w:r>
        <w:rPr>
          <w:spacing w:val="-1"/>
        </w:rPr>
        <w:t> </w:t>
      </w:r>
      <w:r>
        <w:rPr/>
        <w:t>moleculares</w:t>
      </w:r>
      <w:r>
        <w:rPr>
          <w:spacing w:val="-6"/>
        </w:rPr>
        <w:t> </w:t>
      </w:r>
      <w:r>
        <w:rPr/>
        <w:t>de</w:t>
      </w:r>
      <w:r>
        <w:rPr>
          <w:spacing w:val="-6"/>
        </w:rPr>
        <w:t> </w:t>
      </w:r>
      <w:r>
        <w:rPr/>
        <w:t>diagnóstico para</w:t>
      </w:r>
      <w:r>
        <w:rPr>
          <w:spacing w:val="-1"/>
        </w:rPr>
        <w:t> </w:t>
      </w:r>
      <w:r>
        <w:rPr>
          <w:spacing w:val="-5"/>
        </w:rPr>
        <w:t>la</w:t>
      </w:r>
      <w:r>
        <w:rPr>
          <w:spacing w:val="-6"/>
        </w:rPr>
        <w:t> </w:t>
      </w:r>
      <w:r>
        <w:rPr/>
        <w:t>detección</w:t>
      </w:r>
      <w:r>
        <w:rPr>
          <w:spacing w:val="-10"/>
        </w:rPr>
        <w:t> </w:t>
      </w:r>
      <w:r>
        <w:rPr/>
        <w:t>de</w:t>
      </w:r>
      <w:r>
        <w:rPr>
          <w:spacing w:val="-1"/>
        </w:rPr>
        <w:t> </w:t>
      </w:r>
      <w:r>
        <w:rPr/>
        <w:t>virus</w:t>
      </w:r>
      <w:r>
        <w:rPr>
          <w:spacing w:val="-7"/>
        </w:rPr>
        <w:t> </w:t>
      </w:r>
      <w:r>
        <w:rPr>
          <w:spacing w:val="4"/>
        </w:rPr>
        <w:t>en</w:t>
      </w:r>
      <w:r>
        <w:rPr>
          <w:spacing w:val="-10"/>
        </w:rPr>
        <w:t> </w:t>
      </w:r>
      <w:r>
        <w:rPr/>
        <w:t>peces, </w:t>
      </w:r>
      <w:r>
        <w:rPr>
          <w:spacing w:val="-3"/>
        </w:rPr>
        <w:t>la </w:t>
      </w:r>
      <w:r>
        <w:rPr/>
        <w:t>técnica de </w:t>
      </w:r>
      <w:r>
        <w:rPr>
          <w:spacing w:val="-3"/>
        </w:rPr>
        <w:t>la </w:t>
      </w:r>
      <w:r>
        <w:rPr/>
        <w:t>reacción en cadena de </w:t>
      </w:r>
      <w:r>
        <w:rPr>
          <w:spacing w:val="-3"/>
        </w:rPr>
        <w:t>la </w:t>
      </w:r>
      <w:r>
        <w:rPr/>
        <w:t>polimerasa (PCR) es muy utilizada actualmente en investigaciones, a pesar de que aún </w:t>
      </w:r>
      <w:r>
        <w:rPr>
          <w:spacing w:val="-3"/>
        </w:rPr>
        <w:t>no ha </w:t>
      </w:r>
      <w:r>
        <w:rPr/>
        <w:t>sido validada para el diagnóstico (Alonso </w:t>
      </w:r>
      <w:r>
        <w:rPr>
          <w:i/>
        </w:rPr>
        <w:t>et al., </w:t>
      </w:r>
      <w:r>
        <w:rPr/>
        <w:t>1999; López-Lastra </w:t>
      </w:r>
      <w:r>
        <w:rPr>
          <w:i/>
        </w:rPr>
        <w:t>et al</w:t>
      </w:r>
      <w:r>
        <w:rPr/>
        <w:t>., 1994). Sin embargo </w:t>
      </w:r>
      <w:r>
        <w:rPr>
          <w:spacing w:val="-3"/>
        </w:rPr>
        <w:t>ha </w:t>
      </w:r>
      <w:r>
        <w:rPr/>
        <w:t>demostrado que es un método de rápido, confiable, sensible y conveniente (Williams </w:t>
      </w:r>
      <w:r>
        <w:rPr>
          <w:i/>
        </w:rPr>
        <w:t>et al</w:t>
      </w:r>
      <w:r>
        <w:rPr/>
        <w:t>., 1999). La desventaja de </w:t>
      </w:r>
      <w:r>
        <w:rPr>
          <w:spacing w:val="-5"/>
        </w:rPr>
        <w:t>la </w:t>
      </w:r>
      <w:r>
        <w:rPr/>
        <w:t>PCR es que</w:t>
      </w:r>
      <w:r>
        <w:rPr>
          <w:spacing w:val="-41"/>
        </w:rPr>
        <w:t> </w:t>
      </w:r>
      <w:r>
        <w:rPr/>
        <w:t>un resultado positivo </w:t>
      </w:r>
      <w:r>
        <w:rPr>
          <w:spacing w:val="-3"/>
        </w:rPr>
        <w:t>no </w:t>
      </w:r>
      <w:r>
        <w:rPr/>
        <w:t>puede ser aceptado </w:t>
      </w:r>
      <w:r>
        <w:rPr>
          <w:spacing w:val="-3"/>
        </w:rPr>
        <w:t>como </w:t>
      </w:r>
      <w:r>
        <w:rPr/>
        <w:t>diagnóstico concluyente, al </w:t>
      </w:r>
      <w:r>
        <w:rPr>
          <w:spacing w:val="-3"/>
        </w:rPr>
        <w:t>no </w:t>
      </w:r>
      <w:r>
        <w:rPr/>
        <w:t>asegurar que detecta </w:t>
      </w:r>
      <w:r>
        <w:rPr>
          <w:spacing w:val="-5"/>
        </w:rPr>
        <w:t>la </w:t>
      </w:r>
      <w:r>
        <w:rPr/>
        <w:t>presencia del agente. En el contexto de </w:t>
      </w:r>
      <w:r>
        <w:rPr>
          <w:spacing w:val="-4"/>
        </w:rPr>
        <w:t>las </w:t>
      </w:r>
      <w:r>
        <w:rPr/>
        <w:t>epizootiologías, el diagnóstico de </w:t>
      </w:r>
      <w:r>
        <w:rPr>
          <w:spacing w:val="-3"/>
        </w:rPr>
        <w:t>la </w:t>
      </w:r>
      <w:r>
        <w:rPr/>
        <w:t>enfermedad infecciosa de IPN debe ser vista </w:t>
      </w:r>
      <w:r>
        <w:rPr>
          <w:spacing w:val="-4"/>
        </w:rPr>
        <w:t>como </w:t>
      </w:r>
      <w:r>
        <w:rPr/>
        <w:t>una herramienta para determinar </w:t>
      </w:r>
      <w:r>
        <w:rPr>
          <w:spacing w:val="-3"/>
        </w:rPr>
        <w:t>la</w:t>
      </w:r>
      <w:r>
        <w:rPr>
          <w:spacing w:val="54"/>
        </w:rPr>
        <w:t> </w:t>
      </w:r>
      <w:r>
        <w:rPr/>
        <w:t>causalidad de </w:t>
      </w:r>
      <w:r>
        <w:rPr>
          <w:spacing w:val="-5"/>
        </w:rPr>
        <w:t>la </w:t>
      </w:r>
      <w:r>
        <w:rPr/>
        <w:t>enfermedad (Bernoth,</w:t>
      </w:r>
      <w:r>
        <w:rPr>
          <w:spacing w:val="6"/>
        </w:rPr>
        <w:t> </w:t>
      </w:r>
      <w:r>
        <w:rPr/>
        <w:t>1999).</w:t>
      </w:r>
    </w:p>
    <w:p>
      <w:pPr>
        <w:pStyle w:val="BodyText"/>
      </w:pPr>
    </w:p>
    <w:p>
      <w:pPr>
        <w:pStyle w:val="Heading2"/>
        <w:numPr>
          <w:ilvl w:val="1"/>
          <w:numId w:val="7"/>
        </w:numPr>
        <w:tabs>
          <w:tab w:pos="638" w:val="left" w:leader="none"/>
        </w:tabs>
        <w:spacing w:line="240" w:lineRule="auto" w:before="150" w:after="0"/>
        <w:ind w:left="637" w:right="0" w:hanging="422"/>
        <w:jc w:val="both"/>
        <w:rPr>
          <w:i/>
        </w:rPr>
      </w:pPr>
      <w:bookmarkStart w:name="_bookmark12" w:id="20"/>
      <w:bookmarkEnd w:id="20"/>
      <w:r>
        <w:rPr>
          <w:b w:val="0"/>
          <w:i w:val="0"/>
        </w:rPr>
      </w:r>
      <w:bookmarkStart w:name="_bookmark12" w:id="21"/>
      <w:bookmarkEnd w:id="21"/>
      <w:r>
        <w:rPr>
          <w:i/>
        </w:rPr>
        <w:t>P</w:t>
      </w:r>
      <w:r>
        <w:rPr>
          <w:i/>
        </w:rPr>
        <w:t>atogénesis</w:t>
      </w:r>
    </w:p>
    <w:p>
      <w:pPr>
        <w:pStyle w:val="BodyText"/>
        <w:spacing w:line="360" w:lineRule="auto" w:before="132"/>
        <w:ind w:left="152" w:right="100"/>
        <w:jc w:val="both"/>
      </w:pPr>
      <w:r>
        <w:rPr/>
        <w:t>El virus ingresa por </w:t>
      </w:r>
      <w:r>
        <w:rPr>
          <w:spacing w:val="-3"/>
        </w:rPr>
        <w:t>las </w:t>
      </w:r>
      <w:r>
        <w:rPr/>
        <w:t>branquias, boca y se </w:t>
      </w:r>
      <w:r>
        <w:rPr>
          <w:spacing w:val="-3"/>
        </w:rPr>
        <w:t>ha </w:t>
      </w:r>
      <w:r>
        <w:rPr/>
        <w:t>reportado que por los poros sensoriales del sistema de línea lateral (Reno, 1999; </w:t>
      </w:r>
      <w:r>
        <w:rPr>
          <w:spacing w:val="-3"/>
        </w:rPr>
        <w:t>Wolf, </w:t>
      </w:r>
      <w:r>
        <w:rPr/>
        <w:t>1988). El periodo de viremia que experimenta el pez</w:t>
      </w:r>
      <w:r>
        <w:rPr>
          <w:spacing w:val="-6"/>
        </w:rPr>
        <w:t> </w:t>
      </w:r>
      <w:r>
        <w:rPr/>
        <w:t>al</w:t>
      </w:r>
      <w:r>
        <w:rPr>
          <w:spacing w:val="-9"/>
        </w:rPr>
        <w:t> </w:t>
      </w:r>
      <w:r>
        <w:rPr/>
        <w:t>ser</w:t>
      </w:r>
      <w:r>
        <w:rPr>
          <w:spacing w:val="1"/>
        </w:rPr>
        <w:t> </w:t>
      </w:r>
      <w:r>
        <w:rPr/>
        <w:t>infectado con</w:t>
      </w:r>
      <w:r>
        <w:rPr>
          <w:spacing w:val="-10"/>
        </w:rPr>
        <w:t> </w:t>
      </w:r>
      <w:r>
        <w:rPr/>
        <w:t>IPNV</w:t>
      </w:r>
      <w:r>
        <w:rPr>
          <w:spacing w:val="-2"/>
        </w:rPr>
        <w:t> </w:t>
      </w:r>
      <w:r>
        <w:rPr/>
        <w:t>se</w:t>
      </w:r>
      <w:r>
        <w:rPr>
          <w:spacing w:val="-6"/>
        </w:rPr>
        <w:t> </w:t>
      </w:r>
      <w:r>
        <w:rPr/>
        <w:t>presenta</w:t>
      </w:r>
      <w:r>
        <w:rPr>
          <w:spacing w:val="-6"/>
        </w:rPr>
        <w:t> </w:t>
      </w:r>
      <w:r>
        <w:rPr/>
        <w:t>a</w:t>
      </w:r>
      <w:r>
        <w:rPr>
          <w:spacing w:val="-1"/>
        </w:rPr>
        <w:t> </w:t>
      </w:r>
      <w:r>
        <w:rPr/>
        <w:t>los</w:t>
      </w:r>
      <w:r>
        <w:rPr>
          <w:spacing w:val="-7"/>
        </w:rPr>
        <w:t> </w:t>
      </w:r>
      <w:r>
        <w:rPr/>
        <w:t>cuatro</w:t>
      </w:r>
      <w:r>
        <w:rPr>
          <w:spacing w:val="-5"/>
        </w:rPr>
        <w:t> </w:t>
      </w:r>
      <w:r>
        <w:rPr/>
        <w:t>días.</w:t>
      </w:r>
      <w:r>
        <w:rPr>
          <w:spacing w:val="2"/>
        </w:rPr>
        <w:t> </w:t>
      </w:r>
      <w:r>
        <w:rPr/>
        <w:t>Antes</w:t>
      </w:r>
      <w:r>
        <w:rPr>
          <w:spacing w:val="-7"/>
        </w:rPr>
        <w:t> </w:t>
      </w:r>
      <w:r>
        <w:rPr/>
        <w:t>de</w:t>
      </w:r>
      <w:r>
        <w:rPr>
          <w:spacing w:val="-6"/>
        </w:rPr>
        <w:t> </w:t>
      </w:r>
      <w:r>
        <w:rPr/>
        <w:t>este</w:t>
      </w:r>
      <w:r>
        <w:rPr>
          <w:spacing w:val="-6"/>
        </w:rPr>
        <w:t> </w:t>
      </w:r>
      <w:r>
        <w:rPr/>
        <w:t>periodo el</w:t>
      </w:r>
      <w:r>
        <w:rPr>
          <w:spacing w:val="-9"/>
        </w:rPr>
        <w:t> </w:t>
      </w:r>
      <w:r>
        <w:rPr/>
        <w:t>virus</w:t>
      </w:r>
      <w:r>
        <w:rPr>
          <w:spacing w:val="-2"/>
        </w:rPr>
        <w:t> </w:t>
      </w:r>
      <w:r>
        <w:rPr>
          <w:spacing w:val="-3"/>
        </w:rPr>
        <w:t>no </w:t>
      </w:r>
      <w:r>
        <w:rPr/>
        <w:t>es</w:t>
      </w:r>
      <w:r>
        <w:rPr>
          <w:spacing w:val="-13"/>
        </w:rPr>
        <w:t> </w:t>
      </w:r>
      <w:r>
        <w:rPr/>
        <w:t>detectable.</w:t>
      </w:r>
      <w:r>
        <w:rPr>
          <w:spacing w:val="-9"/>
        </w:rPr>
        <w:t> </w:t>
      </w:r>
      <w:r>
        <w:rPr/>
        <w:t>Aun</w:t>
      </w:r>
      <w:r>
        <w:rPr>
          <w:spacing w:val="-15"/>
        </w:rPr>
        <w:t> </w:t>
      </w:r>
      <w:r>
        <w:rPr/>
        <w:t>así</w:t>
      </w:r>
      <w:r>
        <w:rPr>
          <w:spacing w:val="-15"/>
        </w:rPr>
        <w:t> </w:t>
      </w:r>
      <w:r>
        <w:rPr/>
        <w:t>en</w:t>
      </w:r>
      <w:r>
        <w:rPr>
          <w:spacing w:val="-15"/>
        </w:rPr>
        <w:t> </w:t>
      </w:r>
      <w:r>
        <w:rPr/>
        <w:t>estudios</w:t>
      </w:r>
      <w:r>
        <w:rPr>
          <w:spacing w:val="-13"/>
        </w:rPr>
        <w:t> </w:t>
      </w:r>
      <w:r>
        <w:rPr/>
        <w:t>experimentales</w:t>
      </w:r>
      <w:r>
        <w:rPr>
          <w:spacing w:val="-8"/>
        </w:rPr>
        <w:t> </w:t>
      </w:r>
      <w:r>
        <w:rPr/>
        <w:t>infectando</w:t>
      </w:r>
      <w:r>
        <w:rPr>
          <w:spacing w:val="-2"/>
        </w:rPr>
        <w:t> </w:t>
      </w:r>
      <w:r>
        <w:rPr/>
        <w:t>alevines</w:t>
      </w:r>
      <w:r>
        <w:rPr>
          <w:spacing w:val="-13"/>
        </w:rPr>
        <w:t> </w:t>
      </w:r>
      <w:r>
        <w:rPr/>
        <w:t>de</w:t>
      </w:r>
      <w:r>
        <w:rPr>
          <w:spacing w:val="-12"/>
        </w:rPr>
        <w:t> </w:t>
      </w:r>
      <w:r>
        <w:rPr/>
        <w:t>truchas,</w:t>
      </w:r>
      <w:r>
        <w:rPr>
          <w:spacing w:val="-9"/>
        </w:rPr>
        <w:t> </w:t>
      </w:r>
      <w:r>
        <w:rPr/>
        <w:t>señalan</w:t>
      </w:r>
      <w:r>
        <w:rPr>
          <w:spacing w:val="-15"/>
        </w:rPr>
        <w:t> </w:t>
      </w:r>
      <w:r>
        <w:rPr/>
        <w:t>que existe un periodo de latencia de unos 2 </w:t>
      </w:r>
      <w:r>
        <w:rPr>
          <w:spacing w:val="-3"/>
        </w:rPr>
        <w:t>días </w:t>
      </w:r>
      <w:r>
        <w:rPr/>
        <w:t>post inoculación en los que se puede detectar virus en agua y en los peces pueden observarse áreas de necrosis en el páncreas exocrino y otros órganos (Swanson y Gillespie, 1981; Reno, 1999). Pero posiblemente por causa del tropismo celular que caracteriza a IPNV, </w:t>
      </w:r>
      <w:r>
        <w:rPr>
          <w:spacing w:val="-5"/>
        </w:rPr>
        <w:t>la </w:t>
      </w:r>
      <w:r>
        <w:rPr/>
        <w:t>distribución viral puede ser variable en los diversos órganos. La patogenia de </w:t>
      </w:r>
      <w:r>
        <w:rPr>
          <w:spacing w:val="-5"/>
        </w:rPr>
        <w:t>la </w:t>
      </w:r>
      <w:r>
        <w:rPr/>
        <w:t>enfermedad de IPN aún </w:t>
      </w:r>
      <w:r>
        <w:rPr>
          <w:spacing w:val="-3"/>
        </w:rPr>
        <w:t>no </w:t>
      </w:r>
      <w:r>
        <w:rPr/>
        <w:t>está bien establecida (Swanson y Gillespie,</w:t>
      </w:r>
      <w:r>
        <w:rPr>
          <w:spacing w:val="-6"/>
        </w:rPr>
        <w:t> </w:t>
      </w:r>
      <w:r>
        <w:rPr/>
        <w:t>1982).</w:t>
      </w:r>
    </w:p>
    <w:p>
      <w:pPr>
        <w:pStyle w:val="BodyText"/>
      </w:pPr>
    </w:p>
    <w:p>
      <w:pPr>
        <w:pStyle w:val="Heading2"/>
        <w:numPr>
          <w:ilvl w:val="1"/>
          <w:numId w:val="7"/>
        </w:numPr>
        <w:tabs>
          <w:tab w:pos="575" w:val="left" w:leader="none"/>
        </w:tabs>
        <w:spacing w:line="240" w:lineRule="auto" w:before="150" w:after="0"/>
        <w:ind w:left="574" w:right="0" w:hanging="422"/>
        <w:jc w:val="both"/>
        <w:rPr>
          <w:i/>
        </w:rPr>
      </w:pPr>
      <w:bookmarkStart w:name="_bookmark13" w:id="22"/>
      <w:bookmarkEnd w:id="22"/>
      <w:r>
        <w:rPr>
          <w:b w:val="0"/>
          <w:i w:val="0"/>
        </w:rPr>
      </w:r>
      <w:bookmarkStart w:name="_bookmark13" w:id="23"/>
      <w:bookmarkEnd w:id="23"/>
      <w:r>
        <w:rPr>
          <w:i/>
        </w:rPr>
        <w:t>P</w:t>
      </w:r>
      <w:r>
        <w:rPr>
          <w:i/>
        </w:rPr>
        <w:t>atología y Signología</w:t>
      </w:r>
      <w:r>
        <w:rPr>
          <w:i/>
          <w:spacing w:val="-8"/>
        </w:rPr>
        <w:t> </w:t>
      </w:r>
      <w:r>
        <w:rPr>
          <w:i/>
        </w:rPr>
        <w:t>Clínica.</w:t>
      </w:r>
    </w:p>
    <w:p>
      <w:pPr>
        <w:pStyle w:val="BodyText"/>
        <w:spacing w:line="360" w:lineRule="auto" w:before="132"/>
        <w:ind w:left="152" w:right="102"/>
        <w:jc w:val="both"/>
      </w:pPr>
      <w:r>
        <w:rPr/>
        <w:t>Los signos clínicos macroscópicos observados en los peces enfermos incluyen: abdomen distendido, nadado errático con rotación en su eje longitudinal, presencia de heces blancas (falsas excretas mucoides) pigmentación oscura, exoftalmia, hemorragia en la parte ventral y  branquias  blanquecinas  (Saint-Jean  </w:t>
      </w:r>
      <w:r>
        <w:rPr>
          <w:i/>
        </w:rPr>
        <w:t>et  al</w:t>
      </w:r>
      <w:r>
        <w:rPr/>
        <w:t>.,  2003).  Aunque  el páncreas  es  el principal</w:t>
      </w:r>
    </w:p>
    <w:p>
      <w:pPr>
        <w:spacing w:after="0" w:line="360" w:lineRule="auto"/>
        <w:jc w:val="both"/>
        <w:sectPr>
          <w:pgSz w:w="12240" w:h="15840"/>
          <w:pgMar w:header="0" w:footer="1382" w:top="1500" w:bottom="1580" w:left="1720" w:right="1420"/>
        </w:sectPr>
      </w:pPr>
    </w:p>
    <w:p>
      <w:pPr>
        <w:pStyle w:val="BodyText"/>
        <w:spacing w:before="7"/>
        <w:rPr>
          <w:sz w:val="25"/>
        </w:rPr>
      </w:pPr>
    </w:p>
    <w:p>
      <w:pPr>
        <w:pStyle w:val="BodyText"/>
        <w:spacing w:line="360" w:lineRule="auto" w:before="70"/>
        <w:ind w:left="152" w:right="102"/>
        <w:jc w:val="both"/>
      </w:pPr>
      <w:r>
        <w:rPr/>
        <w:t>objetivo para </w:t>
      </w:r>
      <w:r>
        <w:rPr>
          <w:spacing w:val="-3"/>
        </w:rPr>
        <w:t>la </w:t>
      </w:r>
      <w:r>
        <w:rPr/>
        <w:t>replicación del virus (Swanson y Gillespie, 1981), en el interior del animal se puede observar que el lumen gástrico e intestinal carece de alimentos y a su vez conteniendo</w:t>
      </w:r>
      <w:r>
        <w:rPr>
          <w:spacing w:val="-14"/>
        </w:rPr>
        <w:t> </w:t>
      </w:r>
      <w:r>
        <w:rPr/>
        <w:t>un</w:t>
      </w:r>
      <w:r>
        <w:rPr>
          <w:spacing w:val="-17"/>
        </w:rPr>
        <w:t> </w:t>
      </w:r>
      <w:r>
        <w:rPr/>
        <w:t>moco</w:t>
      </w:r>
      <w:r>
        <w:rPr>
          <w:spacing w:val="-14"/>
        </w:rPr>
        <w:t> </w:t>
      </w:r>
      <w:r>
        <w:rPr/>
        <w:t>cohesivo</w:t>
      </w:r>
      <w:r>
        <w:rPr>
          <w:spacing w:val="-9"/>
        </w:rPr>
        <w:t> </w:t>
      </w:r>
      <w:r>
        <w:rPr/>
        <w:t>lechoso</w:t>
      </w:r>
      <w:r>
        <w:rPr>
          <w:spacing w:val="-14"/>
        </w:rPr>
        <w:t> </w:t>
      </w:r>
      <w:r>
        <w:rPr/>
        <w:t>considerado</w:t>
      </w:r>
      <w:r>
        <w:rPr>
          <w:spacing w:val="-14"/>
        </w:rPr>
        <w:t> </w:t>
      </w:r>
      <w:r>
        <w:rPr/>
        <w:t>patognomónico</w:t>
      </w:r>
      <w:r>
        <w:rPr>
          <w:spacing w:val="-14"/>
        </w:rPr>
        <w:t> </w:t>
      </w:r>
      <w:r>
        <w:rPr/>
        <w:t>(Saint-Jean</w:t>
      </w:r>
      <w:r>
        <w:rPr>
          <w:spacing w:val="-22"/>
        </w:rPr>
        <w:t> </w:t>
      </w:r>
      <w:r>
        <w:rPr>
          <w:i/>
        </w:rPr>
        <w:t>et</w:t>
      </w:r>
      <w:r>
        <w:rPr>
          <w:i/>
          <w:spacing w:val="-17"/>
        </w:rPr>
        <w:t> </w:t>
      </w:r>
      <w:r>
        <w:rPr>
          <w:i/>
        </w:rPr>
        <w:t>al</w:t>
      </w:r>
      <w:r>
        <w:rPr/>
        <w:t>.,</w:t>
      </w:r>
      <w:r>
        <w:rPr>
          <w:spacing w:val="-15"/>
        </w:rPr>
        <w:t> </w:t>
      </w:r>
      <w:r>
        <w:rPr/>
        <w:t>2003). Con histopatología se puede encontrar en páncreas una severa y masiva necrosis en células acinares con picnosis nuclear y cariorrexis. </w:t>
      </w:r>
      <w:r>
        <w:rPr>
          <w:spacing w:val="3"/>
        </w:rPr>
        <w:t>El </w:t>
      </w:r>
      <w:r>
        <w:rPr/>
        <w:t>objetivo primario de </w:t>
      </w:r>
      <w:r>
        <w:rPr>
          <w:spacing w:val="-3"/>
        </w:rPr>
        <w:t>la </w:t>
      </w:r>
      <w:r>
        <w:rPr/>
        <w:t>infección viral es </w:t>
      </w:r>
      <w:r>
        <w:rPr>
          <w:spacing w:val="-3"/>
        </w:rPr>
        <w:t>la </w:t>
      </w:r>
      <w:r>
        <w:rPr/>
        <w:t>célula pancreática y lesiones necróticas focalizadas en tejido pancreático exocrino que pueden</w:t>
      </w:r>
      <w:r>
        <w:rPr>
          <w:spacing w:val="-21"/>
        </w:rPr>
        <w:t> </w:t>
      </w:r>
      <w:r>
        <w:rPr/>
        <w:t>detectarse</w:t>
      </w:r>
      <w:r>
        <w:rPr>
          <w:spacing w:val="-17"/>
        </w:rPr>
        <w:t> </w:t>
      </w:r>
      <w:r>
        <w:rPr/>
        <w:t>por</w:t>
      </w:r>
      <w:r>
        <w:rPr>
          <w:spacing w:val="-15"/>
        </w:rPr>
        <w:t> </w:t>
      </w:r>
      <w:r>
        <w:rPr/>
        <w:t>examen</w:t>
      </w:r>
      <w:r>
        <w:rPr>
          <w:spacing w:val="-16"/>
        </w:rPr>
        <w:t> </w:t>
      </w:r>
      <w:r>
        <w:rPr/>
        <w:t>histopatológico</w:t>
      </w:r>
      <w:r>
        <w:rPr>
          <w:spacing w:val="-12"/>
        </w:rPr>
        <w:t> </w:t>
      </w:r>
      <w:r>
        <w:rPr/>
        <w:t>(Ortega</w:t>
      </w:r>
      <w:r>
        <w:rPr>
          <w:spacing w:val="-13"/>
        </w:rPr>
        <w:t> </w:t>
      </w:r>
      <w:r>
        <w:rPr>
          <w:i/>
        </w:rPr>
        <w:t>et</w:t>
      </w:r>
      <w:r>
        <w:rPr>
          <w:i/>
          <w:spacing w:val="-16"/>
        </w:rPr>
        <w:t> </w:t>
      </w:r>
      <w:r>
        <w:rPr>
          <w:i/>
        </w:rPr>
        <w:t>al</w:t>
      </w:r>
      <w:r>
        <w:rPr/>
        <w:t>.,</w:t>
      </w:r>
      <w:r>
        <w:rPr>
          <w:spacing w:val="-18"/>
        </w:rPr>
        <w:t> </w:t>
      </w:r>
      <w:r>
        <w:rPr/>
        <w:t>2011).</w:t>
      </w:r>
      <w:r>
        <w:rPr>
          <w:spacing w:val="-14"/>
        </w:rPr>
        <w:t> </w:t>
      </w:r>
      <w:r>
        <w:rPr/>
        <w:t>Además</w:t>
      </w:r>
      <w:r>
        <w:rPr>
          <w:spacing w:val="-19"/>
        </w:rPr>
        <w:t> </w:t>
      </w:r>
      <w:r>
        <w:rPr/>
        <w:t>el</w:t>
      </w:r>
      <w:r>
        <w:rPr>
          <w:spacing w:val="-23"/>
        </w:rPr>
        <w:t> </w:t>
      </w:r>
      <w:r>
        <w:rPr/>
        <w:t>tejido</w:t>
      </w:r>
      <w:r>
        <w:rPr>
          <w:spacing w:val="-12"/>
        </w:rPr>
        <w:t> </w:t>
      </w:r>
      <w:r>
        <w:rPr/>
        <w:t>adiposo adyacente puede estar dañado. Otra característica es </w:t>
      </w:r>
      <w:r>
        <w:rPr>
          <w:spacing w:val="-5"/>
        </w:rPr>
        <w:t>la </w:t>
      </w:r>
      <w:r>
        <w:rPr/>
        <w:t>presencia de células epiteliales </w:t>
      </w:r>
      <w:r>
        <w:rPr>
          <w:spacing w:val="2"/>
        </w:rPr>
        <w:t>del </w:t>
      </w:r>
      <w:r>
        <w:rPr/>
        <w:t>ciego</w:t>
      </w:r>
      <w:r>
        <w:rPr>
          <w:spacing w:val="-8"/>
        </w:rPr>
        <w:t> </w:t>
      </w:r>
      <w:r>
        <w:rPr/>
        <w:t>pilórico</w:t>
      </w:r>
      <w:r>
        <w:rPr>
          <w:spacing w:val="-8"/>
        </w:rPr>
        <w:t> </w:t>
      </w:r>
      <w:r>
        <w:rPr/>
        <w:t>que</w:t>
      </w:r>
      <w:r>
        <w:rPr>
          <w:spacing w:val="-14"/>
        </w:rPr>
        <w:t> </w:t>
      </w:r>
      <w:r>
        <w:rPr/>
        <w:t>se</w:t>
      </w:r>
      <w:r>
        <w:rPr>
          <w:spacing w:val="-14"/>
        </w:rPr>
        <w:t> </w:t>
      </w:r>
      <w:r>
        <w:rPr/>
        <w:t>hinchan</w:t>
      </w:r>
      <w:r>
        <w:rPr>
          <w:spacing w:val="-13"/>
        </w:rPr>
        <w:t> </w:t>
      </w:r>
      <w:r>
        <w:rPr/>
        <w:t>y</w:t>
      </w:r>
      <w:r>
        <w:rPr>
          <w:spacing w:val="-21"/>
        </w:rPr>
        <w:t> </w:t>
      </w:r>
      <w:r>
        <w:rPr/>
        <w:t>desarrollan</w:t>
      </w:r>
      <w:r>
        <w:rPr>
          <w:spacing w:val="-13"/>
        </w:rPr>
        <w:t> </w:t>
      </w:r>
      <w:r>
        <w:rPr/>
        <w:t>núcleos</w:t>
      </w:r>
      <w:r>
        <w:rPr>
          <w:spacing w:val="-14"/>
        </w:rPr>
        <w:t> </w:t>
      </w:r>
      <w:r>
        <w:rPr/>
        <w:t>fragmentados.</w:t>
      </w:r>
      <w:r>
        <w:rPr>
          <w:spacing w:val="-11"/>
        </w:rPr>
        <w:t> </w:t>
      </w:r>
      <w:r>
        <w:rPr/>
        <w:t>De</w:t>
      </w:r>
      <w:r>
        <w:rPr>
          <w:spacing w:val="-14"/>
        </w:rPr>
        <w:t> </w:t>
      </w:r>
      <w:r>
        <w:rPr/>
        <w:t>acuerdo</w:t>
      </w:r>
      <w:r>
        <w:rPr>
          <w:spacing w:val="-8"/>
        </w:rPr>
        <w:t> </w:t>
      </w:r>
      <w:r>
        <w:rPr/>
        <w:t>con</w:t>
      </w:r>
      <w:r>
        <w:rPr>
          <w:spacing w:val="-14"/>
        </w:rPr>
        <w:t> </w:t>
      </w:r>
      <w:r>
        <w:rPr/>
        <w:t>McKnight y Roberts (1976) el citoplasma se torna eosinófilico. En algunos ocasiones aparecen las inclusiones</w:t>
      </w:r>
      <w:r>
        <w:rPr>
          <w:spacing w:val="-13"/>
        </w:rPr>
        <w:t> </w:t>
      </w:r>
      <w:r>
        <w:rPr/>
        <w:t>citoplasmáticas</w:t>
      </w:r>
      <w:r>
        <w:rPr>
          <w:spacing w:val="-14"/>
        </w:rPr>
        <w:t> </w:t>
      </w:r>
      <w:r>
        <w:rPr/>
        <w:t>basófilas</w:t>
      </w:r>
      <w:r>
        <w:rPr>
          <w:spacing w:val="-14"/>
        </w:rPr>
        <w:t> </w:t>
      </w:r>
      <w:r>
        <w:rPr/>
        <w:t>(Smail</w:t>
      </w:r>
      <w:r>
        <w:rPr>
          <w:spacing w:val="-13"/>
        </w:rPr>
        <w:t> </w:t>
      </w:r>
      <w:r>
        <w:rPr>
          <w:i/>
        </w:rPr>
        <w:t>et</w:t>
      </w:r>
      <w:r>
        <w:rPr>
          <w:i/>
          <w:spacing w:val="-12"/>
        </w:rPr>
        <w:t> </w:t>
      </w:r>
      <w:r>
        <w:rPr>
          <w:i/>
        </w:rPr>
        <w:t>al</w:t>
      </w:r>
      <w:r>
        <w:rPr/>
        <w:t>.,</w:t>
      </w:r>
      <w:r>
        <w:rPr>
          <w:spacing w:val="-19"/>
        </w:rPr>
        <w:t> </w:t>
      </w:r>
      <w:r>
        <w:rPr/>
        <w:t>1995).</w:t>
      </w:r>
      <w:r>
        <w:rPr>
          <w:spacing w:val="30"/>
        </w:rPr>
        <w:t> </w:t>
      </w:r>
      <w:r>
        <w:rPr/>
        <w:t>En</w:t>
      </w:r>
      <w:r>
        <w:rPr>
          <w:spacing w:val="-16"/>
        </w:rPr>
        <w:t> </w:t>
      </w:r>
      <w:r>
        <w:rPr/>
        <w:t>larvas,</w:t>
      </w:r>
      <w:r>
        <w:rPr>
          <w:spacing w:val="-10"/>
        </w:rPr>
        <w:t> </w:t>
      </w:r>
      <w:r>
        <w:rPr/>
        <w:t>el</w:t>
      </w:r>
      <w:r>
        <w:rPr>
          <w:spacing w:val="-21"/>
        </w:rPr>
        <w:t> </w:t>
      </w:r>
      <w:r>
        <w:rPr/>
        <w:t>bazo,</w:t>
      </w:r>
      <w:r>
        <w:rPr>
          <w:spacing w:val="-11"/>
        </w:rPr>
        <w:t> </w:t>
      </w:r>
      <w:r>
        <w:rPr/>
        <w:t>corazón,</w:t>
      </w:r>
      <w:r>
        <w:rPr>
          <w:spacing w:val="-11"/>
        </w:rPr>
        <w:t> </w:t>
      </w:r>
      <w:r>
        <w:rPr>
          <w:spacing w:val="-2"/>
        </w:rPr>
        <w:t>hígado </w:t>
      </w:r>
      <w:r>
        <w:rPr/>
        <w:t>y riñones se presentan de color pálido, y tracto digestivo siempre desprovisto de alimentos (Wolf, 1988). Además están presentes hemorragias petequiales en vísceras; mientras que en alevines</w:t>
      </w:r>
      <w:r>
        <w:rPr>
          <w:spacing w:val="-14"/>
        </w:rPr>
        <w:t> </w:t>
      </w:r>
      <w:r>
        <w:rPr/>
        <w:t>éstas</w:t>
      </w:r>
      <w:r>
        <w:rPr>
          <w:spacing w:val="-14"/>
        </w:rPr>
        <w:t> </w:t>
      </w:r>
      <w:r>
        <w:rPr/>
        <w:t>se</w:t>
      </w:r>
      <w:r>
        <w:rPr>
          <w:spacing w:val="-9"/>
        </w:rPr>
        <w:t> </w:t>
      </w:r>
      <w:r>
        <w:rPr/>
        <w:t>muestran</w:t>
      </w:r>
      <w:r>
        <w:rPr>
          <w:spacing w:val="-16"/>
        </w:rPr>
        <w:t> </w:t>
      </w:r>
      <w:r>
        <w:rPr/>
        <w:t>pálidas.</w:t>
      </w:r>
      <w:r>
        <w:rPr>
          <w:spacing w:val="-8"/>
        </w:rPr>
        <w:t> </w:t>
      </w:r>
      <w:r>
        <w:rPr/>
        <w:t>Se</w:t>
      </w:r>
      <w:r>
        <w:rPr>
          <w:spacing w:val="-13"/>
        </w:rPr>
        <w:t> </w:t>
      </w:r>
      <w:r>
        <w:rPr>
          <w:spacing w:val="-3"/>
        </w:rPr>
        <w:t>ha</w:t>
      </w:r>
      <w:r>
        <w:rPr>
          <w:spacing w:val="-13"/>
        </w:rPr>
        <w:t> </w:t>
      </w:r>
      <w:r>
        <w:rPr/>
        <w:t>observado</w:t>
      </w:r>
      <w:r>
        <w:rPr>
          <w:spacing w:val="-6"/>
        </w:rPr>
        <w:t> </w:t>
      </w:r>
      <w:r>
        <w:rPr/>
        <w:t>en</w:t>
      </w:r>
      <w:r>
        <w:rPr>
          <w:spacing w:val="-16"/>
        </w:rPr>
        <w:t> </w:t>
      </w:r>
      <w:r>
        <w:rPr/>
        <w:t>otras</w:t>
      </w:r>
      <w:r>
        <w:rPr>
          <w:spacing w:val="-14"/>
        </w:rPr>
        <w:t> </w:t>
      </w:r>
      <w:r>
        <w:rPr/>
        <w:t>especies</w:t>
      </w:r>
      <w:r>
        <w:rPr>
          <w:spacing w:val="-14"/>
        </w:rPr>
        <w:t> </w:t>
      </w:r>
      <w:r>
        <w:rPr/>
        <w:t>de</w:t>
      </w:r>
      <w:r>
        <w:rPr>
          <w:spacing w:val="-13"/>
        </w:rPr>
        <w:t> </w:t>
      </w:r>
      <w:r>
        <w:rPr/>
        <w:t>peces</w:t>
      </w:r>
      <w:r>
        <w:rPr>
          <w:spacing w:val="-14"/>
        </w:rPr>
        <w:t> </w:t>
      </w:r>
      <w:r>
        <w:rPr/>
        <w:t>dulceacuícolas y</w:t>
      </w:r>
      <w:r>
        <w:rPr>
          <w:spacing w:val="-10"/>
        </w:rPr>
        <w:t> </w:t>
      </w:r>
      <w:r>
        <w:rPr/>
        <w:t>marinas</w:t>
      </w:r>
      <w:r>
        <w:rPr>
          <w:spacing w:val="-12"/>
        </w:rPr>
        <w:t> </w:t>
      </w:r>
      <w:r>
        <w:rPr/>
        <w:t>que</w:t>
      </w:r>
      <w:r>
        <w:rPr>
          <w:spacing w:val="-11"/>
        </w:rPr>
        <w:t> </w:t>
      </w:r>
      <w:r>
        <w:rPr/>
        <w:t>distintas</w:t>
      </w:r>
      <w:r>
        <w:rPr>
          <w:spacing w:val="-12"/>
        </w:rPr>
        <w:t> </w:t>
      </w:r>
      <w:r>
        <w:rPr/>
        <w:t>cepas</w:t>
      </w:r>
      <w:r>
        <w:rPr>
          <w:spacing w:val="-12"/>
        </w:rPr>
        <w:t> </w:t>
      </w:r>
      <w:r>
        <w:rPr/>
        <w:t>de</w:t>
      </w:r>
      <w:r>
        <w:rPr>
          <w:spacing w:val="-5"/>
        </w:rPr>
        <w:t> </w:t>
      </w:r>
      <w:r>
        <w:rPr/>
        <w:t>birnavirus</w:t>
      </w:r>
      <w:r>
        <w:rPr>
          <w:spacing w:val="-12"/>
        </w:rPr>
        <w:t> </w:t>
      </w:r>
      <w:r>
        <w:rPr/>
        <w:t>acuáticos</w:t>
      </w:r>
      <w:r>
        <w:rPr>
          <w:spacing w:val="-12"/>
        </w:rPr>
        <w:t> </w:t>
      </w:r>
      <w:r>
        <w:rPr/>
        <w:t>producen</w:t>
      </w:r>
      <w:r>
        <w:rPr>
          <w:spacing w:val="-14"/>
        </w:rPr>
        <w:t> </w:t>
      </w:r>
      <w:r>
        <w:rPr/>
        <w:t>diferentes</w:t>
      </w:r>
      <w:r>
        <w:rPr>
          <w:spacing w:val="-12"/>
        </w:rPr>
        <w:t> </w:t>
      </w:r>
      <w:r>
        <w:rPr/>
        <w:t>enfermedades</w:t>
      </w:r>
      <w:r>
        <w:rPr>
          <w:spacing w:val="-6"/>
        </w:rPr>
        <w:t> </w:t>
      </w:r>
      <w:r>
        <w:rPr/>
        <w:t>(Lee </w:t>
      </w:r>
      <w:r>
        <w:rPr>
          <w:i/>
        </w:rPr>
        <w:t>et al</w:t>
      </w:r>
      <w:r>
        <w:rPr/>
        <w:t>., 1999). Nefroblastoma y branquionefritis (Sano </w:t>
      </w:r>
      <w:r>
        <w:rPr>
          <w:i/>
        </w:rPr>
        <w:t>et al</w:t>
      </w:r>
      <w:r>
        <w:rPr/>
        <w:t>., 1981) afectando </w:t>
      </w:r>
      <w:r>
        <w:rPr>
          <w:spacing w:val="-5"/>
        </w:rPr>
        <w:t>la </w:t>
      </w:r>
      <w:r>
        <w:rPr/>
        <w:t>anguila japonesa, ascitis en juveniles de </w:t>
      </w:r>
      <w:r>
        <w:rPr>
          <w:i/>
        </w:rPr>
        <w:t>Seriola quinqueradiata </w:t>
      </w:r>
      <w:r>
        <w:rPr/>
        <w:t>(Sorimachi y Hara, 1985), enfermedad</w:t>
      </w:r>
      <w:r>
        <w:rPr>
          <w:spacing w:val="-12"/>
        </w:rPr>
        <w:t> </w:t>
      </w:r>
      <w:r>
        <w:rPr/>
        <w:t>de</w:t>
      </w:r>
      <w:r>
        <w:rPr>
          <w:spacing w:val="-13"/>
        </w:rPr>
        <w:t> </w:t>
      </w:r>
      <w:r>
        <w:rPr/>
        <w:t>“</w:t>
      </w:r>
      <w:r>
        <w:rPr>
          <w:i/>
        </w:rPr>
        <w:t>spinning”</w:t>
      </w:r>
      <w:r>
        <w:rPr>
          <w:i/>
          <w:spacing w:val="-10"/>
        </w:rPr>
        <w:t> </w:t>
      </w:r>
      <w:r>
        <w:rPr/>
        <w:t>en-menhaden</w:t>
      </w:r>
      <w:r>
        <w:rPr>
          <w:spacing w:val="-16"/>
        </w:rPr>
        <w:t> </w:t>
      </w:r>
      <w:r>
        <w:rPr/>
        <w:t>del</w:t>
      </w:r>
      <w:r>
        <w:rPr>
          <w:spacing w:val="-16"/>
        </w:rPr>
        <w:t> </w:t>
      </w:r>
      <w:r>
        <w:rPr/>
        <w:t>Atlántico</w:t>
      </w:r>
      <w:r>
        <w:rPr>
          <w:spacing w:val="-6"/>
        </w:rPr>
        <w:t> </w:t>
      </w:r>
      <w:r>
        <w:rPr/>
        <w:t>(Stephens</w:t>
      </w:r>
      <w:r>
        <w:rPr>
          <w:spacing w:val="-13"/>
        </w:rPr>
        <w:t> </w:t>
      </w:r>
      <w:r>
        <w:rPr>
          <w:i/>
        </w:rPr>
        <w:t>et</w:t>
      </w:r>
      <w:r>
        <w:rPr>
          <w:i/>
          <w:spacing w:val="-11"/>
        </w:rPr>
        <w:t> </w:t>
      </w:r>
      <w:r>
        <w:rPr>
          <w:i/>
        </w:rPr>
        <w:t>al</w:t>
      </w:r>
      <w:r>
        <w:rPr/>
        <w:t>.,</w:t>
      </w:r>
      <w:r>
        <w:rPr>
          <w:spacing w:val="-14"/>
        </w:rPr>
        <w:t> </w:t>
      </w:r>
      <w:r>
        <w:rPr/>
        <w:t>1980),</w:t>
      </w:r>
      <w:r>
        <w:rPr>
          <w:spacing w:val="-10"/>
        </w:rPr>
        <w:t> </w:t>
      </w:r>
      <w:r>
        <w:rPr/>
        <w:t>e</w:t>
      </w:r>
      <w:r>
        <w:rPr>
          <w:spacing w:val="-17"/>
        </w:rPr>
        <w:t> </w:t>
      </w:r>
      <w:r>
        <w:rPr/>
        <w:t>insuficiencia renal y necrosis en rodaballos (Castric </w:t>
      </w:r>
      <w:r>
        <w:rPr>
          <w:i/>
        </w:rPr>
        <w:t>et al</w:t>
      </w:r>
      <w:r>
        <w:rPr/>
        <w:t>.,</w:t>
      </w:r>
      <w:r>
        <w:rPr>
          <w:spacing w:val="-14"/>
        </w:rPr>
        <w:t> </w:t>
      </w:r>
      <w:r>
        <w:rPr/>
        <w:t>1987).</w:t>
      </w:r>
    </w:p>
    <w:p>
      <w:pPr>
        <w:pStyle w:val="BodyText"/>
      </w:pPr>
    </w:p>
    <w:p>
      <w:pPr>
        <w:pStyle w:val="Heading2"/>
        <w:numPr>
          <w:ilvl w:val="1"/>
          <w:numId w:val="7"/>
        </w:numPr>
        <w:tabs>
          <w:tab w:pos="576" w:val="left" w:leader="none"/>
        </w:tabs>
        <w:spacing w:line="240" w:lineRule="auto" w:before="150" w:after="0"/>
        <w:ind w:left="575" w:right="0" w:hanging="423"/>
        <w:jc w:val="both"/>
        <w:rPr>
          <w:i/>
        </w:rPr>
      </w:pPr>
      <w:bookmarkStart w:name="_bookmark14" w:id="24"/>
      <w:bookmarkEnd w:id="24"/>
      <w:r>
        <w:rPr>
          <w:b w:val="0"/>
          <w:i w:val="0"/>
        </w:rPr>
      </w:r>
      <w:bookmarkStart w:name="_bookmark14" w:id="25"/>
      <w:bookmarkEnd w:id="25"/>
      <w:r>
        <w:rPr>
          <w:i/>
        </w:rPr>
        <w:t>P</w:t>
      </w:r>
      <w:r>
        <w:rPr>
          <w:i/>
        </w:rPr>
        <w:t>revención y control de</w:t>
      </w:r>
      <w:r>
        <w:rPr>
          <w:i/>
          <w:spacing w:val="-7"/>
        </w:rPr>
        <w:t> </w:t>
      </w:r>
      <w:r>
        <w:rPr>
          <w:i/>
        </w:rPr>
        <w:t>IPNV</w:t>
      </w:r>
    </w:p>
    <w:p>
      <w:pPr>
        <w:pStyle w:val="BodyText"/>
        <w:spacing w:line="360" w:lineRule="auto" w:before="132"/>
        <w:ind w:left="152" w:right="102"/>
        <w:jc w:val="both"/>
      </w:pPr>
      <w:r>
        <w:rPr/>
        <w:t>Al</w:t>
      </w:r>
      <w:r>
        <w:rPr>
          <w:spacing w:val="-9"/>
        </w:rPr>
        <w:t> </w:t>
      </w:r>
      <w:r>
        <w:rPr/>
        <w:t>día</w:t>
      </w:r>
      <w:r>
        <w:rPr>
          <w:spacing w:val="-5"/>
        </w:rPr>
        <w:t> </w:t>
      </w:r>
      <w:r>
        <w:rPr/>
        <w:t>de hoy</w:t>
      </w:r>
      <w:r>
        <w:rPr>
          <w:spacing w:val="-8"/>
        </w:rPr>
        <w:t> </w:t>
      </w:r>
      <w:r>
        <w:rPr>
          <w:spacing w:val="-3"/>
        </w:rPr>
        <w:t>no</w:t>
      </w:r>
      <w:r>
        <w:rPr>
          <w:spacing w:val="1"/>
        </w:rPr>
        <w:t> </w:t>
      </w:r>
      <w:r>
        <w:rPr/>
        <w:t>existen</w:t>
      </w:r>
      <w:r>
        <w:rPr>
          <w:spacing w:val="-8"/>
        </w:rPr>
        <w:t> </w:t>
      </w:r>
      <w:r>
        <w:rPr/>
        <w:t>tratamientos</w:t>
      </w:r>
      <w:r>
        <w:rPr>
          <w:spacing w:val="-6"/>
        </w:rPr>
        <w:t> </w:t>
      </w:r>
      <w:r>
        <w:rPr/>
        <w:t>ni</w:t>
      </w:r>
      <w:r>
        <w:rPr>
          <w:spacing w:val="-8"/>
        </w:rPr>
        <w:t> </w:t>
      </w:r>
      <w:r>
        <w:rPr/>
        <w:t>medidas</w:t>
      </w:r>
      <w:r>
        <w:rPr>
          <w:spacing w:val="-6"/>
        </w:rPr>
        <w:t> </w:t>
      </w:r>
      <w:r>
        <w:rPr/>
        <w:t>de</w:t>
      </w:r>
      <w:r>
        <w:rPr>
          <w:spacing w:val="-5"/>
        </w:rPr>
        <w:t> </w:t>
      </w:r>
      <w:r>
        <w:rPr/>
        <w:t>control</w:t>
      </w:r>
      <w:r>
        <w:rPr>
          <w:spacing w:val="-8"/>
        </w:rPr>
        <w:t> </w:t>
      </w:r>
      <w:r>
        <w:rPr/>
        <w:t>fiables</w:t>
      </w:r>
      <w:r>
        <w:rPr>
          <w:spacing w:val="-6"/>
        </w:rPr>
        <w:t> </w:t>
      </w:r>
      <w:r>
        <w:rPr/>
        <w:t>para</w:t>
      </w:r>
      <w:r>
        <w:rPr>
          <w:spacing w:val="-5"/>
        </w:rPr>
        <w:t> </w:t>
      </w:r>
      <w:r>
        <w:rPr/>
        <w:t>erradicar</w:t>
      </w:r>
      <w:r>
        <w:rPr>
          <w:spacing w:val="1"/>
        </w:rPr>
        <w:t> </w:t>
      </w:r>
      <w:r>
        <w:rPr>
          <w:spacing w:val="-3"/>
        </w:rPr>
        <w:t>la</w:t>
      </w:r>
      <w:r>
        <w:rPr/>
        <w:t> necrosis pancreática infecciosa. El control se realiza </w:t>
      </w:r>
      <w:r>
        <w:rPr>
          <w:spacing w:val="2"/>
        </w:rPr>
        <w:t>por </w:t>
      </w:r>
      <w:r>
        <w:rPr/>
        <w:t>varios </w:t>
      </w:r>
      <w:r>
        <w:rPr>
          <w:spacing w:val="-3"/>
        </w:rPr>
        <w:t>medios </w:t>
      </w:r>
      <w:r>
        <w:rPr/>
        <w:t>incluyendo medidas zoosanitarias e higiénicas (Saint-Jean </w:t>
      </w:r>
      <w:r>
        <w:rPr>
          <w:i/>
        </w:rPr>
        <w:t>et al., </w:t>
      </w:r>
      <w:r>
        <w:rPr/>
        <w:t>2003). Debido a que el virus es estable al </w:t>
      </w:r>
      <w:r>
        <w:rPr>
          <w:spacing w:val="-4"/>
        </w:rPr>
        <w:t>medio </w:t>
      </w:r>
      <w:r>
        <w:rPr/>
        <w:t>ambiente </w:t>
      </w:r>
      <w:r>
        <w:rPr>
          <w:spacing w:val="-3"/>
        </w:rPr>
        <w:t>las </w:t>
      </w:r>
      <w:r>
        <w:rPr/>
        <w:t>precauciones sanitarias deben ser estrictamente aplicadas. Para evitar casos clínicos, juveniles se pueden criar en aguas libres de virus durante los primeros 6 </w:t>
      </w:r>
      <w:r>
        <w:rPr>
          <w:spacing w:val="-3"/>
        </w:rPr>
        <w:t>meses ya </w:t>
      </w:r>
      <w:r>
        <w:rPr/>
        <w:t>que por </w:t>
      </w:r>
      <w:r>
        <w:rPr>
          <w:spacing w:val="-5"/>
        </w:rPr>
        <w:t>lo </w:t>
      </w:r>
      <w:r>
        <w:rPr/>
        <w:t>general después de este periodo los animales </w:t>
      </w:r>
      <w:r>
        <w:rPr>
          <w:spacing w:val="-3"/>
        </w:rPr>
        <w:t>no </w:t>
      </w:r>
      <w:r>
        <w:rPr/>
        <w:t>llegan a enfermar aunque sean transferidos a </w:t>
      </w:r>
      <w:r>
        <w:rPr>
          <w:spacing w:val="-5"/>
        </w:rPr>
        <w:t>la </w:t>
      </w:r>
      <w:r>
        <w:rPr/>
        <w:t>etapa de engorde a estanques con agua contaminada con el virus (Noga, 1996).</w:t>
      </w:r>
      <w:r>
        <w:rPr>
          <w:spacing w:val="11"/>
        </w:rPr>
        <w:t> </w:t>
      </w:r>
      <w:r>
        <w:rPr/>
        <w:t>En</w:t>
      </w:r>
      <w:r>
        <w:rPr>
          <w:spacing w:val="14"/>
        </w:rPr>
        <w:t> </w:t>
      </w:r>
      <w:r>
        <w:rPr>
          <w:spacing w:val="-5"/>
        </w:rPr>
        <w:t>lo</w:t>
      </w:r>
      <w:r>
        <w:rPr>
          <w:spacing w:val="19"/>
        </w:rPr>
        <w:t> </w:t>
      </w:r>
      <w:r>
        <w:rPr/>
        <w:t>que</w:t>
      </w:r>
      <w:r>
        <w:rPr>
          <w:spacing w:val="13"/>
        </w:rPr>
        <w:t> </w:t>
      </w:r>
      <w:r>
        <w:rPr/>
        <w:t>respecta</w:t>
      </w:r>
      <w:r>
        <w:rPr>
          <w:spacing w:val="8"/>
        </w:rPr>
        <w:t> </w:t>
      </w:r>
      <w:r>
        <w:rPr/>
        <w:t>a</w:t>
      </w:r>
      <w:r>
        <w:rPr>
          <w:spacing w:val="14"/>
        </w:rPr>
        <w:t> </w:t>
      </w:r>
      <w:r>
        <w:rPr/>
        <w:t>medidas</w:t>
      </w:r>
      <w:r>
        <w:rPr>
          <w:spacing w:val="12"/>
        </w:rPr>
        <w:t> </w:t>
      </w:r>
      <w:r>
        <w:rPr/>
        <w:t>de</w:t>
      </w:r>
      <w:r>
        <w:rPr>
          <w:spacing w:val="13"/>
        </w:rPr>
        <w:t> </w:t>
      </w:r>
      <w:r>
        <w:rPr/>
        <w:t>vacunación</w:t>
      </w:r>
      <w:r>
        <w:rPr>
          <w:spacing w:val="9"/>
        </w:rPr>
        <w:t> </w:t>
      </w:r>
      <w:r>
        <w:rPr/>
        <w:t>contra</w:t>
      </w:r>
      <w:r>
        <w:rPr>
          <w:spacing w:val="13"/>
        </w:rPr>
        <w:t> </w:t>
      </w:r>
      <w:r>
        <w:rPr/>
        <w:t>IPNV,</w:t>
      </w:r>
      <w:r>
        <w:rPr>
          <w:spacing w:val="16"/>
        </w:rPr>
        <w:t> </w:t>
      </w:r>
      <w:r>
        <w:rPr>
          <w:spacing w:val="-4"/>
        </w:rPr>
        <w:t>las</w:t>
      </w:r>
      <w:r>
        <w:rPr>
          <w:spacing w:val="17"/>
        </w:rPr>
        <w:t> </w:t>
      </w:r>
      <w:r>
        <w:rPr/>
        <w:t>de</w:t>
      </w:r>
      <w:r>
        <w:rPr>
          <w:spacing w:val="14"/>
        </w:rPr>
        <w:t> </w:t>
      </w:r>
      <w:r>
        <w:rPr/>
        <w:t>tipo</w:t>
      </w:r>
      <w:r>
        <w:rPr>
          <w:spacing w:val="19"/>
        </w:rPr>
        <w:t> </w:t>
      </w:r>
      <w:r>
        <w:rPr/>
        <w:t>atenuada</w:t>
      </w:r>
      <w:r>
        <w:rPr>
          <w:spacing w:val="14"/>
        </w:rPr>
        <w:t> </w:t>
      </w:r>
      <w:r>
        <w:rPr/>
        <w:t>han</w:t>
      </w:r>
    </w:p>
    <w:p>
      <w:pPr>
        <w:spacing w:after="0" w:line="360" w:lineRule="auto"/>
        <w:jc w:val="both"/>
        <w:sectPr>
          <w:pgSz w:w="12240" w:h="15840"/>
          <w:pgMar w:header="0" w:footer="1382" w:top="1500" w:bottom="1580" w:left="1720" w:right="1420"/>
        </w:sectPr>
      </w:pPr>
    </w:p>
    <w:p>
      <w:pPr>
        <w:pStyle w:val="BodyText"/>
        <w:spacing w:before="7"/>
        <w:rPr>
          <w:sz w:val="25"/>
        </w:rPr>
      </w:pPr>
    </w:p>
    <w:p>
      <w:pPr>
        <w:pStyle w:val="BodyText"/>
        <w:spacing w:line="360" w:lineRule="auto" w:before="70"/>
        <w:ind w:left="152" w:right="100"/>
        <w:jc w:val="both"/>
      </w:pPr>
      <w:r>
        <w:rPr/>
        <w:t>resultado ser </w:t>
      </w:r>
      <w:r>
        <w:rPr>
          <w:spacing w:val="-4"/>
        </w:rPr>
        <w:t>más </w:t>
      </w:r>
      <w:r>
        <w:rPr/>
        <w:t>efectivas y estimulan tanto </w:t>
      </w:r>
      <w:r>
        <w:rPr>
          <w:spacing w:val="-5"/>
        </w:rPr>
        <w:t>la </w:t>
      </w:r>
      <w:r>
        <w:rPr/>
        <w:t>respuesta inmune humoral como celular. Sin embargo, existe el riesgo de reversión a </w:t>
      </w:r>
      <w:r>
        <w:rPr>
          <w:spacing w:val="-5"/>
        </w:rPr>
        <w:t>la </w:t>
      </w:r>
      <w:r>
        <w:rPr/>
        <w:t>virulencia y </w:t>
      </w:r>
      <w:r>
        <w:rPr>
          <w:spacing w:val="-3"/>
        </w:rPr>
        <w:t>la </w:t>
      </w:r>
      <w:r>
        <w:rPr/>
        <w:t>difusión incontrolada del </w:t>
      </w:r>
      <w:r>
        <w:rPr>
          <w:spacing w:val="-4"/>
        </w:rPr>
        <w:t>medio </w:t>
      </w:r>
      <w:r>
        <w:rPr/>
        <w:t>ambiente (Saint-Jean </w:t>
      </w:r>
      <w:r>
        <w:rPr>
          <w:i/>
        </w:rPr>
        <w:t>et al., </w:t>
      </w:r>
      <w:r>
        <w:rPr/>
        <w:t>2003). Trabajos realizados por Saint-Jean (2006) han reportado que al término de los 30 días post vacunación </w:t>
      </w:r>
      <w:r>
        <w:rPr>
          <w:spacing w:val="-3"/>
        </w:rPr>
        <w:t>la </w:t>
      </w:r>
      <w:r>
        <w:rPr/>
        <w:t>producción de anticuerpos contra </w:t>
      </w:r>
      <w:r>
        <w:rPr>
          <w:spacing w:val="2"/>
        </w:rPr>
        <w:t>IPNV </w:t>
      </w:r>
      <w:r>
        <w:rPr/>
        <w:t>en salmones vacunados decae. Las vacunas vivas atenuadas sólo han sido permitidas para efectos de prueba de campo en </w:t>
      </w:r>
      <w:r>
        <w:rPr>
          <w:spacing w:val="-5"/>
        </w:rPr>
        <w:t>la </w:t>
      </w:r>
      <w:r>
        <w:rPr/>
        <w:t>industria del bagre en los EE.UU (Gudding </w:t>
      </w:r>
      <w:r>
        <w:rPr>
          <w:i/>
        </w:rPr>
        <w:t>et al., </w:t>
      </w:r>
      <w:r>
        <w:rPr/>
        <w:t>1999). Por </w:t>
      </w:r>
      <w:r>
        <w:rPr>
          <w:spacing w:val="-5"/>
        </w:rPr>
        <w:t>lo </w:t>
      </w:r>
      <w:r>
        <w:rPr/>
        <w:t>tanto una </w:t>
      </w:r>
      <w:r>
        <w:rPr>
          <w:spacing w:val="-3"/>
        </w:rPr>
        <w:t>mejor </w:t>
      </w:r>
      <w:r>
        <w:rPr/>
        <w:t>comprensión de los factores de virulencia, los mecanismos de atenuación del virus, los determinantes de </w:t>
      </w:r>
      <w:r>
        <w:rPr>
          <w:spacing w:val="-5"/>
        </w:rPr>
        <w:t>la </w:t>
      </w:r>
      <w:r>
        <w:rPr/>
        <w:t>gama de huéspedes y el tropismo tisular, contribuirá</w:t>
      </w:r>
      <w:r>
        <w:rPr>
          <w:spacing w:val="-11"/>
        </w:rPr>
        <w:t> </w:t>
      </w:r>
      <w:r>
        <w:rPr/>
        <w:t>al</w:t>
      </w:r>
      <w:r>
        <w:rPr>
          <w:spacing w:val="-14"/>
        </w:rPr>
        <w:t> </w:t>
      </w:r>
      <w:r>
        <w:rPr/>
        <w:t>desarrollo</w:t>
      </w:r>
      <w:r>
        <w:rPr>
          <w:spacing w:val="-5"/>
        </w:rPr>
        <w:t> </w:t>
      </w:r>
      <w:r>
        <w:rPr/>
        <w:t>seguro</w:t>
      </w:r>
      <w:r>
        <w:rPr>
          <w:spacing w:val="-5"/>
        </w:rPr>
        <w:t> </w:t>
      </w:r>
      <w:r>
        <w:rPr/>
        <w:t>de</w:t>
      </w:r>
      <w:r>
        <w:rPr>
          <w:spacing w:val="-11"/>
        </w:rPr>
        <w:t> </w:t>
      </w:r>
      <w:r>
        <w:rPr>
          <w:spacing w:val="-5"/>
        </w:rPr>
        <w:t>la</w:t>
      </w:r>
      <w:r>
        <w:rPr>
          <w:spacing w:val="-6"/>
        </w:rPr>
        <w:t> </w:t>
      </w:r>
      <w:r>
        <w:rPr/>
        <w:t>vacuna</w:t>
      </w:r>
      <w:r>
        <w:rPr>
          <w:spacing w:val="-11"/>
        </w:rPr>
        <w:t> </w:t>
      </w:r>
      <w:r>
        <w:rPr/>
        <w:t>viva</w:t>
      </w:r>
      <w:r>
        <w:rPr>
          <w:spacing w:val="-11"/>
        </w:rPr>
        <w:t> </w:t>
      </w:r>
      <w:r>
        <w:rPr/>
        <w:t>atenuada</w:t>
      </w:r>
      <w:r>
        <w:rPr>
          <w:spacing w:val="-11"/>
        </w:rPr>
        <w:t> </w:t>
      </w:r>
      <w:r>
        <w:rPr/>
        <w:t>en</w:t>
      </w:r>
      <w:r>
        <w:rPr>
          <w:spacing w:val="-14"/>
        </w:rPr>
        <w:t> </w:t>
      </w:r>
      <w:r>
        <w:rPr/>
        <w:t>el</w:t>
      </w:r>
      <w:r>
        <w:rPr>
          <w:spacing w:val="-9"/>
        </w:rPr>
        <w:t> </w:t>
      </w:r>
      <w:r>
        <w:rPr/>
        <w:t>futuro.</w:t>
      </w:r>
      <w:r>
        <w:rPr>
          <w:spacing w:val="41"/>
        </w:rPr>
        <w:t> </w:t>
      </w:r>
      <w:r>
        <w:rPr/>
        <w:t>En</w:t>
      </w:r>
      <w:r>
        <w:rPr>
          <w:spacing w:val="-14"/>
        </w:rPr>
        <w:t> </w:t>
      </w:r>
      <w:r>
        <w:rPr/>
        <w:t>cuanto</w:t>
      </w:r>
      <w:r>
        <w:rPr>
          <w:spacing w:val="-5"/>
        </w:rPr>
        <w:t> </w:t>
      </w:r>
      <w:r>
        <w:rPr/>
        <w:t>al</w:t>
      </w:r>
      <w:r>
        <w:rPr>
          <w:spacing w:val="-14"/>
        </w:rPr>
        <w:t> </w:t>
      </w:r>
      <w:r>
        <w:rPr/>
        <w:t>método de vacunación se sabe que peces pueden ser vacunados por inyección, preferiblemente por vía</w:t>
      </w:r>
      <w:r>
        <w:rPr>
          <w:spacing w:val="-4"/>
        </w:rPr>
        <w:t> </w:t>
      </w:r>
      <w:r>
        <w:rPr/>
        <w:t>intraperitoneal,</w:t>
      </w:r>
      <w:r>
        <w:rPr>
          <w:spacing w:val="1"/>
        </w:rPr>
        <w:t> </w:t>
      </w:r>
      <w:r>
        <w:rPr/>
        <w:t>inmersión</w:t>
      </w:r>
      <w:r>
        <w:rPr>
          <w:spacing w:val="-12"/>
        </w:rPr>
        <w:t> </w:t>
      </w:r>
      <w:r>
        <w:rPr/>
        <w:t>o</w:t>
      </w:r>
      <w:r>
        <w:rPr>
          <w:spacing w:val="-2"/>
        </w:rPr>
        <w:t> </w:t>
      </w:r>
      <w:r>
        <w:rPr/>
        <w:t>administración</w:t>
      </w:r>
      <w:r>
        <w:rPr>
          <w:spacing w:val="-12"/>
        </w:rPr>
        <w:t> </w:t>
      </w:r>
      <w:r>
        <w:rPr/>
        <w:t>oral.</w:t>
      </w:r>
      <w:r>
        <w:rPr>
          <w:spacing w:val="-3"/>
        </w:rPr>
        <w:t> </w:t>
      </w:r>
      <w:r>
        <w:rPr/>
        <w:t>Pero</w:t>
      </w:r>
      <w:r>
        <w:rPr>
          <w:spacing w:val="-3"/>
        </w:rPr>
        <w:t> </w:t>
      </w:r>
      <w:r>
        <w:rPr/>
        <w:t>sólo</w:t>
      </w:r>
      <w:r>
        <w:rPr>
          <w:spacing w:val="1"/>
        </w:rPr>
        <w:t> </w:t>
      </w:r>
      <w:r>
        <w:rPr>
          <w:spacing w:val="-5"/>
        </w:rPr>
        <w:t>la</w:t>
      </w:r>
      <w:r>
        <w:rPr>
          <w:spacing w:val="-3"/>
        </w:rPr>
        <w:t> </w:t>
      </w:r>
      <w:r>
        <w:rPr/>
        <w:t>inyección</w:t>
      </w:r>
      <w:r>
        <w:rPr>
          <w:spacing w:val="-7"/>
        </w:rPr>
        <w:t> </w:t>
      </w:r>
      <w:r>
        <w:rPr/>
        <w:t>y</w:t>
      </w:r>
      <w:r>
        <w:rPr>
          <w:spacing w:val="-7"/>
        </w:rPr>
        <w:t> </w:t>
      </w:r>
      <w:r>
        <w:rPr>
          <w:spacing w:val="-3"/>
        </w:rPr>
        <w:t>la</w:t>
      </w:r>
      <w:r>
        <w:rPr>
          <w:spacing w:val="-2"/>
        </w:rPr>
        <w:t> </w:t>
      </w:r>
      <w:r>
        <w:rPr/>
        <w:t>inmersión</w:t>
      </w:r>
      <w:r>
        <w:rPr>
          <w:spacing w:val="-12"/>
        </w:rPr>
        <w:t> </w:t>
      </w:r>
      <w:r>
        <w:rPr/>
        <w:t>se han</w:t>
      </w:r>
      <w:r>
        <w:rPr>
          <w:spacing w:val="-19"/>
        </w:rPr>
        <w:t> </w:t>
      </w:r>
      <w:r>
        <w:rPr/>
        <w:t>desarrollado</w:t>
      </w:r>
      <w:r>
        <w:rPr>
          <w:spacing w:val="-10"/>
        </w:rPr>
        <w:t> </w:t>
      </w:r>
      <w:r>
        <w:rPr/>
        <w:t>para</w:t>
      </w:r>
      <w:r>
        <w:rPr>
          <w:spacing w:val="-15"/>
        </w:rPr>
        <w:t> </w:t>
      </w:r>
      <w:r>
        <w:rPr/>
        <w:t>el</w:t>
      </w:r>
      <w:r>
        <w:rPr>
          <w:spacing w:val="-23"/>
        </w:rPr>
        <w:t> </w:t>
      </w:r>
      <w:r>
        <w:rPr/>
        <w:t>uso</w:t>
      </w:r>
      <w:r>
        <w:rPr>
          <w:spacing w:val="-9"/>
        </w:rPr>
        <w:t> </w:t>
      </w:r>
      <w:r>
        <w:rPr/>
        <w:t>rutinario</w:t>
      </w:r>
      <w:r>
        <w:rPr>
          <w:spacing w:val="-10"/>
        </w:rPr>
        <w:t> </w:t>
      </w:r>
      <w:r>
        <w:rPr/>
        <w:t>en</w:t>
      </w:r>
      <w:r>
        <w:rPr>
          <w:spacing w:val="-13"/>
        </w:rPr>
        <w:t> </w:t>
      </w:r>
      <w:r>
        <w:rPr>
          <w:spacing w:val="-3"/>
        </w:rPr>
        <w:t>la</w:t>
      </w:r>
      <w:r>
        <w:rPr>
          <w:spacing w:val="-11"/>
        </w:rPr>
        <w:t> </w:t>
      </w:r>
      <w:r>
        <w:rPr/>
        <w:t>industria</w:t>
      </w:r>
      <w:r>
        <w:rPr>
          <w:spacing w:val="-11"/>
        </w:rPr>
        <w:t> </w:t>
      </w:r>
      <w:r>
        <w:rPr/>
        <w:t>de</w:t>
      </w:r>
      <w:r>
        <w:rPr>
          <w:spacing w:val="-11"/>
        </w:rPr>
        <w:t> </w:t>
      </w:r>
      <w:r>
        <w:rPr>
          <w:spacing w:val="-5"/>
        </w:rPr>
        <w:t>la</w:t>
      </w:r>
      <w:r>
        <w:rPr>
          <w:spacing w:val="-15"/>
        </w:rPr>
        <w:t> </w:t>
      </w:r>
      <w:r>
        <w:rPr/>
        <w:t>acuicultura,</w:t>
      </w:r>
      <w:r>
        <w:rPr>
          <w:spacing w:val="-7"/>
        </w:rPr>
        <w:t> </w:t>
      </w:r>
      <w:r>
        <w:rPr>
          <w:spacing w:val="-5"/>
        </w:rPr>
        <w:t>ya</w:t>
      </w:r>
      <w:r>
        <w:rPr>
          <w:spacing w:val="-15"/>
        </w:rPr>
        <w:t> </w:t>
      </w:r>
      <w:r>
        <w:rPr/>
        <w:t>que</w:t>
      </w:r>
      <w:r>
        <w:rPr>
          <w:spacing w:val="-15"/>
        </w:rPr>
        <w:t> </w:t>
      </w:r>
      <w:r>
        <w:rPr/>
        <w:t>para</w:t>
      </w:r>
      <w:r>
        <w:rPr>
          <w:spacing w:val="-11"/>
        </w:rPr>
        <w:t> </w:t>
      </w:r>
      <w:r>
        <w:rPr/>
        <w:t>vacunación oral el principal problema a resolver es proteger a los antígenos durante el proceso de digestión a través del estómago e intestino anterior. De acuerdo con Gudding </w:t>
      </w:r>
      <w:r>
        <w:rPr>
          <w:i/>
        </w:rPr>
        <w:t>et al., </w:t>
      </w:r>
      <w:r>
        <w:rPr/>
        <w:t>(1999) </w:t>
      </w:r>
      <w:r>
        <w:rPr>
          <w:spacing w:val="-3"/>
        </w:rPr>
        <w:t>la</w:t>
      </w:r>
      <w:r>
        <w:rPr>
          <w:spacing w:val="1"/>
        </w:rPr>
        <w:t> </w:t>
      </w:r>
      <w:r>
        <w:rPr/>
        <w:t>inmersión</w:t>
      </w:r>
      <w:r>
        <w:rPr>
          <w:spacing w:val="-3"/>
        </w:rPr>
        <w:t> </w:t>
      </w:r>
      <w:r>
        <w:rPr/>
        <w:t>y</w:t>
      </w:r>
      <w:r>
        <w:rPr>
          <w:spacing w:val="-3"/>
        </w:rPr>
        <w:t> la</w:t>
      </w:r>
      <w:r>
        <w:rPr>
          <w:spacing w:val="-4"/>
        </w:rPr>
        <w:t> </w:t>
      </w:r>
      <w:r>
        <w:rPr/>
        <w:t>administración</w:t>
      </w:r>
      <w:r>
        <w:rPr>
          <w:spacing w:val="-8"/>
        </w:rPr>
        <w:t> </w:t>
      </w:r>
      <w:r>
        <w:rPr/>
        <w:t>oral</w:t>
      </w:r>
      <w:r>
        <w:rPr>
          <w:spacing w:val="-7"/>
        </w:rPr>
        <w:t> </w:t>
      </w:r>
      <w:r>
        <w:rPr/>
        <w:t>tienen</w:t>
      </w:r>
      <w:r>
        <w:rPr>
          <w:spacing w:val="-8"/>
        </w:rPr>
        <w:t> </w:t>
      </w:r>
      <w:r>
        <w:rPr/>
        <w:t>diferentes</w:t>
      </w:r>
      <w:r>
        <w:rPr>
          <w:spacing w:val="-5"/>
        </w:rPr>
        <w:t> </w:t>
      </w:r>
      <w:r>
        <w:rPr/>
        <w:t>ventajas y</w:t>
      </w:r>
      <w:r>
        <w:rPr>
          <w:spacing w:val="-8"/>
        </w:rPr>
        <w:t> </w:t>
      </w:r>
      <w:r>
        <w:rPr/>
        <w:t>desventajas</w:t>
      </w:r>
      <w:r>
        <w:rPr>
          <w:spacing w:val="-5"/>
        </w:rPr>
        <w:t> </w:t>
      </w:r>
      <w:r>
        <w:rPr/>
        <w:t>con</w:t>
      </w:r>
      <w:r>
        <w:rPr>
          <w:spacing w:val="-8"/>
        </w:rPr>
        <w:t> </w:t>
      </w:r>
      <w:r>
        <w:rPr/>
        <w:t>respecto</w:t>
      </w:r>
      <w:r>
        <w:rPr>
          <w:spacing w:val="2"/>
        </w:rPr>
        <w:t> </w:t>
      </w:r>
      <w:r>
        <w:rPr/>
        <w:t>al nivel de protección, efectos secundarios, </w:t>
      </w:r>
      <w:r>
        <w:rPr>
          <w:spacing w:val="-5"/>
        </w:rPr>
        <w:t>la </w:t>
      </w:r>
      <w:r>
        <w:rPr/>
        <w:t>practicidad y rentabilidad, pero ambos métodos causan menos estrés a los peces y se requiere menos tiempo para vacunar a larvas. Con respecto a </w:t>
      </w:r>
      <w:r>
        <w:rPr>
          <w:spacing w:val="-5"/>
        </w:rPr>
        <w:t>la </w:t>
      </w:r>
      <w:r>
        <w:rPr/>
        <w:t>inyección se sabe que es poco práctica para inmunizar un </w:t>
      </w:r>
      <w:r>
        <w:rPr>
          <w:spacing w:val="-3"/>
        </w:rPr>
        <w:t>mayor </w:t>
      </w:r>
      <w:r>
        <w:rPr/>
        <w:t>número de alevines.</w:t>
      </w:r>
      <w:r>
        <w:rPr>
          <w:spacing w:val="-5"/>
        </w:rPr>
        <w:t> </w:t>
      </w:r>
      <w:r>
        <w:rPr/>
        <w:t>Además</w:t>
      </w:r>
      <w:r>
        <w:rPr>
          <w:spacing w:val="-9"/>
        </w:rPr>
        <w:t> </w:t>
      </w:r>
      <w:r>
        <w:rPr/>
        <w:t>los</w:t>
      </w:r>
      <w:r>
        <w:rPr>
          <w:spacing w:val="-9"/>
        </w:rPr>
        <w:t> </w:t>
      </w:r>
      <w:r>
        <w:rPr/>
        <w:t>costos</w:t>
      </w:r>
      <w:r>
        <w:rPr>
          <w:spacing w:val="-12"/>
        </w:rPr>
        <w:t> </w:t>
      </w:r>
      <w:r>
        <w:rPr/>
        <w:t>económicos</w:t>
      </w:r>
      <w:r>
        <w:rPr>
          <w:spacing w:val="-13"/>
        </w:rPr>
        <w:t> </w:t>
      </w:r>
      <w:r>
        <w:rPr/>
        <w:t>asociados</w:t>
      </w:r>
      <w:r>
        <w:rPr>
          <w:spacing w:val="-9"/>
        </w:rPr>
        <w:t> </w:t>
      </w:r>
      <w:r>
        <w:rPr/>
        <w:t>a</w:t>
      </w:r>
      <w:r>
        <w:rPr>
          <w:spacing w:val="-8"/>
        </w:rPr>
        <w:t> </w:t>
      </w:r>
      <w:r>
        <w:rPr/>
        <w:t>esta</w:t>
      </w:r>
      <w:r>
        <w:rPr>
          <w:spacing w:val="-13"/>
        </w:rPr>
        <w:t> </w:t>
      </w:r>
      <w:r>
        <w:rPr/>
        <w:t>actividad</w:t>
      </w:r>
      <w:r>
        <w:rPr>
          <w:spacing w:val="-7"/>
        </w:rPr>
        <w:t> </w:t>
      </w:r>
      <w:r>
        <w:rPr/>
        <w:t>son</w:t>
      </w:r>
      <w:r>
        <w:rPr>
          <w:spacing w:val="-9"/>
        </w:rPr>
        <w:t> </w:t>
      </w:r>
      <w:r>
        <w:rPr/>
        <w:t>muy</w:t>
      </w:r>
      <w:r>
        <w:rPr>
          <w:spacing w:val="-11"/>
        </w:rPr>
        <w:t> </w:t>
      </w:r>
      <w:r>
        <w:rPr/>
        <w:t>elevados</w:t>
      </w:r>
      <w:r>
        <w:rPr>
          <w:spacing w:val="-13"/>
        </w:rPr>
        <w:t> </w:t>
      </w:r>
      <w:r>
        <w:rPr/>
        <w:t>(Saint- Jean </w:t>
      </w:r>
      <w:r>
        <w:rPr>
          <w:i/>
        </w:rPr>
        <w:t>et al.,</w:t>
      </w:r>
      <w:r>
        <w:rPr>
          <w:i/>
          <w:spacing w:val="-5"/>
        </w:rPr>
        <w:t> </w:t>
      </w:r>
      <w:r>
        <w:rPr/>
        <w:t>2003).</w:t>
      </w:r>
    </w:p>
    <w:p>
      <w:pPr>
        <w:pStyle w:val="BodyText"/>
      </w:pPr>
    </w:p>
    <w:p>
      <w:pPr>
        <w:pStyle w:val="Heading2"/>
        <w:numPr>
          <w:ilvl w:val="0"/>
          <w:numId w:val="8"/>
        </w:numPr>
        <w:tabs>
          <w:tab w:pos="398" w:val="left" w:leader="none"/>
        </w:tabs>
        <w:spacing w:line="240" w:lineRule="auto" w:before="150" w:after="0"/>
        <w:ind w:left="397" w:right="0" w:hanging="245"/>
        <w:jc w:val="both"/>
        <w:rPr>
          <w:i/>
        </w:rPr>
      </w:pPr>
      <w:bookmarkStart w:name="_bookmark15" w:id="26"/>
      <w:bookmarkEnd w:id="26"/>
      <w:r>
        <w:rPr>
          <w:b w:val="0"/>
          <w:i w:val="0"/>
        </w:rPr>
      </w:r>
      <w:bookmarkStart w:name="_bookmark15" w:id="27"/>
      <w:bookmarkEnd w:id="27"/>
      <w:r>
        <w:rPr>
          <w:i/>
        </w:rPr>
        <w:t>L</w:t>
      </w:r>
      <w:r>
        <w:rPr>
          <w:i/>
        </w:rPr>
        <w:t>a respuesta inmunológica en</w:t>
      </w:r>
      <w:r>
        <w:rPr>
          <w:i/>
          <w:spacing w:val="-14"/>
        </w:rPr>
        <w:t> </w:t>
      </w:r>
      <w:r>
        <w:rPr>
          <w:i/>
        </w:rPr>
        <w:t>peces</w:t>
      </w:r>
    </w:p>
    <w:p>
      <w:pPr>
        <w:pStyle w:val="BodyText"/>
        <w:spacing w:line="360" w:lineRule="auto" w:before="132"/>
        <w:ind w:left="152" w:right="106"/>
        <w:jc w:val="both"/>
      </w:pPr>
      <w:r>
        <w:rPr/>
        <w:t>Los ambientes acuáticos contienen habitualmente altas concentraciones de organismos patógenos y por </w:t>
      </w:r>
      <w:r>
        <w:rPr>
          <w:spacing w:val="-5"/>
        </w:rPr>
        <w:t>lo </w:t>
      </w:r>
      <w:r>
        <w:rPr/>
        <w:t>tanto, peces viven en íntimo contacto con altas concentraciones de bacterias, virus y</w:t>
      </w:r>
      <w:r>
        <w:rPr>
          <w:spacing w:val="-12"/>
        </w:rPr>
        <w:t> </w:t>
      </w:r>
      <w:r>
        <w:rPr/>
        <w:t>parásitos. En</w:t>
      </w:r>
      <w:r>
        <w:rPr>
          <w:spacing w:val="-7"/>
        </w:rPr>
        <w:t> </w:t>
      </w:r>
      <w:r>
        <w:rPr/>
        <w:t>condiciones</w:t>
      </w:r>
      <w:r>
        <w:rPr>
          <w:spacing w:val="-4"/>
        </w:rPr>
        <w:t> </w:t>
      </w:r>
      <w:r>
        <w:rPr/>
        <w:t>normales</w:t>
      </w:r>
      <w:r>
        <w:rPr>
          <w:spacing w:val="2"/>
        </w:rPr>
        <w:t> </w:t>
      </w:r>
      <w:r>
        <w:rPr/>
        <w:t>los</w:t>
      </w:r>
      <w:r>
        <w:rPr>
          <w:spacing w:val="-4"/>
        </w:rPr>
        <w:t> </w:t>
      </w:r>
      <w:r>
        <w:rPr/>
        <w:t>peces</w:t>
      </w:r>
      <w:r>
        <w:rPr>
          <w:spacing w:val="-4"/>
        </w:rPr>
        <w:t> </w:t>
      </w:r>
      <w:r>
        <w:rPr/>
        <w:t>mantienen</w:t>
      </w:r>
      <w:r>
        <w:rPr>
          <w:spacing w:val="-7"/>
        </w:rPr>
        <w:t> </w:t>
      </w:r>
      <w:r>
        <w:rPr/>
        <w:t>un</w:t>
      </w:r>
      <w:r>
        <w:rPr>
          <w:spacing w:val="-7"/>
        </w:rPr>
        <w:t> </w:t>
      </w:r>
      <w:r>
        <w:rPr/>
        <w:t>buen</w:t>
      </w:r>
      <w:r>
        <w:rPr>
          <w:spacing w:val="-7"/>
        </w:rPr>
        <w:t> </w:t>
      </w:r>
      <w:r>
        <w:rPr/>
        <w:t>estado</w:t>
      </w:r>
      <w:r>
        <w:rPr>
          <w:spacing w:val="-2"/>
        </w:rPr>
        <w:t> </w:t>
      </w:r>
      <w:r>
        <w:rPr/>
        <w:t>de salud defendiéndose de virus y otros invasores potenciales mediante una compleja red de mecanismos de defensa. En el caso de teleósteos (peces óseos) se incluyen principalmente elementos de respuesta inespecíficos constitutivos e inducibles: barreras físicas, citoquinas, PAMPs</w:t>
      </w:r>
      <w:r>
        <w:rPr>
          <w:spacing w:val="-6"/>
        </w:rPr>
        <w:t> </w:t>
      </w:r>
      <w:r>
        <w:rPr/>
        <w:t>(patrones</w:t>
      </w:r>
      <w:r>
        <w:rPr>
          <w:spacing w:val="-2"/>
        </w:rPr>
        <w:t> </w:t>
      </w:r>
      <w:r>
        <w:rPr/>
        <w:t>moleculares</w:t>
      </w:r>
      <w:r>
        <w:rPr>
          <w:spacing w:val="-6"/>
        </w:rPr>
        <w:t> </w:t>
      </w:r>
      <w:r>
        <w:rPr/>
        <w:t>asociados</w:t>
      </w:r>
      <w:r>
        <w:rPr>
          <w:spacing w:val="-6"/>
        </w:rPr>
        <w:t> </w:t>
      </w:r>
      <w:r>
        <w:rPr/>
        <w:t>a</w:t>
      </w:r>
      <w:r>
        <w:rPr>
          <w:spacing w:val="-5"/>
        </w:rPr>
        <w:t> </w:t>
      </w:r>
      <w:r>
        <w:rPr/>
        <w:t>patógenos),</w:t>
      </w:r>
      <w:r>
        <w:rPr>
          <w:spacing w:val="-6"/>
        </w:rPr>
        <w:t> </w:t>
      </w:r>
      <w:r>
        <w:rPr/>
        <w:t>sistema</w:t>
      </w:r>
      <w:r>
        <w:rPr>
          <w:spacing w:val="-5"/>
        </w:rPr>
        <w:t> </w:t>
      </w:r>
      <w:r>
        <w:rPr/>
        <w:t>de</w:t>
      </w:r>
      <w:r>
        <w:rPr>
          <w:spacing w:val="-5"/>
        </w:rPr>
        <w:t> </w:t>
      </w:r>
      <w:r>
        <w:rPr/>
        <w:t>complemento</w:t>
      </w:r>
      <w:r>
        <w:rPr>
          <w:spacing w:val="-4"/>
        </w:rPr>
        <w:t> </w:t>
      </w:r>
      <w:r>
        <w:rPr/>
        <w:t>e</w:t>
      </w:r>
      <w:r>
        <w:rPr>
          <w:spacing w:val="-6"/>
        </w:rPr>
        <w:t> </w:t>
      </w:r>
      <w:r>
        <w:rPr/>
        <w:t>interferón</w:t>
      </w:r>
    </w:p>
    <w:p>
      <w:pPr>
        <w:spacing w:after="0" w:line="360" w:lineRule="auto"/>
        <w:jc w:val="both"/>
        <w:sectPr>
          <w:pgSz w:w="12240" w:h="15840"/>
          <w:pgMar w:header="0" w:footer="1382" w:top="1500" w:bottom="1580" w:left="1720" w:right="1420"/>
        </w:sectPr>
      </w:pPr>
    </w:p>
    <w:p>
      <w:pPr>
        <w:pStyle w:val="BodyText"/>
        <w:spacing w:before="7"/>
        <w:rPr>
          <w:sz w:val="25"/>
        </w:rPr>
      </w:pPr>
    </w:p>
    <w:p>
      <w:pPr>
        <w:pStyle w:val="BodyText"/>
        <w:spacing w:line="360" w:lineRule="auto" w:before="70" w:after="14"/>
        <w:ind w:left="152" w:right="100"/>
        <w:jc w:val="both"/>
      </w:pPr>
      <w:r>
        <w:rPr/>
        <w:t>(IFN). Como respuesta específica (células T y B, moléculas del complejo </w:t>
      </w:r>
      <w:r>
        <w:rPr>
          <w:spacing w:val="-3"/>
        </w:rPr>
        <w:t>mayor </w:t>
      </w:r>
      <w:r>
        <w:rPr>
          <w:spacing w:val="3"/>
        </w:rPr>
        <w:t>de </w:t>
      </w:r>
      <w:r>
        <w:rPr/>
        <w:t>histocompatibilidad (MHC) entre otros) (Lieschke y Trede, 2009). En estos vertebrados, el sistema</w:t>
      </w:r>
      <w:r>
        <w:rPr>
          <w:spacing w:val="-12"/>
        </w:rPr>
        <w:t> </w:t>
      </w:r>
      <w:r>
        <w:rPr/>
        <w:t>inmune</w:t>
      </w:r>
      <w:r>
        <w:rPr>
          <w:spacing w:val="-12"/>
        </w:rPr>
        <w:t> </w:t>
      </w:r>
      <w:r>
        <w:rPr>
          <w:spacing w:val="-3"/>
        </w:rPr>
        <w:t>no</w:t>
      </w:r>
      <w:r>
        <w:rPr>
          <w:spacing w:val="-12"/>
        </w:rPr>
        <w:t> </w:t>
      </w:r>
      <w:r>
        <w:rPr/>
        <w:t>específico</w:t>
      </w:r>
      <w:r>
        <w:rPr>
          <w:spacing w:val="-16"/>
        </w:rPr>
        <w:t> </w:t>
      </w:r>
      <w:r>
        <w:rPr/>
        <w:t>o</w:t>
      </w:r>
      <w:r>
        <w:rPr>
          <w:spacing w:val="-12"/>
        </w:rPr>
        <w:t> </w:t>
      </w:r>
      <w:r>
        <w:rPr/>
        <w:t>innato</w:t>
      </w:r>
      <w:r>
        <w:rPr>
          <w:spacing w:val="-12"/>
        </w:rPr>
        <w:t> </w:t>
      </w:r>
      <w:r>
        <w:rPr/>
        <w:t>al</w:t>
      </w:r>
      <w:r>
        <w:rPr>
          <w:spacing w:val="-25"/>
        </w:rPr>
        <w:t> </w:t>
      </w:r>
      <w:r>
        <w:rPr/>
        <w:t>parecer</w:t>
      </w:r>
      <w:r>
        <w:rPr>
          <w:spacing w:val="-14"/>
        </w:rPr>
        <w:t> </w:t>
      </w:r>
      <w:r>
        <w:rPr/>
        <w:t>cumple</w:t>
      </w:r>
      <w:r>
        <w:rPr>
          <w:spacing w:val="-16"/>
        </w:rPr>
        <w:t> </w:t>
      </w:r>
      <w:r>
        <w:rPr/>
        <w:t>el</w:t>
      </w:r>
      <w:r>
        <w:rPr>
          <w:spacing w:val="-24"/>
        </w:rPr>
        <w:t> </w:t>
      </w:r>
      <w:r>
        <w:rPr/>
        <w:t>papel</w:t>
      </w:r>
      <w:r>
        <w:rPr>
          <w:spacing w:val="-14"/>
        </w:rPr>
        <w:t> </w:t>
      </w:r>
      <w:r>
        <w:rPr/>
        <w:t>más</w:t>
      </w:r>
      <w:r>
        <w:rPr>
          <w:spacing w:val="-13"/>
        </w:rPr>
        <w:t> </w:t>
      </w:r>
      <w:r>
        <w:rPr/>
        <w:t>importante</w:t>
      </w:r>
      <w:r>
        <w:rPr>
          <w:spacing w:val="-16"/>
        </w:rPr>
        <w:t> </w:t>
      </w:r>
      <w:r>
        <w:rPr/>
        <w:t>en</w:t>
      </w:r>
      <w:r>
        <w:rPr>
          <w:spacing w:val="-20"/>
        </w:rPr>
        <w:t> </w:t>
      </w:r>
      <w:r>
        <w:rPr/>
        <w:t>el</w:t>
      </w:r>
      <w:r>
        <w:rPr>
          <w:spacing w:val="-25"/>
        </w:rPr>
        <w:t> </w:t>
      </w:r>
      <w:r>
        <w:rPr/>
        <w:t>control y propagación de los agentes infecciosos (Bly y Clem, 1992; Beutler, 2004; Tort, 2004; Rubio-Godoy, 2010), principalmente porque actúa de manera rápida y eficaz mediante mecanismos de reconocimiento </w:t>
      </w:r>
      <w:r>
        <w:rPr>
          <w:spacing w:val="-3"/>
        </w:rPr>
        <w:t>no </w:t>
      </w:r>
      <w:r>
        <w:rPr/>
        <w:t>específicos y de manera independiente de </w:t>
      </w:r>
      <w:r>
        <w:rPr>
          <w:spacing w:val="-3"/>
        </w:rPr>
        <w:t>la </w:t>
      </w:r>
      <w:r>
        <w:rPr/>
        <w:t>temperatura del agua (Ellis, 2001; Robertsen, 2006). En su conjunto, </w:t>
      </w:r>
      <w:r>
        <w:rPr>
          <w:spacing w:val="-5"/>
        </w:rPr>
        <w:t>la </w:t>
      </w:r>
      <w:r>
        <w:rPr/>
        <w:t>respuesta inmune innata frente a patógenos</w:t>
      </w:r>
      <w:r>
        <w:rPr>
          <w:spacing w:val="-12"/>
        </w:rPr>
        <w:t> </w:t>
      </w:r>
      <w:r>
        <w:rPr/>
        <w:t>es</w:t>
      </w:r>
      <w:r>
        <w:rPr>
          <w:spacing w:val="-9"/>
        </w:rPr>
        <w:t> </w:t>
      </w:r>
      <w:r>
        <w:rPr/>
        <w:t>iniciada,</w:t>
      </w:r>
      <w:r>
        <w:rPr>
          <w:spacing w:val="-9"/>
        </w:rPr>
        <w:t> </w:t>
      </w:r>
      <w:r>
        <w:rPr/>
        <w:t>conducida</w:t>
      </w:r>
      <w:r>
        <w:rPr>
          <w:spacing w:val="-8"/>
        </w:rPr>
        <w:t> </w:t>
      </w:r>
      <w:r>
        <w:rPr/>
        <w:t>y</w:t>
      </w:r>
      <w:r>
        <w:rPr>
          <w:spacing w:val="-15"/>
        </w:rPr>
        <w:t> </w:t>
      </w:r>
      <w:r>
        <w:rPr/>
        <w:t>coordinada</w:t>
      </w:r>
      <w:r>
        <w:rPr>
          <w:spacing w:val="-12"/>
        </w:rPr>
        <w:t> </w:t>
      </w:r>
      <w:r>
        <w:rPr/>
        <w:t>por</w:t>
      </w:r>
      <w:r>
        <w:rPr>
          <w:spacing w:val="-9"/>
        </w:rPr>
        <w:t> </w:t>
      </w:r>
      <w:r>
        <w:rPr/>
        <w:t>receptores</w:t>
      </w:r>
      <w:r>
        <w:rPr>
          <w:spacing w:val="-13"/>
        </w:rPr>
        <w:t> </w:t>
      </w:r>
      <w:r>
        <w:rPr/>
        <w:t>celulares</w:t>
      </w:r>
      <w:r>
        <w:rPr>
          <w:spacing w:val="-8"/>
        </w:rPr>
        <w:t> </w:t>
      </w:r>
      <w:r>
        <w:rPr/>
        <w:t>de</w:t>
      </w:r>
      <w:r>
        <w:rPr>
          <w:spacing w:val="-12"/>
        </w:rPr>
        <w:t> </w:t>
      </w:r>
      <w:r>
        <w:rPr/>
        <w:t>reconocimiento</w:t>
      </w:r>
      <w:r>
        <w:rPr>
          <w:spacing w:val="-7"/>
        </w:rPr>
        <w:t> </w:t>
      </w:r>
      <w:r>
        <w:rPr/>
        <w:t>de patógenos (PRRs) capaces de reconocer los PAMPs (Xu </w:t>
      </w:r>
      <w:r>
        <w:rPr>
          <w:i/>
        </w:rPr>
        <w:t>et al</w:t>
      </w:r>
      <w:r>
        <w:rPr/>
        <w:t>., 2005). En relación a </w:t>
      </w:r>
      <w:r>
        <w:rPr>
          <w:spacing w:val="-5"/>
        </w:rPr>
        <w:t>la </w:t>
      </w:r>
      <w:r>
        <w:rPr/>
        <w:t>respuesta inmune adaptativa en peces frente agentes virales, se debe señalar que aunque sea específica</w:t>
      </w:r>
      <w:r>
        <w:rPr>
          <w:spacing w:val="-7"/>
        </w:rPr>
        <w:t> </w:t>
      </w:r>
      <w:r>
        <w:rPr/>
        <w:t>y</w:t>
      </w:r>
      <w:r>
        <w:rPr>
          <w:spacing w:val="-25"/>
        </w:rPr>
        <w:t> </w:t>
      </w:r>
      <w:r>
        <w:rPr/>
        <w:t>genere</w:t>
      </w:r>
      <w:r>
        <w:rPr>
          <w:spacing w:val="-7"/>
        </w:rPr>
        <w:t> </w:t>
      </w:r>
      <w:r>
        <w:rPr/>
        <w:t>memoria,</w:t>
      </w:r>
      <w:r>
        <w:rPr>
          <w:spacing w:val="-14"/>
        </w:rPr>
        <w:t> </w:t>
      </w:r>
      <w:r>
        <w:rPr/>
        <w:t>es</w:t>
      </w:r>
      <w:r>
        <w:rPr>
          <w:spacing w:val="-12"/>
        </w:rPr>
        <w:t> </w:t>
      </w:r>
      <w:r>
        <w:rPr/>
        <w:t>más</w:t>
      </w:r>
      <w:r>
        <w:rPr>
          <w:spacing w:val="-9"/>
        </w:rPr>
        <w:t> </w:t>
      </w:r>
      <w:r>
        <w:rPr/>
        <w:t>lenta</w:t>
      </w:r>
      <w:r>
        <w:rPr>
          <w:spacing w:val="-16"/>
        </w:rPr>
        <w:t> </w:t>
      </w:r>
      <w:r>
        <w:rPr/>
        <w:t>(Hu</w:t>
      </w:r>
      <w:r>
        <w:rPr>
          <w:spacing w:val="-16"/>
        </w:rPr>
        <w:t> </w:t>
      </w:r>
      <w:r>
        <w:rPr>
          <w:i/>
        </w:rPr>
        <w:t>et</w:t>
      </w:r>
      <w:r>
        <w:rPr>
          <w:i/>
          <w:spacing w:val="-11"/>
        </w:rPr>
        <w:t> </w:t>
      </w:r>
      <w:r>
        <w:rPr>
          <w:i/>
        </w:rPr>
        <w:t>al</w:t>
      </w:r>
      <w:r>
        <w:rPr/>
        <w:t>.,</w:t>
      </w:r>
      <w:r>
        <w:rPr>
          <w:spacing w:val="-14"/>
        </w:rPr>
        <w:t> </w:t>
      </w:r>
      <w:r>
        <w:rPr/>
        <w:t>2010).</w:t>
      </w:r>
      <w:r>
        <w:rPr>
          <w:spacing w:val="-14"/>
        </w:rPr>
        <w:t> </w:t>
      </w:r>
      <w:r>
        <w:rPr/>
        <w:t>Al</w:t>
      </w:r>
      <w:r>
        <w:rPr>
          <w:spacing w:val="-20"/>
        </w:rPr>
        <w:t> </w:t>
      </w:r>
      <w:r>
        <w:rPr/>
        <w:t>igual</w:t>
      </w:r>
      <w:r>
        <w:rPr>
          <w:spacing w:val="-20"/>
        </w:rPr>
        <w:t> </w:t>
      </w:r>
      <w:r>
        <w:rPr/>
        <w:t>que</w:t>
      </w:r>
      <w:r>
        <w:rPr>
          <w:spacing w:val="-7"/>
        </w:rPr>
        <w:t> </w:t>
      </w:r>
      <w:r>
        <w:rPr/>
        <w:t>mamíferos,</w:t>
      </w:r>
      <w:r>
        <w:rPr>
          <w:spacing w:val="-14"/>
        </w:rPr>
        <w:t> </w:t>
      </w:r>
      <w:r>
        <w:rPr/>
        <w:t>en</w:t>
      </w:r>
      <w:r>
        <w:rPr>
          <w:spacing w:val="-20"/>
        </w:rPr>
        <w:t> </w:t>
      </w:r>
      <w:r>
        <w:rPr/>
        <w:t>peces los anticuerpos son los que confieren </w:t>
      </w:r>
      <w:r>
        <w:rPr>
          <w:spacing w:val="-3"/>
        </w:rPr>
        <w:t>la </w:t>
      </w:r>
      <w:r>
        <w:rPr/>
        <w:t>especificidad al reconocimiento del agente. Sin embargo, en el caso de los segundos parece existir un repertorio de anticuerpos menos diversos (Palm </w:t>
      </w:r>
      <w:r>
        <w:rPr>
          <w:i/>
        </w:rPr>
        <w:t>et al</w:t>
      </w:r>
      <w:r>
        <w:rPr/>
        <w:t>., 2003) y fundamentalmente constituido por inmunoglobulinas (Ig) M, aunque recientemente, un nuevo isotipo de Ig, </w:t>
      </w:r>
      <w:r>
        <w:rPr>
          <w:spacing w:val="-5"/>
        </w:rPr>
        <w:t>la </w:t>
      </w:r>
      <w:r>
        <w:rPr/>
        <w:t>IgT </w:t>
      </w:r>
      <w:r>
        <w:rPr>
          <w:spacing w:val="-3"/>
        </w:rPr>
        <w:t>ha </w:t>
      </w:r>
      <w:r>
        <w:rPr/>
        <w:t>sido descrito en trucha (Hansen </w:t>
      </w:r>
      <w:r>
        <w:rPr>
          <w:i/>
        </w:rPr>
        <w:t>et </w:t>
      </w:r>
      <w:r>
        <w:rPr>
          <w:i/>
        </w:rPr>
        <w:t>al., </w:t>
      </w:r>
      <w:r>
        <w:rPr/>
        <w:t>2005). Además otro homólogo (IgZ) </w:t>
      </w:r>
      <w:r>
        <w:rPr>
          <w:spacing w:val="-3"/>
        </w:rPr>
        <w:t>fue </w:t>
      </w:r>
      <w:r>
        <w:rPr/>
        <w:t>descubierto en peces cebra (Hu </w:t>
      </w:r>
      <w:r>
        <w:rPr>
          <w:i/>
        </w:rPr>
        <w:t>et al</w:t>
      </w:r>
      <w:r>
        <w:rPr/>
        <w:t>.,</w:t>
      </w:r>
      <w:r>
        <w:rPr>
          <w:spacing w:val="-9"/>
        </w:rPr>
        <w:t> </w:t>
      </w:r>
      <w:r>
        <w:rPr/>
        <w:t>2010).</w:t>
      </w:r>
    </w:p>
    <w:p>
      <w:pPr>
        <w:pStyle w:val="BodyText"/>
        <w:ind w:left="152"/>
        <w:rPr>
          <w:sz w:val="20"/>
        </w:rPr>
      </w:pPr>
      <w:r>
        <w:rPr>
          <w:sz w:val="20"/>
        </w:rPr>
        <w:drawing>
          <wp:inline distT="0" distB="0" distL="0" distR="0">
            <wp:extent cx="4945156" cy="2409825"/>
            <wp:effectExtent l="0" t="0" r="0" b="0"/>
            <wp:docPr id="11" name="image5.jpeg" descr=""/>
            <wp:cNvGraphicFramePr>
              <a:graphicFrameLocks noChangeAspect="1"/>
            </wp:cNvGraphicFramePr>
            <a:graphic>
              <a:graphicData uri="http://schemas.openxmlformats.org/drawingml/2006/picture">
                <pic:pic>
                  <pic:nvPicPr>
                    <pic:cNvPr id="12" name="image5.jpeg"/>
                    <pic:cNvPicPr/>
                  </pic:nvPicPr>
                  <pic:blipFill>
                    <a:blip r:embed="rId14" cstate="print"/>
                    <a:stretch>
                      <a:fillRect/>
                    </a:stretch>
                  </pic:blipFill>
                  <pic:spPr>
                    <a:xfrm>
                      <a:off x="0" y="0"/>
                      <a:ext cx="4945156" cy="2409825"/>
                    </a:xfrm>
                    <a:prstGeom prst="rect">
                      <a:avLst/>
                    </a:prstGeom>
                  </pic:spPr>
                </pic:pic>
              </a:graphicData>
            </a:graphic>
          </wp:inline>
        </w:drawing>
      </w:r>
      <w:r>
        <w:rPr>
          <w:sz w:val="20"/>
        </w:rPr>
      </w:r>
    </w:p>
    <w:p>
      <w:pPr>
        <w:spacing w:before="116"/>
        <w:ind w:left="152" w:right="0" w:firstLine="0"/>
        <w:jc w:val="both"/>
        <w:rPr>
          <w:sz w:val="20"/>
        </w:rPr>
      </w:pPr>
      <w:r>
        <w:rPr>
          <w:sz w:val="20"/>
        </w:rPr>
        <w:t>Fig. 4. Órganos con funciones inmunes en peces óseos (Tort, 2004).</w:t>
      </w:r>
    </w:p>
    <w:p>
      <w:pPr>
        <w:spacing w:after="0"/>
        <w:jc w:val="both"/>
        <w:rPr>
          <w:sz w:val="20"/>
        </w:rPr>
        <w:sectPr>
          <w:pgSz w:w="12240" w:h="15840"/>
          <w:pgMar w:header="0" w:footer="1382" w:top="1500" w:bottom="1580" w:left="1720" w:right="1420"/>
        </w:sectPr>
      </w:pPr>
    </w:p>
    <w:p>
      <w:pPr>
        <w:pStyle w:val="BodyText"/>
        <w:spacing w:before="1"/>
        <w:rPr>
          <w:sz w:val="26"/>
        </w:rPr>
      </w:pPr>
    </w:p>
    <w:p>
      <w:pPr>
        <w:pStyle w:val="Heading2"/>
        <w:numPr>
          <w:ilvl w:val="1"/>
          <w:numId w:val="8"/>
        </w:numPr>
        <w:tabs>
          <w:tab w:pos="575" w:val="left" w:leader="none"/>
        </w:tabs>
        <w:spacing w:line="240" w:lineRule="auto" w:before="69" w:after="0"/>
        <w:ind w:left="574" w:right="0" w:hanging="422"/>
        <w:jc w:val="both"/>
        <w:rPr>
          <w:i/>
        </w:rPr>
      </w:pPr>
      <w:bookmarkStart w:name="_bookmark16" w:id="28"/>
      <w:bookmarkEnd w:id="28"/>
      <w:r>
        <w:rPr>
          <w:b w:val="0"/>
          <w:i w:val="0"/>
        </w:rPr>
      </w:r>
      <w:bookmarkStart w:name="_bookmark16" w:id="29"/>
      <w:bookmarkEnd w:id="29"/>
      <w:r>
        <w:rPr>
          <w:i/>
        </w:rPr>
        <w:t>I</w:t>
      </w:r>
      <w:r>
        <w:rPr>
          <w:i/>
        </w:rPr>
        <w:t>nmunidad Innata, fisiología del pez y temperatura del</w:t>
      </w:r>
      <w:r>
        <w:rPr>
          <w:i/>
          <w:spacing w:val="-19"/>
        </w:rPr>
        <w:t> </w:t>
      </w:r>
      <w:r>
        <w:rPr>
          <w:i/>
        </w:rPr>
        <w:t>agua</w:t>
      </w:r>
    </w:p>
    <w:p>
      <w:pPr>
        <w:pStyle w:val="BodyText"/>
        <w:spacing w:line="360" w:lineRule="auto" w:before="132"/>
        <w:ind w:left="152" w:right="101"/>
        <w:jc w:val="both"/>
      </w:pPr>
      <w:r>
        <w:rPr/>
        <w:t>La inmunidad innata es desarrollada desde </w:t>
      </w:r>
      <w:r>
        <w:rPr>
          <w:spacing w:val="-5"/>
        </w:rPr>
        <w:t>la </w:t>
      </w:r>
      <w:r>
        <w:rPr/>
        <w:t>embriogénesis como una respuesta rápida, contraria a </w:t>
      </w:r>
      <w:r>
        <w:rPr>
          <w:spacing w:val="-5"/>
        </w:rPr>
        <w:t>la </w:t>
      </w:r>
      <w:r>
        <w:rPr/>
        <w:t>respuesta adaptativa que aparece entre </w:t>
      </w:r>
      <w:r>
        <w:rPr>
          <w:spacing w:val="-3"/>
        </w:rPr>
        <w:t>las </w:t>
      </w:r>
      <w:r>
        <w:rPr/>
        <w:t>cuatro y seis semanas después de </w:t>
      </w:r>
      <w:r>
        <w:rPr>
          <w:spacing w:val="-5"/>
        </w:rPr>
        <w:t>la </w:t>
      </w:r>
      <w:r>
        <w:rPr/>
        <w:t>fertilización (Herbomel </w:t>
      </w:r>
      <w:r>
        <w:rPr>
          <w:i/>
        </w:rPr>
        <w:t>et al</w:t>
      </w:r>
      <w:r>
        <w:rPr/>
        <w:t>., 2001). Es independiente de </w:t>
      </w:r>
      <w:r>
        <w:rPr>
          <w:spacing w:val="-5"/>
        </w:rPr>
        <w:t>la </w:t>
      </w:r>
      <w:r>
        <w:rPr/>
        <w:t>temperatura del agua y considerada </w:t>
      </w:r>
      <w:r>
        <w:rPr>
          <w:spacing w:val="-5"/>
        </w:rPr>
        <w:t>la </w:t>
      </w:r>
      <w:r>
        <w:rPr/>
        <w:t>más importante defensa de los organismos acuáticos (Robertsen, 2006). Aunque Rubio-Godoy (2010) prefiere llamarla relativamente independiente de </w:t>
      </w:r>
      <w:r>
        <w:rPr>
          <w:spacing w:val="-3"/>
        </w:rPr>
        <w:t>la </w:t>
      </w:r>
      <w:r>
        <w:rPr/>
        <w:t>temperatura. Dios </w:t>
      </w:r>
      <w:r>
        <w:rPr>
          <w:i/>
        </w:rPr>
        <w:t>et al</w:t>
      </w:r>
      <w:r>
        <w:rPr/>
        <w:t>., (2010) han determinado que </w:t>
      </w:r>
      <w:r>
        <w:rPr>
          <w:spacing w:val="-5"/>
        </w:rPr>
        <w:t>la </w:t>
      </w:r>
      <w:r>
        <w:rPr/>
        <w:t>expresión de genes inflamatorios y antivirales es afectada por cambios en </w:t>
      </w:r>
      <w:r>
        <w:rPr>
          <w:spacing w:val="-3"/>
        </w:rPr>
        <w:t>la </w:t>
      </w:r>
      <w:r>
        <w:rPr/>
        <w:t>temperatura en pez cebra, siendo </w:t>
      </w:r>
      <w:r>
        <w:rPr>
          <w:spacing w:val="-5"/>
        </w:rPr>
        <w:t>la </w:t>
      </w:r>
      <w:r>
        <w:rPr/>
        <w:t>expresión de </w:t>
      </w:r>
      <w:r>
        <w:rPr>
          <w:spacing w:val="-3"/>
        </w:rPr>
        <w:t>la </w:t>
      </w:r>
      <w:r>
        <w:rPr/>
        <w:t>mayoría de los genes antivirales casi completamente inhibida a 15°C, y</w:t>
      </w:r>
      <w:r>
        <w:rPr>
          <w:spacing w:val="-42"/>
        </w:rPr>
        <w:t> </w:t>
      </w:r>
      <w:r>
        <w:rPr/>
        <w:t>genes inflamatorios como</w:t>
      </w:r>
      <w:r>
        <w:rPr>
          <w:spacing w:val="-6"/>
        </w:rPr>
        <w:t> </w:t>
      </w:r>
      <w:r>
        <w:rPr/>
        <w:t>IL-1β,</w:t>
      </w:r>
      <w:r>
        <w:rPr>
          <w:spacing w:val="-12"/>
        </w:rPr>
        <w:t> </w:t>
      </w:r>
      <w:r>
        <w:rPr/>
        <w:t>TNF-</w:t>
      </w:r>
      <w:r>
        <w:rPr>
          <w:i/>
        </w:rPr>
        <w:t>α</w:t>
      </w:r>
      <w:r>
        <w:rPr>
          <w:i/>
          <w:spacing w:val="35"/>
        </w:rPr>
        <w:t> </w:t>
      </w:r>
      <w:r>
        <w:rPr/>
        <w:t>e</w:t>
      </w:r>
      <w:r>
        <w:rPr>
          <w:spacing w:val="-15"/>
        </w:rPr>
        <w:t> </w:t>
      </w:r>
      <w:r>
        <w:rPr/>
        <w:t>INOS</w:t>
      </w:r>
      <w:r>
        <w:rPr>
          <w:spacing w:val="-14"/>
        </w:rPr>
        <w:t> </w:t>
      </w:r>
      <w:r>
        <w:rPr>
          <w:spacing w:val="-3"/>
        </w:rPr>
        <w:t>no</w:t>
      </w:r>
      <w:r>
        <w:rPr>
          <w:spacing w:val="-9"/>
        </w:rPr>
        <w:t> </w:t>
      </w:r>
      <w:r>
        <w:rPr/>
        <w:t>mostraron</w:t>
      </w:r>
      <w:r>
        <w:rPr>
          <w:spacing w:val="-14"/>
        </w:rPr>
        <w:t> </w:t>
      </w:r>
      <w:r>
        <w:rPr/>
        <w:t>diferencias</w:t>
      </w:r>
      <w:r>
        <w:rPr>
          <w:spacing w:val="-12"/>
        </w:rPr>
        <w:t> </w:t>
      </w:r>
      <w:r>
        <w:rPr/>
        <w:t>entre</w:t>
      </w:r>
      <w:r>
        <w:rPr>
          <w:spacing w:val="35"/>
        </w:rPr>
        <w:t> </w:t>
      </w:r>
      <w:r>
        <w:rPr/>
        <w:t>15</w:t>
      </w:r>
      <w:r>
        <w:rPr>
          <w:spacing w:val="-11"/>
        </w:rPr>
        <w:t> </w:t>
      </w:r>
      <w:r>
        <w:rPr/>
        <w:t>y</w:t>
      </w:r>
      <w:r>
        <w:rPr>
          <w:spacing w:val="-19"/>
        </w:rPr>
        <w:t> </w:t>
      </w:r>
      <w:r>
        <w:rPr/>
        <w:t>28°C.</w:t>
      </w:r>
      <w:r>
        <w:rPr>
          <w:spacing w:val="-9"/>
        </w:rPr>
        <w:t> </w:t>
      </w:r>
      <w:r>
        <w:rPr/>
        <w:t>Al</w:t>
      </w:r>
      <w:r>
        <w:rPr>
          <w:spacing w:val="-19"/>
        </w:rPr>
        <w:t> </w:t>
      </w:r>
      <w:r>
        <w:rPr/>
        <w:t>parecer</w:t>
      </w:r>
      <w:r>
        <w:rPr>
          <w:spacing w:val="-9"/>
        </w:rPr>
        <w:t> </w:t>
      </w:r>
      <w:r>
        <w:rPr/>
        <w:t>este</w:t>
      </w:r>
      <w:r>
        <w:rPr>
          <w:spacing w:val="-11"/>
        </w:rPr>
        <w:t> </w:t>
      </w:r>
      <w:r>
        <w:rPr/>
        <w:t>factor abiótico, </w:t>
      </w:r>
      <w:r>
        <w:rPr>
          <w:spacing w:val="-3"/>
        </w:rPr>
        <w:t>no </w:t>
      </w:r>
      <w:r>
        <w:rPr/>
        <w:t>solamente </w:t>
      </w:r>
      <w:r>
        <w:rPr>
          <w:spacing w:val="-3"/>
        </w:rPr>
        <w:t>influye </w:t>
      </w:r>
      <w:r>
        <w:rPr/>
        <w:t>el sistema inmune de peces óseos si </w:t>
      </w:r>
      <w:r>
        <w:rPr>
          <w:spacing w:val="-3"/>
        </w:rPr>
        <w:t>no </w:t>
      </w:r>
      <w:r>
        <w:rPr/>
        <w:t>también </w:t>
      </w:r>
      <w:r>
        <w:rPr>
          <w:spacing w:val="-5"/>
        </w:rPr>
        <w:t>la </w:t>
      </w:r>
      <w:r>
        <w:rPr/>
        <w:t>fisiología de los animales poiquilotermos (Ruiz y De Blas, 2003). Es sabido que los cambios en </w:t>
      </w:r>
      <w:r>
        <w:rPr>
          <w:spacing w:val="-3"/>
        </w:rPr>
        <w:t>la</w:t>
      </w:r>
      <w:r>
        <w:rPr>
          <w:spacing w:val="54"/>
        </w:rPr>
        <w:t> </w:t>
      </w:r>
      <w:r>
        <w:rPr/>
        <w:t>temperatura</w:t>
      </w:r>
      <w:r>
        <w:rPr>
          <w:spacing w:val="-7"/>
        </w:rPr>
        <w:t> </w:t>
      </w:r>
      <w:r>
        <w:rPr/>
        <w:t>del</w:t>
      </w:r>
      <w:r>
        <w:rPr>
          <w:spacing w:val="-15"/>
        </w:rPr>
        <w:t> </w:t>
      </w:r>
      <w:r>
        <w:rPr/>
        <w:t>agua</w:t>
      </w:r>
      <w:r>
        <w:rPr>
          <w:spacing w:val="-12"/>
        </w:rPr>
        <w:t> </w:t>
      </w:r>
      <w:r>
        <w:rPr/>
        <w:t>tienen</w:t>
      </w:r>
      <w:r>
        <w:rPr>
          <w:spacing w:val="-11"/>
        </w:rPr>
        <w:t> </w:t>
      </w:r>
      <w:r>
        <w:rPr/>
        <w:t>un</w:t>
      </w:r>
      <w:r>
        <w:rPr>
          <w:spacing w:val="-6"/>
        </w:rPr>
        <w:t> </w:t>
      </w:r>
      <w:r>
        <w:rPr/>
        <w:t>impacto</w:t>
      </w:r>
      <w:r>
        <w:rPr>
          <w:spacing w:val="-2"/>
        </w:rPr>
        <w:t> </w:t>
      </w:r>
      <w:r>
        <w:rPr/>
        <w:t>en</w:t>
      </w:r>
      <w:r>
        <w:rPr>
          <w:spacing w:val="-11"/>
        </w:rPr>
        <w:t> </w:t>
      </w:r>
      <w:r>
        <w:rPr>
          <w:spacing w:val="-5"/>
        </w:rPr>
        <w:t>la</w:t>
      </w:r>
      <w:r>
        <w:rPr>
          <w:spacing w:val="-7"/>
        </w:rPr>
        <w:t> </w:t>
      </w:r>
      <w:r>
        <w:rPr/>
        <w:t>fisiología</w:t>
      </w:r>
      <w:r>
        <w:rPr>
          <w:spacing w:val="-7"/>
        </w:rPr>
        <w:t> </w:t>
      </w:r>
      <w:r>
        <w:rPr/>
        <w:t>de</w:t>
      </w:r>
      <w:r>
        <w:rPr>
          <w:spacing w:val="-7"/>
        </w:rPr>
        <w:t> </w:t>
      </w:r>
      <w:r>
        <w:rPr>
          <w:spacing w:val="-5"/>
        </w:rPr>
        <w:t>la</w:t>
      </w:r>
      <w:r>
        <w:rPr>
          <w:spacing w:val="-7"/>
        </w:rPr>
        <w:t> </w:t>
      </w:r>
      <w:r>
        <w:rPr/>
        <w:t>trucha</w:t>
      </w:r>
      <w:r>
        <w:rPr>
          <w:spacing w:val="-7"/>
        </w:rPr>
        <w:t> </w:t>
      </w:r>
      <w:r>
        <w:rPr/>
        <w:t>arcoíris</w:t>
      </w:r>
      <w:r>
        <w:rPr>
          <w:spacing w:val="-7"/>
        </w:rPr>
        <w:t> </w:t>
      </w:r>
      <w:r>
        <w:rPr/>
        <w:t>(Guderley,</w:t>
      </w:r>
      <w:r>
        <w:rPr>
          <w:spacing w:val="-4"/>
        </w:rPr>
        <w:t> </w:t>
      </w:r>
      <w:r>
        <w:rPr/>
        <w:t>2004; Kraffe </w:t>
      </w:r>
      <w:r>
        <w:rPr>
          <w:i/>
        </w:rPr>
        <w:t>et al</w:t>
      </w:r>
      <w:r>
        <w:rPr/>
        <w:t>., 2007; Haverinen y Vornanen, 2007) incluyendo su tasa metabólica (Battersby y Moyes, 1998). Además, funciones inmunes como </w:t>
      </w:r>
      <w:r>
        <w:rPr>
          <w:spacing w:val="-5"/>
        </w:rPr>
        <w:t>la </w:t>
      </w:r>
      <w:r>
        <w:rPr/>
        <w:t>endocitosis (Padron </w:t>
      </w:r>
      <w:r>
        <w:rPr>
          <w:i/>
        </w:rPr>
        <w:t>et al</w:t>
      </w:r>
      <w:r>
        <w:rPr/>
        <w:t>., 2000), </w:t>
      </w:r>
      <w:r>
        <w:rPr>
          <w:spacing w:val="-3"/>
        </w:rPr>
        <w:t>la </w:t>
      </w:r>
      <w:r>
        <w:rPr/>
        <w:t>transcripción de genes inmunes (Raida y Buchmann, 2007), concentración de inmunoglobulinas (Suzuki </w:t>
      </w:r>
      <w:r>
        <w:rPr>
          <w:i/>
        </w:rPr>
        <w:t>et al</w:t>
      </w:r>
      <w:r>
        <w:rPr/>
        <w:t>., 1997; Nikoskelainen </w:t>
      </w:r>
      <w:r>
        <w:rPr>
          <w:i/>
        </w:rPr>
        <w:t>et al</w:t>
      </w:r>
      <w:r>
        <w:rPr/>
        <w:t>., 2004) y </w:t>
      </w:r>
      <w:r>
        <w:rPr>
          <w:spacing w:val="-3"/>
        </w:rPr>
        <w:t>la </w:t>
      </w:r>
      <w:r>
        <w:rPr/>
        <w:t>proteína C-reactiva (Kodama </w:t>
      </w:r>
      <w:r>
        <w:rPr>
          <w:i/>
        </w:rPr>
        <w:t>et al</w:t>
      </w:r>
      <w:r>
        <w:rPr/>
        <w:t>., 2004) han sido reportadas </w:t>
      </w:r>
      <w:r>
        <w:rPr>
          <w:spacing w:val="-3"/>
        </w:rPr>
        <w:t>como </w:t>
      </w:r>
      <w:r>
        <w:rPr/>
        <w:t>dependientes de </w:t>
      </w:r>
      <w:r>
        <w:rPr>
          <w:spacing w:val="-5"/>
        </w:rPr>
        <w:t>la </w:t>
      </w:r>
      <w:r>
        <w:rPr/>
        <w:t>temperatura del</w:t>
      </w:r>
      <w:r>
        <w:rPr>
          <w:spacing w:val="4"/>
        </w:rPr>
        <w:t> </w:t>
      </w:r>
      <w:r>
        <w:rPr/>
        <w:t>agua.</w:t>
      </w:r>
    </w:p>
    <w:p>
      <w:pPr>
        <w:pStyle w:val="BodyText"/>
      </w:pPr>
    </w:p>
    <w:p>
      <w:pPr>
        <w:pStyle w:val="Heading2"/>
        <w:numPr>
          <w:ilvl w:val="2"/>
          <w:numId w:val="8"/>
        </w:numPr>
        <w:tabs>
          <w:tab w:pos="757" w:val="left" w:leader="none"/>
        </w:tabs>
        <w:spacing w:line="240" w:lineRule="auto" w:before="146" w:after="0"/>
        <w:ind w:left="756" w:right="0" w:hanging="604"/>
        <w:jc w:val="both"/>
        <w:rPr>
          <w:i/>
        </w:rPr>
      </w:pPr>
      <w:bookmarkStart w:name="_bookmark17" w:id="30"/>
      <w:bookmarkEnd w:id="30"/>
      <w:r>
        <w:rPr>
          <w:b w:val="0"/>
          <w:i w:val="0"/>
        </w:rPr>
      </w:r>
      <w:bookmarkStart w:name="_bookmark17" w:id="31"/>
      <w:bookmarkEnd w:id="31"/>
      <w:r>
        <w:rPr>
          <w:i/>
        </w:rPr>
        <w:t>R</w:t>
      </w:r>
      <w:r>
        <w:rPr>
          <w:i/>
        </w:rPr>
        <w:t>econocimiento de IPNV por el sistema inmune</w:t>
      </w:r>
      <w:r>
        <w:rPr>
          <w:i/>
          <w:spacing w:val="-15"/>
        </w:rPr>
        <w:t> </w:t>
      </w:r>
      <w:r>
        <w:rPr>
          <w:i/>
        </w:rPr>
        <w:t>innato.</w:t>
      </w:r>
    </w:p>
    <w:p>
      <w:pPr>
        <w:pStyle w:val="BodyText"/>
        <w:spacing w:line="360" w:lineRule="auto" w:before="41"/>
        <w:ind w:left="152" w:right="101"/>
        <w:jc w:val="both"/>
      </w:pPr>
      <w:r>
        <w:rPr/>
        <w:t>La función de control de infecciones virales mediado por PRRs </w:t>
      </w:r>
      <w:r>
        <w:rPr>
          <w:spacing w:val="-3"/>
        </w:rPr>
        <w:t>fue </w:t>
      </w:r>
      <w:r>
        <w:rPr/>
        <w:t>descrito por Bowie y Haga (2005). Este es un componente clave de </w:t>
      </w:r>
      <w:r>
        <w:rPr>
          <w:spacing w:val="-5"/>
        </w:rPr>
        <w:t>la </w:t>
      </w:r>
      <w:r>
        <w:rPr/>
        <w:t>inmunidad innata que da capacidad a los peces óseos para reconocer PAMPs, e incluyen colectivamente, lípidos, carbohidratos, péptidos y ácidos nucleicos específicos de determinados grupos de microorganismos (Xu </w:t>
      </w:r>
      <w:r>
        <w:rPr>
          <w:i/>
        </w:rPr>
        <w:t>et </w:t>
      </w:r>
      <w:r>
        <w:rPr>
          <w:i/>
        </w:rPr>
        <w:t>al</w:t>
      </w:r>
      <w:r>
        <w:rPr/>
        <w:t>., 2005; Feng </w:t>
      </w:r>
      <w:r>
        <w:rPr>
          <w:i/>
        </w:rPr>
        <w:t>et al</w:t>
      </w:r>
      <w:r>
        <w:rPr/>
        <w:t>., 2011). La activación de PRRs en los compartimentos citoplasmáticos conlleva finalmente </w:t>
      </w:r>
      <w:r>
        <w:rPr>
          <w:spacing w:val="-5"/>
        </w:rPr>
        <w:t>la </w:t>
      </w:r>
      <w:r>
        <w:rPr/>
        <w:t>expresión de distintas moléculas de secreción que diversifican </w:t>
      </w:r>
      <w:r>
        <w:rPr>
          <w:spacing w:val="-3"/>
        </w:rPr>
        <w:t>la </w:t>
      </w:r>
      <w:r>
        <w:rPr/>
        <w:t>respuesta</w:t>
      </w:r>
      <w:r>
        <w:rPr>
          <w:spacing w:val="-8"/>
        </w:rPr>
        <w:t> </w:t>
      </w:r>
      <w:r>
        <w:rPr/>
        <w:t>antiviral</w:t>
      </w:r>
      <w:r>
        <w:rPr>
          <w:spacing w:val="-10"/>
        </w:rPr>
        <w:t> </w:t>
      </w:r>
      <w:r>
        <w:rPr/>
        <w:t>y</w:t>
      </w:r>
      <w:r>
        <w:rPr>
          <w:spacing w:val="-15"/>
        </w:rPr>
        <w:t> </w:t>
      </w:r>
      <w:r>
        <w:rPr/>
        <w:t>aumentan</w:t>
      </w:r>
      <w:r>
        <w:rPr>
          <w:spacing w:val="-7"/>
        </w:rPr>
        <w:t> </w:t>
      </w:r>
      <w:r>
        <w:rPr>
          <w:spacing w:val="-5"/>
        </w:rPr>
        <w:t>la</w:t>
      </w:r>
      <w:r>
        <w:rPr>
          <w:spacing w:val="-8"/>
        </w:rPr>
        <w:t> </w:t>
      </w:r>
      <w:r>
        <w:rPr/>
        <w:t>eficacia</w:t>
      </w:r>
      <w:r>
        <w:rPr>
          <w:spacing w:val="-8"/>
        </w:rPr>
        <w:t> </w:t>
      </w:r>
      <w:r>
        <w:rPr/>
        <w:t>de</w:t>
      </w:r>
      <w:r>
        <w:rPr>
          <w:spacing w:val="-3"/>
        </w:rPr>
        <w:t> </w:t>
      </w:r>
      <w:r>
        <w:rPr>
          <w:spacing w:val="-5"/>
        </w:rPr>
        <w:t>la</w:t>
      </w:r>
      <w:r>
        <w:rPr>
          <w:spacing w:val="-3"/>
        </w:rPr>
        <w:t> </w:t>
      </w:r>
      <w:r>
        <w:rPr/>
        <w:t>misma.</w:t>
      </w:r>
      <w:r>
        <w:rPr>
          <w:spacing w:val="-1"/>
        </w:rPr>
        <w:t> </w:t>
      </w:r>
      <w:r>
        <w:rPr/>
        <w:t>La</w:t>
      </w:r>
      <w:r>
        <w:rPr>
          <w:spacing w:val="-3"/>
        </w:rPr>
        <w:t> </w:t>
      </w:r>
      <w:r>
        <w:rPr/>
        <w:t>inmunidad</w:t>
      </w:r>
      <w:r>
        <w:rPr>
          <w:spacing w:val="-2"/>
        </w:rPr>
        <w:t> </w:t>
      </w:r>
      <w:r>
        <w:rPr/>
        <w:t>innata</w:t>
      </w:r>
      <w:r>
        <w:rPr>
          <w:spacing w:val="-7"/>
        </w:rPr>
        <w:t> </w:t>
      </w:r>
      <w:r>
        <w:rPr>
          <w:spacing w:val="-3"/>
        </w:rPr>
        <w:t>no</w:t>
      </w:r>
      <w:r>
        <w:rPr>
          <w:spacing w:val="-7"/>
        </w:rPr>
        <w:t> </w:t>
      </w:r>
      <w:r>
        <w:rPr>
          <w:spacing w:val="-3"/>
        </w:rPr>
        <w:t>sólo</w:t>
      </w:r>
      <w:r>
        <w:rPr>
          <w:spacing w:val="-2"/>
        </w:rPr>
        <w:t> </w:t>
      </w:r>
      <w:r>
        <w:rPr/>
        <w:t>combate </w:t>
      </w:r>
      <w:r>
        <w:rPr>
          <w:spacing w:val="-3"/>
        </w:rPr>
        <w:t>la </w:t>
      </w:r>
      <w:r>
        <w:rPr/>
        <w:t>infección, si </w:t>
      </w:r>
      <w:r>
        <w:rPr>
          <w:spacing w:val="-3"/>
        </w:rPr>
        <w:t>no </w:t>
      </w:r>
      <w:r>
        <w:rPr/>
        <w:t>también es un enlace para </w:t>
      </w:r>
      <w:r>
        <w:rPr>
          <w:spacing w:val="-3"/>
        </w:rPr>
        <w:t>la </w:t>
      </w:r>
      <w:r>
        <w:rPr/>
        <w:t>activación de </w:t>
      </w:r>
      <w:r>
        <w:rPr>
          <w:spacing w:val="-3"/>
        </w:rPr>
        <w:t>la </w:t>
      </w:r>
      <w:r>
        <w:rPr/>
        <w:t>inmunidad adaptativa en vertebrados</w:t>
      </w:r>
      <w:r>
        <w:rPr>
          <w:spacing w:val="41"/>
        </w:rPr>
        <w:t> </w:t>
      </w:r>
      <w:r>
        <w:rPr/>
        <w:t>(Roberts</w:t>
      </w:r>
      <w:r>
        <w:rPr>
          <w:spacing w:val="41"/>
        </w:rPr>
        <w:t> </w:t>
      </w:r>
      <w:r>
        <w:rPr/>
        <w:t>y</w:t>
      </w:r>
      <w:r>
        <w:rPr>
          <w:spacing w:val="33"/>
        </w:rPr>
        <w:t> </w:t>
      </w:r>
      <w:r>
        <w:rPr/>
        <w:t>Pearson,</w:t>
      </w:r>
      <w:r>
        <w:rPr>
          <w:spacing w:val="44"/>
        </w:rPr>
        <w:t> </w:t>
      </w:r>
      <w:r>
        <w:rPr/>
        <w:t>2005;</w:t>
      </w:r>
      <w:r>
        <w:rPr>
          <w:spacing w:val="39"/>
        </w:rPr>
        <w:t> </w:t>
      </w:r>
      <w:r>
        <w:rPr/>
        <w:t>Iwanaga</w:t>
      </w:r>
      <w:r>
        <w:rPr>
          <w:spacing w:val="36"/>
        </w:rPr>
        <w:t> </w:t>
      </w:r>
      <w:r>
        <w:rPr/>
        <w:t>y</w:t>
      </w:r>
      <w:r>
        <w:rPr>
          <w:spacing w:val="37"/>
        </w:rPr>
        <w:t> </w:t>
      </w:r>
      <w:r>
        <w:rPr/>
        <w:t>Lee,</w:t>
      </w:r>
      <w:r>
        <w:rPr>
          <w:spacing w:val="44"/>
        </w:rPr>
        <w:t> </w:t>
      </w:r>
      <w:r>
        <w:rPr/>
        <w:t>2005).</w:t>
      </w:r>
      <w:r>
        <w:rPr>
          <w:spacing w:val="40"/>
        </w:rPr>
        <w:t> </w:t>
      </w:r>
      <w:r>
        <w:rPr/>
        <w:t>El</w:t>
      </w:r>
      <w:r>
        <w:rPr>
          <w:spacing w:val="33"/>
        </w:rPr>
        <w:t> </w:t>
      </w:r>
      <w:r>
        <w:rPr/>
        <w:t>reconocimiento</w:t>
      </w:r>
      <w:r>
        <w:rPr>
          <w:spacing w:val="42"/>
        </w:rPr>
        <w:t> </w:t>
      </w:r>
      <w:r>
        <w:rPr/>
        <w:t>de</w:t>
      </w:r>
      <w:r>
        <w:rPr>
          <w:spacing w:val="38"/>
        </w:rPr>
        <w:t> </w:t>
      </w:r>
      <w:r>
        <w:rPr/>
        <w:t>los</w:t>
      </w:r>
    </w:p>
    <w:p>
      <w:pPr>
        <w:spacing w:after="0" w:line="360" w:lineRule="auto"/>
        <w:jc w:val="both"/>
        <w:sectPr>
          <w:pgSz w:w="12240" w:h="15840"/>
          <w:pgMar w:header="0" w:footer="1382" w:top="1500" w:bottom="1580" w:left="1720" w:right="1420"/>
        </w:sectPr>
      </w:pPr>
    </w:p>
    <w:p>
      <w:pPr>
        <w:pStyle w:val="BodyText"/>
        <w:spacing w:before="7"/>
        <w:rPr>
          <w:sz w:val="25"/>
        </w:rPr>
      </w:pPr>
    </w:p>
    <w:p>
      <w:pPr>
        <w:pStyle w:val="BodyText"/>
        <w:spacing w:line="360" w:lineRule="auto" w:before="70"/>
        <w:ind w:left="152" w:right="98"/>
        <w:jc w:val="both"/>
      </w:pPr>
      <w:r>
        <w:rPr/>
        <w:t>PAMPs inicia </w:t>
      </w:r>
      <w:r>
        <w:rPr>
          <w:spacing w:val="-5"/>
        </w:rPr>
        <w:t>la </w:t>
      </w:r>
      <w:r>
        <w:rPr/>
        <w:t>producción de moléculas dentro de </w:t>
      </w:r>
      <w:r>
        <w:rPr>
          <w:spacing w:val="-4"/>
        </w:rPr>
        <w:t>las </w:t>
      </w:r>
      <w:r>
        <w:rPr/>
        <w:t>células así como </w:t>
      </w:r>
      <w:r>
        <w:rPr>
          <w:spacing w:val="-5"/>
        </w:rPr>
        <w:t>la </w:t>
      </w:r>
      <w:r>
        <w:rPr/>
        <w:t>secreción de citocinas (Wu </w:t>
      </w:r>
      <w:r>
        <w:rPr>
          <w:i/>
        </w:rPr>
        <w:t>et al</w:t>
      </w:r>
      <w:r>
        <w:rPr/>
        <w:t>., 2010), un grupo de proteínas secretadas que regulan importantes funciones celulares antivirales como </w:t>
      </w:r>
      <w:r>
        <w:rPr>
          <w:spacing w:val="-5"/>
        </w:rPr>
        <w:t>lo </w:t>
      </w:r>
      <w:r>
        <w:rPr/>
        <w:t>es el IFN-I, que funciona, </w:t>
      </w:r>
      <w:r>
        <w:rPr>
          <w:spacing w:val="-3"/>
        </w:rPr>
        <w:t>como </w:t>
      </w:r>
      <w:r>
        <w:rPr/>
        <w:t>molécula de alarma y advertencia celular ante </w:t>
      </w:r>
      <w:r>
        <w:rPr>
          <w:spacing w:val="-5"/>
        </w:rPr>
        <w:t>la </w:t>
      </w:r>
      <w:r>
        <w:rPr/>
        <w:t>infección viral (Skjesol </w:t>
      </w:r>
      <w:r>
        <w:rPr>
          <w:i/>
        </w:rPr>
        <w:t>et al</w:t>
      </w:r>
      <w:r>
        <w:rPr/>
        <w:t>., 2009). Las citocinas también están involucrados en </w:t>
      </w:r>
      <w:r>
        <w:rPr>
          <w:spacing w:val="-3"/>
        </w:rPr>
        <w:t>la </w:t>
      </w:r>
      <w:r>
        <w:rPr/>
        <w:t>regulación del sistema inmune adaptativo mediante </w:t>
      </w:r>
      <w:r>
        <w:rPr>
          <w:spacing w:val="-3"/>
        </w:rPr>
        <w:t>la </w:t>
      </w:r>
      <w:r>
        <w:rPr/>
        <w:t>producción de células B y </w:t>
      </w:r>
      <w:r>
        <w:rPr>
          <w:spacing w:val="-3"/>
        </w:rPr>
        <w:t>la </w:t>
      </w:r>
      <w:r>
        <w:rPr/>
        <w:t>diferenciación de células T, y de ese modo proporcionan un enlace entre </w:t>
      </w:r>
      <w:r>
        <w:rPr>
          <w:spacing w:val="-5"/>
        </w:rPr>
        <w:t>la </w:t>
      </w:r>
      <w:r>
        <w:rPr/>
        <w:t>inmunidad</w:t>
      </w:r>
      <w:r>
        <w:rPr>
          <w:spacing w:val="-6"/>
        </w:rPr>
        <w:t> </w:t>
      </w:r>
      <w:r>
        <w:rPr/>
        <w:t>innata</w:t>
      </w:r>
      <w:r>
        <w:rPr>
          <w:spacing w:val="-7"/>
        </w:rPr>
        <w:t> </w:t>
      </w:r>
      <w:r>
        <w:rPr/>
        <w:t>y</w:t>
      </w:r>
      <w:r>
        <w:rPr>
          <w:spacing w:val="-19"/>
        </w:rPr>
        <w:t> </w:t>
      </w:r>
      <w:r>
        <w:rPr/>
        <w:t>adaptativa</w:t>
      </w:r>
      <w:r>
        <w:rPr>
          <w:spacing w:val="-12"/>
        </w:rPr>
        <w:t> </w:t>
      </w:r>
      <w:r>
        <w:rPr/>
        <w:t>(Palmer</w:t>
      </w:r>
      <w:r>
        <w:rPr>
          <w:spacing w:val="-3"/>
        </w:rPr>
        <w:t> </w:t>
      </w:r>
      <w:r>
        <w:rPr/>
        <w:t>y</w:t>
      </w:r>
      <w:r>
        <w:rPr>
          <w:spacing w:val="-15"/>
        </w:rPr>
        <w:t> </w:t>
      </w:r>
      <w:r>
        <w:rPr/>
        <w:t>Restifo,</w:t>
      </w:r>
      <w:r>
        <w:rPr>
          <w:spacing w:val="-7"/>
        </w:rPr>
        <w:t> </w:t>
      </w:r>
      <w:r>
        <w:rPr/>
        <w:t>2009;</w:t>
      </w:r>
      <w:r>
        <w:rPr>
          <w:spacing w:val="-15"/>
        </w:rPr>
        <w:t> </w:t>
      </w:r>
      <w:r>
        <w:rPr/>
        <w:t>Versteeg</w:t>
      </w:r>
      <w:r>
        <w:rPr>
          <w:spacing w:val="-6"/>
        </w:rPr>
        <w:t> </w:t>
      </w:r>
      <w:r>
        <w:rPr/>
        <w:t>y</w:t>
      </w:r>
      <w:r>
        <w:rPr>
          <w:spacing w:val="-18"/>
        </w:rPr>
        <w:t> </w:t>
      </w:r>
      <w:r>
        <w:rPr/>
        <w:t>Garcia-Sastre,</w:t>
      </w:r>
      <w:r>
        <w:rPr>
          <w:spacing w:val="-9"/>
        </w:rPr>
        <w:t> </w:t>
      </w:r>
      <w:r>
        <w:rPr/>
        <w:t>2010).</w:t>
      </w:r>
      <w:r>
        <w:rPr>
          <w:spacing w:val="-7"/>
        </w:rPr>
        <w:t> </w:t>
      </w:r>
      <w:r>
        <w:rPr/>
        <w:t>Los principales PAMPs reconocidos por las células son los ácidos nucleicos. Los PPRs que los reconocen pueden ser divididos en receptores intracitoplasmáticos y extracitoplasmáticos (Purcell, 2006). Los extracitoplasmáticos consisten de varios miembros de receptores tipo Toll (TLRs) como TLR-3 y TLR-22. Los receptores intracitoplasmáticos incluyen los que detectan</w:t>
      </w:r>
      <w:r>
        <w:rPr>
          <w:spacing w:val="-15"/>
        </w:rPr>
        <w:t> </w:t>
      </w:r>
      <w:r>
        <w:rPr/>
        <w:t>RNA</w:t>
      </w:r>
      <w:r>
        <w:rPr>
          <w:spacing w:val="-16"/>
        </w:rPr>
        <w:t> </w:t>
      </w:r>
      <w:r>
        <w:rPr/>
        <w:t>viral</w:t>
      </w:r>
      <w:r>
        <w:rPr>
          <w:spacing w:val="-19"/>
        </w:rPr>
        <w:t> </w:t>
      </w:r>
      <w:r>
        <w:rPr/>
        <w:t>como</w:t>
      </w:r>
      <w:r>
        <w:rPr>
          <w:spacing w:val="-6"/>
        </w:rPr>
        <w:t> </w:t>
      </w:r>
      <w:r>
        <w:rPr/>
        <w:t>el</w:t>
      </w:r>
      <w:r>
        <w:rPr>
          <w:spacing w:val="-20"/>
        </w:rPr>
        <w:t> </w:t>
      </w:r>
      <w:r>
        <w:rPr/>
        <w:t>gen</w:t>
      </w:r>
      <w:r>
        <w:rPr>
          <w:spacing w:val="-15"/>
        </w:rPr>
        <w:t> </w:t>
      </w:r>
      <w:r>
        <w:rPr/>
        <w:t>I</w:t>
      </w:r>
      <w:r>
        <w:rPr>
          <w:spacing w:val="-9"/>
        </w:rPr>
        <w:t> </w:t>
      </w:r>
      <w:r>
        <w:rPr/>
        <w:t>inducible</w:t>
      </w:r>
      <w:r>
        <w:rPr>
          <w:spacing w:val="-12"/>
        </w:rPr>
        <w:t> </w:t>
      </w:r>
      <w:r>
        <w:rPr/>
        <w:t>por</w:t>
      </w:r>
      <w:r>
        <w:rPr>
          <w:spacing w:val="-9"/>
        </w:rPr>
        <w:t> </w:t>
      </w:r>
      <w:r>
        <w:rPr/>
        <w:t>el</w:t>
      </w:r>
      <w:r>
        <w:rPr>
          <w:spacing w:val="-20"/>
        </w:rPr>
        <w:t> </w:t>
      </w:r>
      <w:r>
        <w:rPr/>
        <w:t>ácido</w:t>
      </w:r>
      <w:r>
        <w:rPr>
          <w:spacing w:val="-6"/>
        </w:rPr>
        <w:t> </w:t>
      </w:r>
      <w:r>
        <w:rPr/>
        <w:t>retinoico</w:t>
      </w:r>
      <w:r>
        <w:rPr>
          <w:spacing w:val="-3"/>
        </w:rPr>
        <w:t> </w:t>
      </w:r>
      <w:r>
        <w:rPr/>
        <w:t>(RIG-1)</w:t>
      </w:r>
      <w:r>
        <w:rPr>
          <w:spacing w:val="-13"/>
        </w:rPr>
        <w:t> </w:t>
      </w:r>
      <w:r>
        <w:rPr/>
        <w:t>y</w:t>
      </w:r>
      <w:r>
        <w:rPr>
          <w:spacing w:val="-20"/>
        </w:rPr>
        <w:t> </w:t>
      </w:r>
      <w:r>
        <w:rPr/>
        <w:t>el</w:t>
      </w:r>
      <w:r>
        <w:rPr>
          <w:spacing w:val="-20"/>
        </w:rPr>
        <w:t> </w:t>
      </w:r>
      <w:r>
        <w:rPr/>
        <w:t>gen</w:t>
      </w:r>
      <w:r>
        <w:rPr>
          <w:spacing w:val="-15"/>
        </w:rPr>
        <w:t> </w:t>
      </w:r>
      <w:r>
        <w:rPr/>
        <w:t>5</w:t>
      </w:r>
      <w:r>
        <w:rPr>
          <w:spacing w:val="-10"/>
        </w:rPr>
        <w:t> </w:t>
      </w:r>
      <w:r>
        <w:rPr/>
        <w:t>asociado a </w:t>
      </w:r>
      <w:r>
        <w:rPr>
          <w:spacing w:val="-3"/>
        </w:rPr>
        <w:t>la </w:t>
      </w:r>
      <w:r>
        <w:rPr/>
        <w:t>diferenciación del melanoma (MDA-5). Estos receptores principalmente cumplen funciones especializadas en células del sistema inmune como macrófagos y células dendríticas (Matsuo </w:t>
      </w:r>
      <w:r>
        <w:rPr>
          <w:i/>
        </w:rPr>
        <w:t>et al.,</w:t>
      </w:r>
      <w:r>
        <w:rPr>
          <w:i/>
          <w:spacing w:val="-8"/>
        </w:rPr>
        <w:t> </w:t>
      </w:r>
      <w:r>
        <w:rPr/>
        <w:t>2008).</w:t>
      </w:r>
    </w:p>
    <w:p>
      <w:pPr>
        <w:pStyle w:val="BodyText"/>
      </w:pPr>
    </w:p>
    <w:p>
      <w:pPr>
        <w:pStyle w:val="Heading2"/>
        <w:numPr>
          <w:ilvl w:val="2"/>
          <w:numId w:val="8"/>
        </w:numPr>
        <w:tabs>
          <w:tab w:pos="757" w:val="left" w:leader="none"/>
        </w:tabs>
        <w:spacing w:line="240" w:lineRule="auto" w:before="150" w:after="0"/>
        <w:ind w:left="756" w:right="0" w:hanging="604"/>
        <w:jc w:val="both"/>
        <w:rPr>
          <w:i/>
        </w:rPr>
      </w:pPr>
      <w:bookmarkStart w:name="_bookmark18" w:id="32"/>
      <w:bookmarkEnd w:id="32"/>
      <w:r>
        <w:rPr>
          <w:b w:val="0"/>
          <w:i w:val="0"/>
        </w:rPr>
      </w:r>
      <w:bookmarkStart w:name="_bookmark18" w:id="33"/>
      <w:bookmarkEnd w:id="33"/>
      <w:r>
        <w:rPr>
          <w:i/>
        </w:rPr>
        <w:t>E</w:t>
      </w:r>
      <w:r>
        <w:rPr>
          <w:i/>
        </w:rPr>
        <w:t>l sistema de</w:t>
      </w:r>
      <w:r>
        <w:rPr>
          <w:i/>
          <w:spacing w:val="-13"/>
        </w:rPr>
        <w:t> </w:t>
      </w:r>
      <w:r>
        <w:rPr>
          <w:i/>
        </w:rPr>
        <w:t>Interferón</w:t>
      </w:r>
    </w:p>
    <w:p>
      <w:pPr>
        <w:pStyle w:val="BodyText"/>
        <w:spacing w:line="360" w:lineRule="auto" w:before="36"/>
        <w:ind w:left="152" w:right="102"/>
        <w:jc w:val="both"/>
      </w:pPr>
      <w:r>
        <w:rPr/>
        <w:t>Los interferones (IFNs) son una gran familia de proteínas multifuncionales involucradas en defensas antivirales, regulación del crecimiento </w:t>
      </w:r>
      <w:r>
        <w:rPr>
          <w:spacing w:val="-3"/>
        </w:rPr>
        <w:t>celular </w:t>
      </w:r>
      <w:r>
        <w:rPr/>
        <w:t>y </w:t>
      </w:r>
      <w:r>
        <w:rPr>
          <w:spacing w:val="-5"/>
        </w:rPr>
        <w:t>la </w:t>
      </w:r>
      <w:r>
        <w:rPr/>
        <w:t>activación del sistema inmune (Goodbourn</w:t>
      </w:r>
      <w:r>
        <w:rPr>
          <w:spacing w:val="-14"/>
        </w:rPr>
        <w:t> </w:t>
      </w:r>
      <w:r>
        <w:rPr>
          <w:i/>
        </w:rPr>
        <w:t>et</w:t>
      </w:r>
      <w:r>
        <w:rPr>
          <w:i/>
          <w:spacing w:val="-10"/>
        </w:rPr>
        <w:t> </w:t>
      </w:r>
      <w:r>
        <w:rPr>
          <w:i/>
        </w:rPr>
        <w:t>al.,</w:t>
      </w:r>
      <w:r>
        <w:rPr>
          <w:i/>
          <w:spacing w:val="-13"/>
        </w:rPr>
        <w:t> </w:t>
      </w:r>
      <w:r>
        <w:rPr/>
        <w:t>2000).</w:t>
      </w:r>
      <w:r>
        <w:rPr>
          <w:spacing w:val="-12"/>
        </w:rPr>
        <w:t> </w:t>
      </w:r>
      <w:r>
        <w:rPr/>
        <w:t>Los</w:t>
      </w:r>
      <w:r>
        <w:rPr>
          <w:spacing w:val="-13"/>
        </w:rPr>
        <w:t> </w:t>
      </w:r>
      <w:r>
        <w:rPr/>
        <w:t>interferones</w:t>
      </w:r>
      <w:r>
        <w:rPr>
          <w:spacing w:val="-11"/>
        </w:rPr>
        <w:t> </w:t>
      </w:r>
      <w:r>
        <w:rPr/>
        <w:t>pueden</w:t>
      </w:r>
      <w:r>
        <w:rPr>
          <w:spacing w:val="-15"/>
        </w:rPr>
        <w:t> </w:t>
      </w:r>
      <w:r>
        <w:rPr/>
        <w:t>clasificarse</w:t>
      </w:r>
      <w:r>
        <w:rPr>
          <w:spacing w:val="-12"/>
        </w:rPr>
        <w:t> </w:t>
      </w:r>
      <w:r>
        <w:rPr/>
        <w:t>en</w:t>
      </w:r>
      <w:r>
        <w:rPr>
          <w:spacing w:val="-15"/>
        </w:rPr>
        <w:t> </w:t>
      </w:r>
      <w:r>
        <w:rPr/>
        <w:t>dos</w:t>
      </w:r>
      <w:r>
        <w:rPr>
          <w:spacing w:val="-13"/>
        </w:rPr>
        <w:t> </w:t>
      </w:r>
      <w:r>
        <w:rPr/>
        <w:t>distintos</w:t>
      </w:r>
      <w:r>
        <w:rPr>
          <w:spacing w:val="-21"/>
        </w:rPr>
        <w:t> </w:t>
      </w:r>
      <w:r>
        <w:rPr/>
        <w:t>tipos:</w:t>
      </w:r>
      <w:r>
        <w:rPr>
          <w:spacing w:val="-10"/>
        </w:rPr>
        <w:t> </w:t>
      </w:r>
      <w:r>
        <w:rPr/>
        <w:t>Los</w:t>
      </w:r>
      <w:r>
        <w:rPr>
          <w:spacing w:val="-18"/>
        </w:rPr>
        <w:t> </w:t>
      </w:r>
      <w:r>
        <w:rPr/>
        <w:t>tipo I que son producidos en respuesta directa a </w:t>
      </w:r>
      <w:r>
        <w:rPr>
          <w:spacing w:val="-3"/>
        </w:rPr>
        <w:t>la </w:t>
      </w:r>
      <w:r>
        <w:rPr/>
        <w:t>infección viral (predominantemente sintetizados por leucocitos) y los tipo II de </w:t>
      </w:r>
      <w:r>
        <w:rPr>
          <w:spacing w:val="-5"/>
        </w:rPr>
        <w:t>la </w:t>
      </w:r>
      <w:r>
        <w:rPr/>
        <w:t>familia de los genes IFN-β, sintetizados por </w:t>
      </w:r>
      <w:r>
        <w:rPr>
          <w:spacing w:val="-3"/>
        </w:rPr>
        <w:t>la </w:t>
      </w:r>
      <w:r>
        <w:rPr/>
        <w:t>mayoría de células, aunque particularmente por fibroblastos (Roberstsen, 2006). Los interferones</w:t>
      </w:r>
      <w:r>
        <w:rPr>
          <w:spacing w:val="-4"/>
        </w:rPr>
        <w:t> </w:t>
      </w:r>
      <w:r>
        <w:rPr/>
        <w:t>en</w:t>
      </w:r>
      <w:r>
        <w:rPr>
          <w:spacing w:val="-4"/>
        </w:rPr>
        <w:t> </w:t>
      </w:r>
      <w:r>
        <w:rPr/>
        <w:t>mamíferos</w:t>
      </w:r>
      <w:r>
        <w:rPr>
          <w:spacing w:val="-5"/>
        </w:rPr>
        <w:t> </w:t>
      </w:r>
      <w:r>
        <w:rPr/>
        <w:t>cumplen</w:t>
      </w:r>
      <w:r>
        <w:rPr>
          <w:spacing w:val="-8"/>
        </w:rPr>
        <w:t> </w:t>
      </w:r>
      <w:r>
        <w:rPr/>
        <w:t>un</w:t>
      </w:r>
      <w:r>
        <w:rPr>
          <w:spacing w:val="-9"/>
        </w:rPr>
        <w:t> </w:t>
      </w:r>
      <w:r>
        <w:rPr/>
        <w:t>papel</w:t>
      </w:r>
      <w:r>
        <w:rPr>
          <w:spacing w:val="-8"/>
        </w:rPr>
        <w:t> </w:t>
      </w:r>
      <w:r>
        <w:rPr/>
        <w:t>crucial</w:t>
      </w:r>
      <w:r>
        <w:rPr>
          <w:spacing w:val="-8"/>
        </w:rPr>
        <w:t> </w:t>
      </w:r>
      <w:r>
        <w:rPr/>
        <w:t>en</w:t>
      </w:r>
      <w:r>
        <w:rPr>
          <w:spacing w:val="-4"/>
        </w:rPr>
        <w:t> </w:t>
      </w:r>
      <w:r>
        <w:rPr>
          <w:spacing w:val="-3"/>
        </w:rPr>
        <w:t>la</w:t>
      </w:r>
      <w:r>
        <w:rPr>
          <w:spacing w:val="-5"/>
        </w:rPr>
        <w:t> </w:t>
      </w:r>
      <w:r>
        <w:rPr/>
        <w:t>respuesta inmune innata</w:t>
      </w:r>
      <w:r>
        <w:rPr>
          <w:spacing w:val="-5"/>
        </w:rPr>
        <w:t> </w:t>
      </w:r>
      <w:r>
        <w:rPr/>
        <w:t>contra</w:t>
      </w:r>
      <w:r>
        <w:rPr>
          <w:spacing w:val="-5"/>
        </w:rPr>
        <w:t> </w:t>
      </w:r>
      <w:r>
        <w:rPr>
          <w:spacing w:val="-4"/>
        </w:rPr>
        <w:t>las </w:t>
      </w:r>
      <w:r>
        <w:rPr/>
        <w:t>infecciones virales en respuesta al reconocimiento celular de ácidos nucleicos virales (Fig. 5). Así esta familia de citoquinas eliminan células infectadas pero además protegen </w:t>
      </w:r>
      <w:r>
        <w:rPr>
          <w:spacing w:val="-3"/>
        </w:rPr>
        <w:t>las </w:t>
      </w:r>
      <w:r>
        <w:rPr/>
        <w:t>adyacentes contra </w:t>
      </w:r>
      <w:r>
        <w:rPr>
          <w:spacing w:val="-5"/>
        </w:rPr>
        <w:t>la </w:t>
      </w:r>
      <w:r>
        <w:rPr/>
        <w:t>infección, mediante inducción de proteínas antivirales que inhiben </w:t>
      </w:r>
      <w:r>
        <w:rPr>
          <w:spacing w:val="-3"/>
        </w:rPr>
        <w:t>la </w:t>
      </w:r>
      <w:r>
        <w:rPr/>
        <w:t>replicación viral y estimulan </w:t>
      </w:r>
      <w:r>
        <w:rPr>
          <w:spacing w:val="-3"/>
        </w:rPr>
        <w:t>la </w:t>
      </w:r>
      <w:r>
        <w:rPr/>
        <w:t>respuesta inmune adaptativa (Versteeg y Garcia-Sastre, 2010). De acuerdo con Vilcek y Sen (1996),  el  IFN  tipo II consiste en el producto del</w:t>
      </w:r>
      <w:r>
        <w:rPr>
          <w:spacing w:val="28"/>
        </w:rPr>
        <w:t> </w:t>
      </w:r>
      <w:r>
        <w:rPr/>
        <w:t>gen</w:t>
      </w:r>
    </w:p>
    <w:p>
      <w:pPr>
        <w:spacing w:after="0" w:line="360" w:lineRule="auto"/>
        <w:jc w:val="both"/>
        <w:sectPr>
          <w:footerReference w:type="default" r:id="rId15"/>
          <w:pgSz w:w="12240" w:h="15840"/>
          <w:pgMar w:footer="1382" w:header="0" w:top="1500" w:bottom="1580" w:left="1720" w:right="1420"/>
        </w:sectPr>
      </w:pPr>
    </w:p>
    <w:p>
      <w:pPr>
        <w:pStyle w:val="BodyText"/>
        <w:spacing w:before="7"/>
        <w:rPr>
          <w:sz w:val="25"/>
        </w:rPr>
      </w:pPr>
    </w:p>
    <w:p>
      <w:pPr>
        <w:pStyle w:val="BodyText"/>
        <w:spacing w:line="360" w:lineRule="auto" w:before="70"/>
        <w:ind w:left="152" w:right="101"/>
        <w:jc w:val="both"/>
      </w:pPr>
      <w:r>
        <w:rPr/>
        <w:drawing>
          <wp:anchor distT="0" distB="0" distL="0" distR="0" allowOverlap="1" layoutInCell="1" locked="0" behindDoc="0" simplePos="0" relativeHeight="1144">
            <wp:simplePos x="0" y="0"/>
            <wp:positionH relativeFrom="page">
              <wp:posOffset>1295399</wp:posOffset>
            </wp:positionH>
            <wp:positionV relativeFrom="paragraph">
              <wp:posOffset>2746871</wp:posOffset>
            </wp:positionV>
            <wp:extent cx="4828362" cy="3281553"/>
            <wp:effectExtent l="0" t="0" r="0" b="0"/>
            <wp:wrapTopAndBottom/>
            <wp:docPr id="13" name="image6.jpeg" descr=""/>
            <wp:cNvGraphicFramePr>
              <a:graphicFrameLocks noChangeAspect="1"/>
            </wp:cNvGraphicFramePr>
            <a:graphic>
              <a:graphicData uri="http://schemas.openxmlformats.org/drawingml/2006/picture">
                <pic:pic>
                  <pic:nvPicPr>
                    <pic:cNvPr id="14" name="image6.jpeg"/>
                    <pic:cNvPicPr/>
                  </pic:nvPicPr>
                  <pic:blipFill>
                    <a:blip r:embed="rId17" cstate="print"/>
                    <a:stretch>
                      <a:fillRect/>
                    </a:stretch>
                  </pic:blipFill>
                  <pic:spPr>
                    <a:xfrm>
                      <a:off x="0" y="0"/>
                      <a:ext cx="4828362" cy="3281553"/>
                    </a:xfrm>
                    <a:prstGeom prst="rect">
                      <a:avLst/>
                    </a:prstGeom>
                  </pic:spPr>
                </pic:pic>
              </a:graphicData>
            </a:graphic>
          </wp:anchor>
        </w:drawing>
      </w:r>
      <w:r>
        <w:rPr/>
        <w:t>de IFN-ϒ y en lugar de ser inducido directamente por la infección por virus es sintetizado por los linfocitos T activados y las células asesinas naturales (NK) en respuesta al reconocimiento de las células infectadas. Sin embargo ambos tipos de interferón estimulan un estado antiviral en las células diana debido a la síntesis de una serie de enzimas que interfieren con procesos de replicación viral. Los interferones pueden inducir en las células diana mayor susceptibilidad al proceso de apoptosis, limitando el grado de propagación del virus (Robertsen, 2008). Se ha reportado que los interferones tipo I establecen un estado antiviral en peces mediante la inducción de la expresión de proteínas antivirales como la Mx´s, 2-5 OAS, PKR, Vig1, 2, 3, entre otras (Der </w:t>
      </w:r>
      <w:r>
        <w:rPr>
          <w:i/>
        </w:rPr>
        <w:t>et al</w:t>
      </w:r>
      <w:r>
        <w:rPr/>
        <w:t>.,1998; Sen, 2001; Platanias, 2005; Skjesol </w:t>
      </w:r>
      <w:r>
        <w:rPr>
          <w:i/>
        </w:rPr>
        <w:t>et al</w:t>
      </w:r>
      <w:r>
        <w:rPr/>
        <w:t>., 2009).</w:t>
      </w:r>
    </w:p>
    <w:p>
      <w:pPr>
        <w:spacing w:line="360" w:lineRule="auto" w:before="67"/>
        <w:ind w:left="152" w:right="100" w:firstLine="0"/>
        <w:jc w:val="both"/>
        <w:rPr>
          <w:sz w:val="20"/>
        </w:rPr>
      </w:pPr>
      <w:r>
        <w:rPr>
          <w:sz w:val="20"/>
        </w:rPr>
        <w:t>Fig. 5. El sistema de respuesta de IFN-I es un proceso de señalización de dos pasos, donde el primero es el reconocimiento de RNA viral por los receptores de reconocimiento de patrones (TLR3, RIG-1 y MDA5). Esto resulta en la activación de factores de transcripción que conducen la traducción y secreción de interferón. El siguiente paso consiste en que los IFNs secretados se unen a receptores de interferón en la misma célula o adyacentes. La vía de señalización JAK/STAT se activa, resultando en la transcripción y traducción de una gama de genes estimulados por IFN-I (ISGs) que codifican proteínas antivirales. Las proteínas antivirales inhiben la propagación viral mediante la inducción de un estado antiviral. (Lauksund, 2014).</w:t>
      </w:r>
    </w:p>
    <w:p>
      <w:pPr>
        <w:spacing w:after="0" w:line="360" w:lineRule="auto"/>
        <w:jc w:val="both"/>
        <w:rPr>
          <w:sz w:val="20"/>
        </w:rPr>
        <w:sectPr>
          <w:footerReference w:type="default" r:id="rId16"/>
          <w:pgSz w:w="12240" w:h="15840"/>
          <w:pgMar w:footer="1382" w:header="0" w:top="1500" w:bottom="1580" w:left="1720" w:right="1420"/>
          <w:pgNumType w:start="21"/>
        </w:sectPr>
      </w:pPr>
    </w:p>
    <w:p>
      <w:pPr>
        <w:pStyle w:val="BodyText"/>
        <w:spacing w:before="1"/>
        <w:rPr>
          <w:sz w:val="26"/>
        </w:rPr>
      </w:pPr>
    </w:p>
    <w:p>
      <w:pPr>
        <w:pStyle w:val="Heading2"/>
        <w:numPr>
          <w:ilvl w:val="2"/>
          <w:numId w:val="8"/>
        </w:numPr>
        <w:tabs>
          <w:tab w:pos="758" w:val="left" w:leader="none"/>
        </w:tabs>
        <w:spacing w:line="240" w:lineRule="auto" w:before="69" w:after="0"/>
        <w:ind w:left="757" w:right="0" w:hanging="605"/>
        <w:jc w:val="both"/>
        <w:rPr>
          <w:i/>
        </w:rPr>
      </w:pPr>
      <w:bookmarkStart w:name="_bookmark19" w:id="34"/>
      <w:bookmarkEnd w:id="34"/>
      <w:r>
        <w:rPr>
          <w:b w:val="0"/>
          <w:i w:val="0"/>
        </w:rPr>
      </w:r>
      <w:bookmarkStart w:name="_bookmark19" w:id="35"/>
      <w:bookmarkEnd w:id="35"/>
      <w:r>
        <w:rPr>
          <w:i/>
        </w:rPr>
        <w:t>S</w:t>
      </w:r>
      <w:r>
        <w:rPr>
          <w:i/>
        </w:rPr>
        <w:t>eñalización de IFN tipo I mediante la ruta</w:t>
      </w:r>
      <w:r>
        <w:rPr>
          <w:i/>
          <w:spacing w:val="-16"/>
        </w:rPr>
        <w:t> </w:t>
      </w:r>
      <w:r>
        <w:rPr>
          <w:i/>
        </w:rPr>
        <w:t>JAK-STAT</w:t>
      </w:r>
    </w:p>
    <w:p>
      <w:pPr>
        <w:pStyle w:val="BodyText"/>
        <w:spacing w:line="360" w:lineRule="auto" w:before="36"/>
        <w:ind w:left="152" w:right="99"/>
        <w:jc w:val="both"/>
      </w:pPr>
      <w:r>
        <w:rPr/>
        <w:t>Existen un mecanismo de transducción de interferón tipo I conocido hasta </w:t>
      </w:r>
      <w:r>
        <w:rPr>
          <w:spacing w:val="-3"/>
        </w:rPr>
        <w:t>la fecha </w:t>
      </w:r>
      <w:r>
        <w:rPr/>
        <w:t>en humanos y peces incluyendo salmónidos (Robertsen </w:t>
      </w:r>
      <w:r>
        <w:rPr>
          <w:i/>
        </w:rPr>
        <w:t>et al., </w:t>
      </w:r>
      <w:r>
        <w:rPr/>
        <w:t>2003, Robertsen, 2006; Zou </w:t>
      </w:r>
      <w:r>
        <w:rPr>
          <w:i/>
        </w:rPr>
        <w:t>et </w:t>
      </w:r>
      <w:r>
        <w:rPr>
          <w:i/>
        </w:rPr>
        <w:t>al., </w:t>
      </w:r>
      <w:r>
        <w:rPr/>
        <w:t>2007; Richard y Stephen, 2008). Al ingresar IPNV a </w:t>
      </w:r>
      <w:r>
        <w:rPr>
          <w:spacing w:val="-5"/>
        </w:rPr>
        <w:t>la </w:t>
      </w:r>
      <w:r>
        <w:rPr/>
        <w:t>célula, el interferón alfa es inducido y secretado uniéndose a los receptores de membrana (IFNAR1 y IFNAR2) los cuales contienen dominios intracelulares asociados a los dominios de las proteínas JAK1 (JAK)</w:t>
      </w:r>
      <w:r>
        <w:rPr>
          <w:spacing w:val="-3"/>
        </w:rPr>
        <w:t> </w:t>
      </w:r>
      <w:r>
        <w:rPr/>
        <w:t>y</w:t>
      </w:r>
      <w:r>
        <w:rPr>
          <w:spacing w:val="-16"/>
        </w:rPr>
        <w:t> </w:t>
      </w:r>
      <w:r>
        <w:rPr/>
        <w:t>Tirosina</w:t>
      </w:r>
      <w:r>
        <w:rPr>
          <w:spacing w:val="-9"/>
        </w:rPr>
        <w:t> </w:t>
      </w:r>
      <w:r>
        <w:rPr/>
        <w:t>Kinasa</w:t>
      </w:r>
      <w:r>
        <w:rPr>
          <w:spacing w:val="-9"/>
        </w:rPr>
        <w:t> </w:t>
      </w:r>
      <w:r>
        <w:rPr/>
        <w:t>2</w:t>
      </w:r>
      <w:r>
        <w:rPr>
          <w:spacing w:val="-8"/>
        </w:rPr>
        <w:t> </w:t>
      </w:r>
      <w:r>
        <w:rPr/>
        <w:t>(TYK2)</w:t>
      </w:r>
      <w:r>
        <w:rPr>
          <w:spacing w:val="-6"/>
        </w:rPr>
        <w:t> </w:t>
      </w:r>
      <w:r>
        <w:rPr/>
        <w:t>respectivamente.</w:t>
      </w:r>
      <w:r>
        <w:rPr>
          <w:spacing w:val="-6"/>
        </w:rPr>
        <w:t> </w:t>
      </w:r>
      <w:r>
        <w:rPr/>
        <w:t>Posteriormente,</w:t>
      </w:r>
      <w:r>
        <w:rPr>
          <w:spacing w:val="-6"/>
        </w:rPr>
        <w:t> </w:t>
      </w:r>
      <w:r>
        <w:rPr>
          <w:spacing w:val="-5"/>
        </w:rPr>
        <w:t>la</w:t>
      </w:r>
      <w:r>
        <w:rPr>
          <w:spacing w:val="-9"/>
        </w:rPr>
        <w:t> </w:t>
      </w:r>
      <w:r>
        <w:rPr/>
        <w:t>ruta</w:t>
      </w:r>
      <w:r>
        <w:rPr>
          <w:spacing w:val="-14"/>
        </w:rPr>
        <w:t> </w:t>
      </w:r>
      <w:r>
        <w:rPr/>
        <w:t>de</w:t>
      </w:r>
      <w:r>
        <w:rPr>
          <w:spacing w:val="-14"/>
        </w:rPr>
        <w:t> </w:t>
      </w:r>
      <w:r>
        <w:rPr/>
        <w:t>señalamiento JAK1 (JAK1) y Tirosina Kinasa 2 (TYK2) activada. Este </w:t>
      </w:r>
      <w:r>
        <w:rPr>
          <w:spacing w:val="-3"/>
        </w:rPr>
        <w:t>complejo </w:t>
      </w:r>
      <w:r>
        <w:rPr/>
        <w:t>activado permite una cascada de señales a </w:t>
      </w:r>
      <w:r>
        <w:rPr>
          <w:spacing w:val="-5"/>
        </w:rPr>
        <w:t>lo </w:t>
      </w:r>
      <w:r>
        <w:rPr/>
        <w:t>interno del citoplasma que producen </w:t>
      </w:r>
      <w:r>
        <w:rPr>
          <w:spacing w:val="-5"/>
        </w:rPr>
        <w:t>la </w:t>
      </w:r>
      <w:r>
        <w:rPr/>
        <w:t>fosforilación de unas proteínas: STAT1 y STAT2 (</w:t>
      </w:r>
      <w:r>
        <w:rPr>
          <w:i/>
        </w:rPr>
        <w:t>Traductores de Señal y Activadores de la Transcripción</w:t>
      </w:r>
      <w:r>
        <w:rPr/>
        <w:t>) (Fig. 7), una familia de moléculas citosólicas de 6 miembros involucradas en el señalamiento de citoquinas. Subsecuentemente </w:t>
      </w:r>
      <w:r>
        <w:rPr>
          <w:spacing w:val="-3"/>
        </w:rPr>
        <w:t>las </w:t>
      </w:r>
      <w:r>
        <w:rPr/>
        <w:t>STAT´s se dimerizan, mayormente en el heterodímero STAT1/2 y en menor proporción en el homodímero STAT1 (Jørgensen </w:t>
      </w:r>
      <w:r>
        <w:rPr>
          <w:i/>
        </w:rPr>
        <w:t>et al</w:t>
      </w:r>
      <w:r>
        <w:rPr/>
        <w:t>., 2007). La formación de dímeros es el paso crítico para </w:t>
      </w:r>
      <w:r>
        <w:rPr>
          <w:spacing w:val="-3"/>
        </w:rPr>
        <w:t>la </w:t>
      </w:r>
      <w:r>
        <w:rPr/>
        <w:t>translocación nuclear. El heterodímero STAT1/2 a través de </w:t>
      </w:r>
      <w:r>
        <w:rPr>
          <w:spacing w:val="-5"/>
        </w:rPr>
        <w:t>la </w:t>
      </w:r>
      <w:r>
        <w:rPr/>
        <w:t>interacción con </w:t>
      </w:r>
      <w:r>
        <w:rPr>
          <w:spacing w:val="-5"/>
        </w:rPr>
        <w:t>la </w:t>
      </w:r>
      <w:r>
        <w:rPr/>
        <w:t>proteína nuclear IRF-9 o p48 (Factor Regulatorio de Interferón -9) forman el factor multimérico de transcripción ISGF3 (Factor 3 de genes estimulado por interferón) (Zhou </w:t>
      </w:r>
      <w:r>
        <w:rPr>
          <w:i/>
        </w:rPr>
        <w:t>et al</w:t>
      </w:r>
      <w:r>
        <w:rPr/>
        <w:t>., 2007). Posteriormente este </w:t>
      </w:r>
      <w:r>
        <w:rPr>
          <w:spacing w:val="-3"/>
        </w:rPr>
        <w:t>complejo </w:t>
      </w:r>
      <w:r>
        <w:rPr/>
        <w:t>proteíco se trasloca a </w:t>
      </w:r>
      <w:r>
        <w:rPr>
          <w:spacing w:val="-5"/>
        </w:rPr>
        <w:t>lo </w:t>
      </w:r>
      <w:r>
        <w:rPr/>
        <w:t>interno del núcleo donde se une a </w:t>
      </w:r>
      <w:r>
        <w:rPr>
          <w:spacing w:val="-5"/>
        </w:rPr>
        <w:t>la </w:t>
      </w:r>
      <w:r>
        <w:rPr/>
        <w:t>ISRE (Elementos de Respuesta Estimulado de Interferón), promotor que induce </w:t>
      </w:r>
      <w:r>
        <w:rPr>
          <w:spacing w:val="-3"/>
        </w:rPr>
        <w:t>la </w:t>
      </w:r>
      <w:r>
        <w:rPr/>
        <w:t>expresión de ISGs (Genes Estimulados por Interferón), que finalmente activan </w:t>
      </w:r>
      <w:r>
        <w:rPr>
          <w:spacing w:val="-5"/>
        </w:rPr>
        <w:t>la </w:t>
      </w:r>
      <w:r>
        <w:rPr/>
        <w:t>transcripción de </w:t>
      </w:r>
      <w:r>
        <w:rPr>
          <w:spacing w:val="-3"/>
        </w:rPr>
        <w:t>más </w:t>
      </w:r>
      <w:r>
        <w:rPr/>
        <w:t>de 300 genes antivirales (Stein </w:t>
      </w:r>
      <w:r>
        <w:rPr>
          <w:i/>
        </w:rPr>
        <w:t>et </w:t>
      </w:r>
      <w:r>
        <w:rPr>
          <w:i/>
        </w:rPr>
        <w:t>al</w:t>
      </w:r>
      <w:r>
        <w:rPr/>
        <w:t>., 2007; Shi </w:t>
      </w:r>
      <w:r>
        <w:rPr>
          <w:i/>
        </w:rPr>
        <w:t>et al.</w:t>
      </w:r>
      <w:r>
        <w:rPr/>
        <w:t>,</w:t>
      </w:r>
      <w:r>
        <w:rPr>
          <w:spacing w:val="-8"/>
        </w:rPr>
        <w:t> </w:t>
      </w:r>
      <w:r>
        <w:rPr/>
        <w:t>2012).</w:t>
      </w:r>
    </w:p>
    <w:p>
      <w:pPr>
        <w:pStyle w:val="BodyText"/>
        <w:spacing w:line="360" w:lineRule="auto" w:before="4"/>
        <w:ind w:left="152" w:right="103"/>
        <w:jc w:val="both"/>
      </w:pPr>
      <w:r>
        <w:rPr/>
        <w:t>La vía JAK-STAT y los factores de transcripción asociados a </w:t>
      </w:r>
      <w:r>
        <w:rPr>
          <w:spacing w:val="-5"/>
        </w:rPr>
        <w:t>la </w:t>
      </w:r>
      <w:r>
        <w:rPr/>
        <w:t>familia de las proteínas STAT´s han sido pobremente estudiados en peces (Sen, 2000; Jørgensen </w:t>
      </w:r>
      <w:r>
        <w:rPr>
          <w:i/>
        </w:rPr>
        <w:t>et al</w:t>
      </w:r>
      <w:r>
        <w:rPr/>
        <w:t>., 2007; Zhou </w:t>
      </w:r>
      <w:r>
        <w:rPr>
          <w:i/>
        </w:rPr>
        <w:t>et</w:t>
      </w:r>
      <w:r>
        <w:rPr>
          <w:i/>
          <w:spacing w:val="-2"/>
        </w:rPr>
        <w:t> </w:t>
      </w:r>
      <w:r>
        <w:rPr>
          <w:i/>
        </w:rPr>
        <w:t>al.,</w:t>
      </w:r>
      <w:r>
        <w:rPr>
          <w:i/>
          <w:spacing w:val="-4"/>
        </w:rPr>
        <w:t> </w:t>
      </w:r>
      <w:r>
        <w:rPr/>
        <w:t>2007).</w:t>
      </w:r>
      <w:r>
        <w:rPr>
          <w:spacing w:val="-5"/>
        </w:rPr>
        <w:t> </w:t>
      </w:r>
      <w:r>
        <w:rPr/>
        <w:t>Sin</w:t>
      </w:r>
      <w:r>
        <w:rPr>
          <w:spacing w:val="-6"/>
        </w:rPr>
        <w:t> </w:t>
      </w:r>
      <w:r>
        <w:rPr/>
        <w:t>embargo, en</w:t>
      </w:r>
      <w:r>
        <w:rPr>
          <w:spacing w:val="-4"/>
        </w:rPr>
        <w:t> </w:t>
      </w:r>
      <w:r>
        <w:rPr/>
        <w:t>peces</w:t>
      </w:r>
      <w:r>
        <w:rPr>
          <w:spacing w:val="-8"/>
        </w:rPr>
        <w:t> </w:t>
      </w:r>
      <w:r>
        <w:rPr/>
        <w:t>óseos</w:t>
      </w:r>
      <w:r>
        <w:rPr>
          <w:spacing w:val="-8"/>
        </w:rPr>
        <w:t> </w:t>
      </w:r>
      <w:r>
        <w:rPr/>
        <w:t>el</w:t>
      </w:r>
      <w:r>
        <w:rPr>
          <w:spacing w:val="-10"/>
        </w:rPr>
        <w:t> </w:t>
      </w:r>
      <w:r>
        <w:rPr/>
        <w:t>genoma</w:t>
      </w:r>
      <w:r>
        <w:rPr>
          <w:spacing w:val="-3"/>
        </w:rPr>
        <w:t> </w:t>
      </w:r>
      <w:r>
        <w:rPr/>
        <w:t>contiene todos</w:t>
      </w:r>
      <w:r>
        <w:rPr>
          <w:spacing w:val="-4"/>
        </w:rPr>
        <w:t> </w:t>
      </w:r>
      <w:r>
        <w:rPr/>
        <w:t>los</w:t>
      </w:r>
      <w:r>
        <w:rPr>
          <w:spacing w:val="-4"/>
        </w:rPr>
        <w:t> </w:t>
      </w:r>
      <w:r>
        <w:rPr/>
        <w:t>componentes</w:t>
      </w:r>
      <w:r>
        <w:rPr>
          <w:spacing w:val="-4"/>
        </w:rPr>
        <w:t> </w:t>
      </w:r>
      <w:r>
        <w:rPr/>
        <w:t>claves de </w:t>
      </w:r>
      <w:r>
        <w:rPr>
          <w:spacing w:val="-5"/>
        </w:rPr>
        <w:t>la </w:t>
      </w:r>
      <w:r>
        <w:rPr/>
        <w:t>vía de señalización JAK-STAT reportados en mamíferos, incluyendo JAK1, TYR2, STAT1, STAT2 y IRF-9 (Leu </w:t>
      </w:r>
      <w:r>
        <w:rPr>
          <w:i/>
        </w:rPr>
        <w:t>et al</w:t>
      </w:r>
      <w:r>
        <w:rPr/>
        <w:t>., 2000; Stein </w:t>
      </w:r>
      <w:r>
        <w:rPr>
          <w:i/>
        </w:rPr>
        <w:t>et al</w:t>
      </w:r>
      <w:r>
        <w:rPr/>
        <w:t>., 2007; Collet </w:t>
      </w:r>
      <w:r>
        <w:rPr>
          <w:i/>
        </w:rPr>
        <w:t>et al</w:t>
      </w:r>
      <w:r>
        <w:rPr/>
        <w:t>., 2009; Sun </w:t>
      </w:r>
      <w:r>
        <w:rPr>
          <w:i/>
        </w:rPr>
        <w:t>et al</w:t>
      </w:r>
      <w:r>
        <w:rPr/>
        <w:t>., 2009).</w:t>
      </w:r>
    </w:p>
    <w:p>
      <w:pPr>
        <w:spacing w:after="0" w:line="360" w:lineRule="auto"/>
        <w:jc w:val="both"/>
        <w:sectPr>
          <w:pgSz w:w="12240" w:h="15840"/>
          <w:pgMar w:header="0" w:footer="1382" w:top="1500" w:bottom="1580" w:left="1720" w:right="1420"/>
        </w:sectPr>
      </w:pPr>
    </w:p>
    <w:p>
      <w:pPr>
        <w:pStyle w:val="BodyText"/>
        <w:rPr>
          <w:sz w:val="20"/>
        </w:rPr>
      </w:pPr>
    </w:p>
    <w:p>
      <w:pPr>
        <w:pStyle w:val="BodyText"/>
        <w:rPr>
          <w:sz w:val="14"/>
        </w:rPr>
      </w:pPr>
    </w:p>
    <w:p>
      <w:pPr>
        <w:pStyle w:val="BodyText"/>
        <w:ind w:left="116"/>
        <w:rPr>
          <w:sz w:val="20"/>
        </w:rPr>
      </w:pPr>
      <w:r>
        <w:rPr>
          <w:sz w:val="20"/>
        </w:rPr>
        <w:drawing>
          <wp:inline distT="0" distB="0" distL="0" distR="0">
            <wp:extent cx="5627570" cy="4052125"/>
            <wp:effectExtent l="0" t="0" r="0" b="0"/>
            <wp:docPr id="15" name="image7.jpeg" descr=""/>
            <wp:cNvGraphicFramePr>
              <a:graphicFrameLocks noChangeAspect="1"/>
            </wp:cNvGraphicFramePr>
            <a:graphic>
              <a:graphicData uri="http://schemas.openxmlformats.org/drawingml/2006/picture">
                <pic:pic>
                  <pic:nvPicPr>
                    <pic:cNvPr id="16" name="image7.jpeg"/>
                    <pic:cNvPicPr/>
                  </pic:nvPicPr>
                  <pic:blipFill>
                    <a:blip r:embed="rId18" cstate="print"/>
                    <a:stretch>
                      <a:fillRect/>
                    </a:stretch>
                  </pic:blipFill>
                  <pic:spPr>
                    <a:xfrm>
                      <a:off x="0" y="0"/>
                      <a:ext cx="5627570" cy="4052125"/>
                    </a:xfrm>
                    <a:prstGeom prst="rect">
                      <a:avLst/>
                    </a:prstGeom>
                  </pic:spPr>
                </pic:pic>
              </a:graphicData>
            </a:graphic>
          </wp:inline>
        </w:drawing>
      </w:r>
      <w:r>
        <w:rPr>
          <w:sz w:val="20"/>
        </w:rPr>
      </w:r>
    </w:p>
    <w:p>
      <w:pPr>
        <w:pStyle w:val="BodyText"/>
        <w:spacing w:before="3"/>
        <w:rPr>
          <w:sz w:val="27"/>
        </w:rPr>
      </w:pPr>
    </w:p>
    <w:p>
      <w:pPr>
        <w:spacing w:line="355" w:lineRule="auto" w:before="75"/>
        <w:ind w:left="572" w:right="103" w:firstLine="0"/>
        <w:jc w:val="both"/>
        <w:rPr>
          <w:sz w:val="20"/>
        </w:rPr>
      </w:pPr>
      <w:r>
        <w:rPr>
          <w:sz w:val="20"/>
        </w:rPr>
        <w:t>Figura</w:t>
      </w:r>
      <w:r>
        <w:rPr>
          <w:spacing w:val="-12"/>
          <w:sz w:val="20"/>
        </w:rPr>
        <w:t> </w:t>
      </w:r>
      <w:r>
        <w:rPr>
          <w:sz w:val="20"/>
        </w:rPr>
        <w:t>N°6.</w:t>
      </w:r>
      <w:r>
        <w:rPr>
          <w:spacing w:val="-11"/>
          <w:sz w:val="20"/>
        </w:rPr>
        <w:t> </w:t>
      </w:r>
      <w:r>
        <w:rPr>
          <w:sz w:val="20"/>
        </w:rPr>
        <w:t>Mecanismo</w:t>
      </w:r>
      <w:r>
        <w:rPr>
          <w:spacing w:val="-14"/>
          <w:sz w:val="20"/>
        </w:rPr>
        <w:t> </w:t>
      </w:r>
      <w:r>
        <w:rPr>
          <w:sz w:val="20"/>
        </w:rPr>
        <w:t>de</w:t>
      </w:r>
      <w:r>
        <w:rPr>
          <w:spacing w:val="-17"/>
          <w:sz w:val="20"/>
        </w:rPr>
        <w:t> </w:t>
      </w:r>
      <w:r>
        <w:rPr>
          <w:sz w:val="20"/>
        </w:rPr>
        <w:t>señalización</w:t>
      </w:r>
      <w:r>
        <w:rPr>
          <w:spacing w:val="-10"/>
          <w:sz w:val="20"/>
        </w:rPr>
        <w:t> </w:t>
      </w:r>
      <w:r>
        <w:rPr>
          <w:sz w:val="20"/>
        </w:rPr>
        <w:t>de</w:t>
      </w:r>
      <w:r>
        <w:rPr>
          <w:spacing w:val="-9"/>
          <w:sz w:val="20"/>
        </w:rPr>
        <w:t> </w:t>
      </w:r>
      <w:r>
        <w:rPr>
          <w:sz w:val="20"/>
        </w:rPr>
        <w:t>interferón</w:t>
      </w:r>
      <w:r>
        <w:rPr>
          <w:spacing w:val="-10"/>
          <w:sz w:val="20"/>
        </w:rPr>
        <w:t> </w:t>
      </w:r>
      <w:r>
        <w:rPr>
          <w:sz w:val="20"/>
        </w:rPr>
        <w:t>tipo</w:t>
      </w:r>
      <w:r>
        <w:rPr>
          <w:spacing w:val="-18"/>
          <w:sz w:val="20"/>
        </w:rPr>
        <w:t> </w:t>
      </w:r>
      <w:r>
        <w:rPr>
          <w:sz w:val="20"/>
        </w:rPr>
        <w:t>I</w:t>
      </w:r>
      <w:r>
        <w:rPr>
          <w:spacing w:val="-9"/>
          <w:sz w:val="20"/>
        </w:rPr>
        <w:t> </w:t>
      </w:r>
      <w:r>
        <w:rPr>
          <w:spacing w:val="-4"/>
          <w:sz w:val="20"/>
        </w:rPr>
        <w:t>en</w:t>
      </w:r>
      <w:r>
        <w:rPr>
          <w:spacing w:val="-9"/>
          <w:sz w:val="20"/>
        </w:rPr>
        <w:t> </w:t>
      </w:r>
      <w:r>
        <w:rPr>
          <w:sz w:val="20"/>
        </w:rPr>
        <w:t>peces</w:t>
      </w:r>
      <w:r>
        <w:rPr>
          <w:spacing w:val="-11"/>
          <w:sz w:val="20"/>
        </w:rPr>
        <w:t> </w:t>
      </w:r>
      <w:r>
        <w:rPr>
          <w:sz w:val="20"/>
        </w:rPr>
        <w:t>óseos</w:t>
      </w:r>
      <w:r>
        <w:rPr>
          <w:spacing w:val="-10"/>
          <w:sz w:val="20"/>
        </w:rPr>
        <w:t> </w:t>
      </w:r>
      <w:r>
        <w:rPr>
          <w:sz w:val="20"/>
        </w:rPr>
        <w:t>crucial</w:t>
      </w:r>
      <w:r>
        <w:rPr>
          <w:spacing w:val="-12"/>
          <w:sz w:val="20"/>
        </w:rPr>
        <w:t> </w:t>
      </w:r>
      <w:r>
        <w:rPr>
          <w:sz w:val="20"/>
        </w:rPr>
        <w:t>en</w:t>
      </w:r>
      <w:r>
        <w:rPr>
          <w:spacing w:val="-14"/>
          <w:sz w:val="20"/>
        </w:rPr>
        <w:t> </w:t>
      </w:r>
      <w:r>
        <w:rPr>
          <w:sz w:val="20"/>
        </w:rPr>
        <w:t>la</w:t>
      </w:r>
      <w:r>
        <w:rPr>
          <w:spacing w:val="-12"/>
          <w:sz w:val="20"/>
        </w:rPr>
        <w:t> </w:t>
      </w:r>
      <w:r>
        <w:rPr>
          <w:sz w:val="20"/>
        </w:rPr>
        <w:t>primera</w:t>
      </w:r>
      <w:r>
        <w:rPr>
          <w:spacing w:val="-12"/>
          <w:sz w:val="20"/>
        </w:rPr>
        <w:t> </w:t>
      </w:r>
      <w:r>
        <w:rPr>
          <w:sz w:val="20"/>
        </w:rPr>
        <w:t>línea</w:t>
      </w:r>
      <w:r>
        <w:rPr>
          <w:spacing w:val="-12"/>
          <w:sz w:val="20"/>
        </w:rPr>
        <w:t> </w:t>
      </w:r>
      <w:r>
        <w:rPr>
          <w:sz w:val="20"/>
        </w:rPr>
        <w:t>de</w:t>
      </w:r>
      <w:r>
        <w:rPr>
          <w:spacing w:val="-12"/>
          <w:sz w:val="20"/>
        </w:rPr>
        <w:t> </w:t>
      </w:r>
      <w:r>
        <w:rPr>
          <w:sz w:val="20"/>
        </w:rPr>
        <w:t>defensa inmunológica contra infecciones virales, resultando la transcripción de ISGs (Robertsen,</w:t>
      </w:r>
      <w:r>
        <w:rPr>
          <w:spacing w:val="-23"/>
          <w:sz w:val="20"/>
        </w:rPr>
        <w:t> </w:t>
      </w:r>
      <w:r>
        <w:rPr>
          <w:sz w:val="20"/>
        </w:rPr>
        <w:t>2006).</w:t>
      </w:r>
    </w:p>
    <w:p>
      <w:pPr>
        <w:pStyle w:val="BodyText"/>
        <w:rPr>
          <w:sz w:val="20"/>
        </w:rPr>
      </w:pPr>
    </w:p>
    <w:p>
      <w:pPr>
        <w:pStyle w:val="BodyText"/>
        <w:spacing w:before="7"/>
        <w:rPr>
          <w:sz w:val="22"/>
        </w:rPr>
      </w:pPr>
    </w:p>
    <w:p>
      <w:pPr>
        <w:pStyle w:val="Heading2"/>
        <w:numPr>
          <w:ilvl w:val="3"/>
          <w:numId w:val="8"/>
        </w:numPr>
        <w:tabs>
          <w:tab w:pos="1355" w:val="left" w:leader="none"/>
        </w:tabs>
        <w:spacing w:line="240" w:lineRule="auto" w:before="0" w:after="0"/>
        <w:ind w:left="1354" w:right="0" w:hanging="782"/>
        <w:jc w:val="both"/>
        <w:rPr>
          <w:i/>
        </w:rPr>
      </w:pPr>
      <w:bookmarkStart w:name="_bookmark20" w:id="36"/>
      <w:bookmarkEnd w:id="36"/>
      <w:r>
        <w:rPr>
          <w:b w:val="0"/>
          <w:i w:val="0"/>
        </w:rPr>
      </w:r>
      <w:bookmarkStart w:name="_bookmark20" w:id="37"/>
      <w:bookmarkEnd w:id="37"/>
      <w:r>
        <w:rPr>
          <w:i/>
        </w:rPr>
        <w:t>A</w:t>
      </w:r>
      <w:r>
        <w:rPr>
          <w:i/>
        </w:rPr>
        <w:t>ntagonismo en la vía de señalización de</w:t>
      </w:r>
      <w:r>
        <w:rPr>
          <w:i/>
          <w:spacing w:val="-13"/>
        </w:rPr>
        <w:t> </w:t>
      </w:r>
      <w:r>
        <w:rPr>
          <w:i/>
        </w:rPr>
        <w:t>IFN-I</w:t>
      </w:r>
    </w:p>
    <w:p>
      <w:pPr>
        <w:pStyle w:val="BodyText"/>
        <w:spacing w:line="360" w:lineRule="auto" w:before="98"/>
        <w:ind w:left="572" w:right="106"/>
        <w:jc w:val="both"/>
      </w:pPr>
      <w:r>
        <w:rPr/>
        <w:t>Se han encontrado una serie de virus que afectan el señalamiento de IFN-I generando un efecto</w:t>
      </w:r>
      <w:r>
        <w:rPr>
          <w:spacing w:val="-14"/>
        </w:rPr>
        <w:t> </w:t>
      </w:r>
      <w:r>
        <w:rPr/>
        <w:t>antagónico</w:t>
      </w:r>
      <w:r>
        <w:rPr>
          <w:spacing w:val="-12"/>
        </w:rPr>
        <w:t> </w:t>
      </w:r>
      <w:r>
        <w:rPr/>
        <w:t>en</w:t>
      </w:r>
      <w:r>
        <w:rPr>
          <w:spacing w:val="-17"/>
        </w:rPr>
        <w:t> </w:t>
      </w:r>
      <w:r>
        <w:rPr>
          <w:spacing w:val="-3"/>
        </w:rPr>
        <w:t>la</w:t>
      </w:r>
      <w:r>
        <w:rPr>
          <w:spacing w:val="-18"/>
        </w:rPr>
        <w:t> </w:t>
      </w:r>
      <w:r>
        <w:rPr/>
        <w:t>ruta</w:t>
      </w:r>
      <w:r>
        <w:rPr>
          <w:spacing w:val="-17"/>
        </w:rPr>
        <w:t> </w:t>
      </w:r>
      <w:r>
        <w:rPr/>
        <w:t>JAK-STAT</w:t>
      </w:r>
      <w:r>
        <w:rPr>
          <w:spacing w:val="-11"/>
        </w:rPr>
        <w:t> </w:t>
      </w:r>
      <w:r>
        <w:rPr/>
        <w:t>mediante</w:t>
      </w:r>
      <w:r>
        <w:rPr>
          <w:spacing w:val="-17"/>
        </w:rPr>
        <w:t> </w:t>
      </w:r>
      <w:r>
        <w:rPr/>
        <w:t>diversos</w:t>
      </w:r>
      <w:r>
        <w:rPr>
          <w:spacing w:val="-15"/>
        </w:rPr>
        <w:t> </w:t>
      </w:r>
      <w:r>
        <w:rPr/>
        <w:t>mecanismos.</w:t>
      </w:r>
      <w:r>
        <w:rPr>
          <w:spacing w:val="-15"/>
        </w:rPr>
        <w:t> </w:t>
      </w:r>
      <w:r>
        <w:rPr/>
        <w:t>Por</w:t>
      </w:r>
      <w:r>
        <w:rPr>
          <w:spacing w:val="-16"/>
        </w:rPr>
        <w:t> </w:t>
      </w:r>
      <w:r>
        <w:rPr/>
        <w:t>ejemplo,</w:t>
      </w:r>
      <w:r>
        <w:rPr>
          <w:spacing w:val="-15"/>
        </w:rPr>
        <w:t> </w:t>
      </w:r>
      <w:r>
        <w:rPr/>
        <w:t>el</w:t>
      </w:r>
      <w:r>
        <w:rPr>
          <w:spacing w:val="-22"/>
        </w:rPr>
        <w:t> </w:t>
      </w:r>
      <w:r>
        <w:rPr/>
        <w:t>virus del Ébola bloquea </w:t>
      </w:r>
      <w:r>
        <w:rPr>
          <w:spacing w:val="-3"/>
        </w:rPr>
        <w:t>la </w:t>
      </w:r>
      <w:r>
        <w:rPr/>
        <w:t>inducción del Factor Regulatorio de Interferón (IRF) (Harcourt, 1999), el virus de </w:t>
      </w:r>
      <w:r>
        <w:rPr>
          <w:spacing w:val="-5"/>
        </w:rPr>
        <w:t>la </w:t>
      </w:r>
      <w:r>
        <w:rPr/>
        <w:t>hepatitis C (VCH) bloquea </w:t>
      </w:r>
      <w:r>
        <w:rPr>
          <w:spacing w:val="-5"/>
        </w:rPr>
        <w:t>la </w:t>
      </w:r>
      <w:r>
        <w:rPr/>
        <w:t>trimerización del Factor 3 de los Genes Estimulados por Interferón (ISGF3) (Heim </w:t>
      </w:r>
      <w:r>
        <w:rPr>
          <w:i/>
        </w:rPr>
        <w:t>et al., </w:t>
      </w:r>
      <w:r>
        <w:rPr/>
        <w:t>1999), el serotipo 2 del virus del dengue inhibe </w:t>
      </w:r>
      <w:r>
        <w:rPr>
          <w:spacing w:val="-5"/>
        </w:rPr>
        <w:t>la </w:t>
      </w:r>
      <w:r>
        <w:rPr/>
        <w:t>expresión de STAT2 (Munoz-Jordan, 2003), el virus del </w:t>
      </w:r>
      <w:r>
        <w:rPr>
          <w:spacing w:val="-3"/>
        </w:rPr>
        <w:t>Nilo </w:t>
      </w:r>
      <w:r>
        <w:rPr/>
        <w:t>Occidental (VNO) bloquea </w:t>
      </w:r>
      <w:r>
        <w:rPr>
          <w:spacing w:val="-3"/>
        </w:rPr>
        <w:t>la </w:t>
      </w:r>
      <w:r>
        <w:rPr/>
        <w:t>fosforilación de STAT1 (Liu </w:t>
      </w:r>
      <w:r>
        <w:rPr>
          <w:i/>
        </w:rPr>
        <w:t>et al</w:t>
      </w:r>
      <w:r>
        <w:rPr/>
        <w:t>., 2005) y el virus de </w:t>
      </w:r>
      <w:r>
        <w:rPr>
          <w:spacing w:val="-3"/>
        </w:rPr>
        <w:t>la </w:t>
      </w:r>
      <w:r>
        <w:rPr/>
        <w:t>encefalitis japonesa (JEV)</w:t>
      </w:r>
      <w:r>
        <w:rPr>
          <w:spacing w:val="-9"/>
        </w:rPr>
        <w:t> </w:t>
      </w:r>
      <w:r>
        <w:rPr/>
        <w:t>bloquea</w:t>
      </w:r>
      <w:r>
        <w:rPr>
          <w:spacing w:val="-12"/>
        </w:rPr>
        <w:t> </w:t>
      </w:r>
      <w:r>
        <w:rPr>
          <w:spacing w:val="-5"/>
        </w:rPr>
        <w:t>la</w:t>
      </w:r>
      <w:r>
        <w:rPr>
          <w:spacing w:val="-7"/>
        </w:rPr>
        <w:t> </w:t>
      </w:r>
      <w:r>
        <w:rPr/>
        <w:t>fosforilación</w:t>
      </w:r>
      <w:r>
        <w:rPr>
          <w:spacing w:val="-15"/>
        </w:rPr>
        <w:t> </w:t>
      </w:r>
      <w:r>
        <w:rPr/>
        <w:t>de</w:t>
      </w:r>
      <w:r>
        <w:rPr>
          <w:spacing w:val="-8"/>
        </w:rPr>
        <w:t> </w:t>
      </w:r>
      <w:r>
        <w:rPr>
          <w:spacing w:val="-5"/>
        </w:rPr>
        <w:t>la</w:t>
      </w:r>
      <w:r>
        <w:rPr>
          <w:spacing w:val="-12"/>
        </w:rPr>
        <w:t> </w:t>
      </w:r>
      <w:r>
        <w:rPr/>
        <w:t>Tyk2</w:t>
      </w:r>
      <w:r>
        <w:rPr>
          <w:spacing w:val="-7"/>
        </w:rPr>
        <w:t> </w:t>
      </w:r>
      <w:r>
        <w:rPr/>
        <w:t>y</w:t>
      </w:r>
      <w:r>
        <w:rPr>
          <w:spacing w:val="-15"/>
        </w:rPr>
        <w:t> </w:t>
      </w:r>
      <w:r>
        <w:rPr>
          <w:spacing w:val="-3"/>
        </w:rPr>
        <w:t>la</w:t>
      </w:r>
      <w:r>
        <w:rPr>
          <w:spacing w:val="-9"/>
        </w:rPr>
        <w:t> </w:t>
      </w:r>
      <w:r>
        <w:rPr/>
        <w:t>activación</w:t>
      </w:r>
      <w:r>
        <w:rPr>
          <w:spacing w:val="-15"/>
        </w:rPr>
        <w:t> </w:t>
      </w:r>
      <w:r>
        <w:rPr/>
        <w:t>de</w:t>
      </w:r>
      <w:r>
        <w:rPr>
          <w:spacing w:val="-12"/>
        </w:rPr>
        <w:t> </w:t>
      </w:r>
      <w:r>
        <w:rPr/>
        <w:t>STAT</w:t>
      </w:r>
      <w:r>
        <w:rPr>
          <w:spacing w:val="-9"/>
        </w:rPr>
        <w:t> </w:t>
      </w:r>
      <w:r>
        <w:rPr/>
        <w:t>(Lin</w:t>
      </w:r>
      <w:r>
        <w:rPr>
          <w:spacing w:val="-13"/>
        </w:rPr>
        <w:t> </w:t>
      </w:r>
      <w:r>
        <w:rPr>
          <w:i/>
        </w:rPr>
        <w:t>et</w:t>
      </w:r>
      <w:r>
        <w:rPr>
          <w:i/>
          <w:spacing w:val="-10"/>
        </w:rPr>
        <w:t> </w:t>
      </w:r>
      <w:r>
        <w:rPr>
          <w:i/>
        </w:rPr>
        <w:t>al</w:t>
      </w:r>
      <w:r>
        <w:rPr/>
        <w:t>.,</w:t>
      </w:r>
      <w:r>
        <w:rPr>
          <w:spacing w:val="-13"/>
        </w:rPr>
        <w:t> </w:t>
      </w:r>
      <w:r>
        <w:rPr/>
        <w:t>2006).</w:t>
      </w:r>
      <w:r>
        <w:rPr>
          <w:spacing w:val="-13"/>
        </w:rPr>
        <w:t> </w:t>
      </w:r>
      <w:r>
        <w:rPr/>
        <w:t>Además se </w:t>
      </w:r>
      <w:r>
        <w:rPr>
          <w:spacing w:val="-3"/>
        </w:rPr>
        <w:t>ha  </w:t>
      </w:r>
      <w:r>
        <w:rPr/>
        <w:t>reportado  que el virus Sendai (SeV)  puede  interactuar  con STAT1  inhibiendo    </w:t>
      </w:r>
      <w:r>
        <w:rPr>
          <w:spacing w:val="16"/>
        </w:rPr>
        <w:t> </w:t>
      </w:r>
      <w:r>
        <w:rPr>
          <w:spacing w:val="-5"/>
        </w:rPr>
        <w:t>la</w:t>
      </w:r>
    </w:p>
    <w:p>
      <w:pPr>
        <w:spacing w:after="0" w:line="360" w:lineRule="auto"/>
        <w:jc w:val="both"/>
        <w:sectPr>
          <w:pgSz w:w="12240" w:h="15840"/>
          <w:pgMar w:header="0" w:footer="1382" w:top="1500" w:bottom="1580" w:left="1300" w:right="1420"/>
        </w:sectPr>
      </w:pPr>
    </w:p>
    <w:p>
      <w:pPr>
        <w:pStyle w:val="BodyText"/>
        <w:spacing w:before="7"/>
        <w:rPr>
          <w:sz w:val="25"/>
        </w:rPr>
      </w:pPr>
    </w:p>
    <w:p>
      <w:pPr>
        <w:pStyle w:val="BodyText"/>
        <w:spacing w:line="360" w:lineRule="auto" w:before="70" w:after="19"/>
        <w:ind w:left="152" w:right="100"/>
        <w:jc w:val="both"/>
      </w:pPr>
      <w:r>
        <w:rPr/>
        <w:t>fosforilación de pY- 701-STAT inducida por IFN (α/β) (Garcin, 1999; Gotoh </w:t>
      </w:r>
      <w:r>
        <w:rPr>
          <w:spacing w:val="-3"/>
        </w:rPr>
        <w:t>et </w:t>
      </w:r>
      <w:r>
        <w:rPr>
          <w:i/>
        </w:rPr>
        <w:t>al</w:t>
      </w:r>
      <w:r>
        <w:rPr/>
        <w:t>., 1999; Komatsu </w:t>
      </w:r>
      <w:r>
        <w:rPr>
          <w:i/>
        </w:rPr>
        <w:t>et al</w:t>
      </w:r>
      <w:r>
        <w:rPr/>
        <w:t>., 2000). En salmones Skjesol </w:t>
      </w:r>
      <w:r>
        <w:rPr>
          <w:i/>
        </w:rPr>
        <w:t>et al</w:t>
      </w:r>
      <w:r>
        <w:rPr/>
        <w:t>., (2011) han hipotetizado un antagonismo de</w:t>
      </w:r>
      <w:r>
        <w:rPr>
          <w:spacing w:val="-6"/>
        </w:rPr>
        <w:t> </w:t>
      </w:r>
      <w:r>
        <w:rPr/>
        <w:t>IPNV</w:t>
      </w:r>
      <w:r>
        <w:rPr>
          <w:spacing w:val="-5"/>
        </w:rPr>
        <w:t> </w:t>
      </w:r>
      <w:r>
        <w:rPr/>
        <w:t>en</w:t>
      </w:r>
      <w:r>
        <w:rPr>
          <w:spacing w:val="-10"/>
        </w:rPr>
        <w:t> </w:t>
      </w:r>
      <w:r>
        <w:rPr>
          <w:spacing w:val="-5"/>
        </w:rPr>
        <w:t>la</w:t>
      </w:r>
      <w:r>
        <w:rPr>
          <w:spacing w:val="-6"/>
        </w:rPr>
        <w:t> </w:t>
      </w:r>
      <w:r>
        <w:rPr/>
        <w:t>respuesta</w:t>
      </w:r>
      <w:r>
        <w:rPr>
          <w:spacing w:val="-6"/>
        </w:rPr>
        <w:t> </w:t>
      </w:r>
      <w:r>
        <w:rPr/>
        <w:t>de</w:t>
      </w:r>
      <w:r>
        <w:rPr>
          <w:spacing w:val="-11"/>
        </w:rPr>
        <w:t> </w:t>
      </w:r>
      <w:r>
        <w:rPr/>
        <w:t>IFN-I,</w:t>
      </w:r>
      <w:r>
        <w:rPr>
          <w:spacing w:val="-7"/>
        </w:rPr>
        <w:t> </w:t>
      </w:r>
      <w:r>
        <w:rPr/>
        <w:t>que</w:t>
      </w:r>
      <w:r>
        <w:rPr>
          <w:spacing w:val="-6"/>
        </w:rPr>
        <w:t> </w:t>
      </w:r>
      <w:r>
        <w:rPr/>
        <w:t>posiblemente</w:t>
      </w:r>
      <w:r>
        <w:rPr>
          <w:spacing w:val="-4"/>
        </w:rPr>
        <w:t> </w:t>
      </w:r>
      <w:r>
        <w:rPr/>
        <w:t>podrían</w:t>
      </w:r>
      <w:r>
        <w:rPr>
          <w:spacing w:val="-10"/>
        </w:rPr>
        <w:t> </w:t>
      </w:r>
      <w:r>
        <w:rPr/>
        <w:t>ser</w:t>
      </w:r>
      <w:r>
        <w:rPr>
          <w:spacing w:val="-3"/>
        </w:rPr>
        <w:t> </w:t>
      </w:r>
      <w:r>
        <w:rPr/>
        <w:t>en</w:t>
      </w:r>
      <w:r>
        <w:rPr>
          <w:spacing w:val="-5"/>
        </w:rPr>
        <w:t> la</w:t>
      </w:r>
      <w:r>
        <w:rPr>
          <w:spacing w:val="-4"/>
        </w:rPr>
        <w:t> </w:t>
      </w:r>
      <w:r>
        <w:rPr/>
        <w:t>ruta</w:t>
      </w:r>
      <w:r>
        <w:rPr>
          <w:spacing w:val="-11"/>
        </w:rPr>
        <w:t> </w:t>
      </w:r>
      <w:r>
        <w:rPr/>
        <w:t>de</w:t>
      </w:r>
      <w:r>
        <w:rPr>
          <w:spacing w:val="-5"/>
        </w:rPr>
        <w:t> </w:t>
      </w:r>
      <w:r>
        <w:rPr/>
        <w:t>señalización</w:t>
      </w:r>
      <w:r>
        <w:rPr>
          <w:spacing w:val="-10"/>
        </w:rPr>
        <w:t> </w:t>
      </w:r>
      <w:r>
        <w:rPr/>
        <w:t>de IFN-I </w:t>
      </w:r>
      <w:r>
        <w:rPr>
          <w:spacing w:val="-4"/>
        </w:rPr>
        <w:t>vía </w:t>
      </w:r>
      <w:r>
        <w:rPr/>
        <w:t>JAK-STAT, o en </w:t>
      </w:r>
      <w:r>
        <w:rPr>
          <w:spacing w:val="-5"/>
        </w:rPr>
        <w:t>la </w:t>
      </w:r>
      <w:r>
        <w:rPr/>
        <w:t>expresión o acción de los ISGs. Un vistazo de </w:t>
      </w:r>
      <w:r>
        <w:rPr>
          <w:spacing w:val="-5"/>
        </w:rPr>
        <w:t>la </w:t>
      </w:r>
      <w:r>
        <w:rPr/>
        <w:t>ruta </w:t>
      </w:r>
      <w:r>
        <w:rPr>
          <w:spacing w:val="-4"/>
        </w:rPr>
        <w:t>JAK-</w:t>
      </w:r>
      <w:r>
        <w:rPr>
          <w:spacing w:val="52"/>
        </w:rPr>
        <w:t> </w:t>
      </w:r>
      <w:r>
        <w:rPr/>
        <w:t>STAT propuesta para peces óseos se presenta en </w:t>
      </w:r>
      <w:r>
        <w:rPr>
          <w:spacing w:val="-5"/>
        </w:rPr>
        <w:t>la </w:t>
      </w:r>
      <w:r>
        <w:rPr/>
        <w:t>figura</w:t>
      </w:r>
      <w:r>
        <w:rPr>
          <w:spacing w:val="-4"/>
        </w:rPr>
        <w:t> </w:t>
      </w:r>
      <w:r>
        <w:rPr/>
        <w:t>6.</w:t>
      </w:r>
    </w:p>
    <w:p>
      <w:pPr>
        <w:pStyle w:val="BodyText"/>
        <w:ind w:left="1500"/>
        <w:rPr>
          <w:sz w:val="20"/>
        </w:rPr>
      </w:pPr>
      <w:r>
        <w:rPr>
          <w:sz w:val="20"/>
        </w:rPr>
        <w:drawing>
          <wp:inline distT="0" distB="0" distL="0" distR="0">
            <wp:extent cx="3923533" cy="3080385"/>
            <wp:effectExtent l="0" t="0" r="0" b="0"/>
            <wp:docPr id="17" name="image8.jpeg" descr=""/>
            <wp:cNvGraphicFramePr>
              <a:graphicFrameLocks noChangeAspect="1"/>
            </wp:cNvGraphicFramePr>
            <a:graphic>
              <a:graphicData uri="http://schemas.openxmlformats.org/drawingml/2006/picture">
                <pic:pic>
                  <pic:nvPicPr>
                    <pic:cNvPr id="18" name="image8.jpeg"/>
                    <pic:cNvPicPr/>
                  </pic:nvPicPr>
                  <pic:blipFill>
                    <a:blip r:embed="rId19" cstate="print"/>
                    <a:stretch>
                      <a:fillRect/>
                    </a:stretch>
                  </pic:blipFill>
                  <pic:spPr>
                    <a:xfrm>
                      <a:off x="0" y="0"/>
                      <a:ext cx="3923533" cy="3080385"/>
                    </a:xfrm>
                    <a:prstGeom prst="rect">
                      <a:avLst/>
                    </a:prstGeom>
                  </pic:spPr>
                </pic:pic>
              </a:graphicData>
            </a:graphic>
          </wp:inline>
        </w:drawing>
      </w:r>
      <w:r>
        <w:rPr>
          <w:sz w:val="20"/>
        </w:rPr>
      </w:r>
    </w:p>
    <w:p>
      <w:pPr>
        <w:spacing w:line="360" w:lineRule="auto" w:before="100"/>
        <w:ind w:left="152" w:right="98" w:firstLine="0"/>
        <w:jc w:val="both"/>
        <w:rPr>
          <w:sz w:val="20"/>
        </w:rPr>
      </w:pPr>
      <w:r>
        <w:rPr>
          <w:sz w:val="20"/>
        </w:rPr>
        <w:t>Figura 7. Estructura del complejo STAT1-DNA (A). Diagrama del dímero de STAT1 unido a DNA </w:t>
      </w:r>
      <w:r>
        <w:rPr>
          <w:spacing w:val="-4"/>
          <w:sz w:val="20"/>
        </w:rPr>
        <w:t>en </w:t>
      </w:r>
      <w:r>
        <w:rPr>
          <w:sz w:val="20"/>
        </w:rPr>
        <w:t>el que se</w:t>
      </w:r>
      <w:r>
        <w:rPr>
          <w:spacing w:val="-3"/>
          <w:sz w:val="20"/>
        </w:rPr>
        <w:t> </w:t>
      </w:r>
      <w:r>
        <w:rPr>
          <w:sz w:val="20"/>
        </w:rPr>
        <w:t>representa</w:t>
      </w:r>
      <w:r>
        <w:rPr>
          <w:spacing w:val="-3"/>
          <w:sz w:val="20"/>
        </w:rPr>
        <w:t> </w:t>
      </w:r>
      <w:r>
        <w:rPr>
          <w:sz w:val="20"/>
        </w:rPr>
        <w:t>desde</w:t>
      </w:r>
      <w:r>
        <w:rPr>
          <w:spacing w:val="-3"/>
          <w:sz w:val="20"/>
        </w:rPr>
        <w:t> </w:t>
      </w:r>
      <w:r>
        <w:rPr>
          <w:sz w:val="20"/>
        </w:rPr>
        <w:t>su</w:t>
      </w:r>
      <w:r>
        <w:rPr>
          <w:spacing w:val="-5"/>
          <w:sz w:val="20"/>
        </w:rPr>
        <w:t> </w:t>
      </w:r>
      <w:r>
        <w:rPr>
          <w:sz w:val="20"/>
        </w:rPr>
        <w:t>extremo</w:t>
      </w:r>
      <w:r>
        <w:rPr>
          <w:spacing w:val="-9"/>
          <w:sz w:val="20"/>
        </w:rPr>
        <w:t> </w:t>
      </w:r>
      <w:r>
        <w:rPr>
          <w:sz w:val="20"/>
        </w:rPr>
        <w:t>amino</w:t>
      </w:r>
      <w:r>
        <w:rPr>
          <w:spacing w:val="-2"/>
          <w:sz w:val="20"/>
        </w:rPr>
        <w:t> </w:t>
      </w:r>
      <w:r>
        <w:rPr>
          <w:sz w:val="20"/>
        </w:rPr>
        <w:t>terminal</w:t>
      </w:r>
      <w:r>
        <w:rPr>
          <w:spacing w:val="-3"/>
          <w:sz w:val="20"/>
        </w:rPr>
        <w:t> </w:t>
      </w:r>
      <w:r>
        <w:rPr>
          <w:sz w:val="20"/>
        </w:rPr>
        <w:t>(N)</w:t>
      </w:r>
      <w:r>
        <w:rPr>
          <w:spacing w:val="-4"/>
          <w:sz w:val="20"/>
        </w:rPr>
        <w:t> </w:t>
      </w:r>
      <w:r>
        <w:rPr>
          <w:sz w:val="20"/>
        </w:rPr>
        <w:t>al</w:t>
      </w:r>
      <w:r>
        <w:rPr>
          <w:spacing w:val="-3"/>
          <w:sz w:val="20"/>
        </w:rPr>
        <w:t> </w:t>
      </w:r>
      <w:r>
        <w:rPr>
          <w:sz w:val="20"/>
        </w:rPr>
        <w:t>carboxi-terminal</w:t>
      </w:r>
      <w:r>
        <w:rPr>
          <w:spacing w:val="-3"/>
          <w:sz w:val="20"/>
        </w:rPr>
        <w:t> </w:t>
      </w:r>
      <w:r>
        <w:rPr>
          <w:sz w:val="20"/>
        </w:rPr>
        <w:t>(C)</w:t>
      </w:r>
      <w:r>
        <w:rPr>
          <w:spacing w:val="-5"/>
          <w:sz w:val="20"/>
        </w:rPr>
        <w:t> </w:t>
      </w:r>
      <w:r>
        <w:rPr>
          <w:sz w:val="20"/>
        </w:rPr>
        <w:t>los siguientes</w:t>
      </w:r>
      <w:r>
        <w:rPr>
          <w:spacing w:val="-1"/>
          <w:sz w:val="20"/>
        </w:rPr>
        <w:t> </w:t>
      </w:r>
      <w:r>
        <w:rPr>
          <w:sz w:val="20"/>
        </w:rPr>
        <w:t>dominios:</w:t>
      </w:r>
      <w:r>
        <w:rPr>
          <w:spacing w:val="1"/>
          <w:sz w:val="20"/>
        </w:rPr>
        <w:t> </w:t>
      </w:r>
      <w:r>
        <w:rPr>
          <w:sz w:val="20"/>
        </w:rPr>
        <w:t>el</w:t>
      </w:r>
      <w:r>
        <w:rPr>
          <w:spacing w:val="-3"/>
          <w:sz w:val="20"/>
        </w:rPr>
        <w:t> </w:t>
      </w:r>
      <w:r>
        <w:rPr>
          <w:sz w:val="20"/>
        </w:rPr>
        <w:t>dominio </w:t>
      </w:r>
      <w:r>
        <w:rPr>
          <w:i/>
          <w:sz w:val="20"/>
        </w:rPr>
        <w:t>coiled coil </w:t>
      </w:r>
      <w:r>
        <w:rPr>
          <w:sz w:val="20"/>
        </w:rPr>
        <w:t>(verde), el dominio de unión a DNA (rojo), el dominio </w:t>
      </w:r>
      <w:r>
        <w:rPr>
          <w:i/>
          <w:sz w:val="20"/>
        </w:rPr>
        <w:t>linker </w:t>
      </w:r>
      <w:r>
        <w:rPr>
          <w:sz w:val="20"/>
        </w:rPr>
        <w:t>(naranja) y el dominio </w:t>
      </w:r>
      <w:r>
        <w:rPr>
          <w:spacing w:val="-3"/>
          <w:sz w:val="20"/>
        </w:rPr>
        <w:t>SH2 </w:t>
      </w:r>
      <w:r>
        <w:rPr>
          <w:sz w:val="20"/>
        </w:rPr>
        <w:t>(azul) cuyos extremos están representados </w:t>
      </w:r>
      <w:r>
        <w:rPr>
          <w:spacing w:val="-4"/>
          <w:sz w:val="20"/>
        </w:rPr>
        <w:t>en </w:t>
      </w:r>
      <w:r>
        <w:rPr>
          <w:sz w:val="20"/>
        </w:rPr>
        <w:t>morado y amarillo. En cada uno de los dominios </w:t>
      </w:r>
      <w:r>
        <w:rPr>
          <w:spacing w:val="-3"/>
          <w:sz w:val="20"/>
        </w:rPr>
        <w:t>SH2 </w:t>
      </w:r>
      <w:r>
        <w:rPr>
          <w:sz w:val="20"/>
        </w:rPr>
        <w:t>se encuentra la tirosina fosforilada (flecha). La fosfotirosina (pY-701) se muestra </w:t>
      </w:r>
      <w:r>
        <w:rPr>
          <w:spacing w:val="-4"/>
          <w:sz w:val="20"/>
        </w:rPr>
        <w:t>en </w:t>
      </w:r>
      <w:r>
        <w:rPr>
          <w:sz w:val="20"/>
        </w:rPr>
        <w:t>la imagen. El esqueleto de DNA es presentado </w:t>
      </w:r>
      <w:r>
        <w:rPr>
          <w:spacing w:val="-4"/>
          <w:sz w:val="20"/>
        </w:rPr>
        <w:t>en </w:t>
      </w:r>
      <w:r>
        <w:rPr>
          <w:spacing w:val="-3"/>
          <w:sz w:val="20"/>
        </w:rPr>
        <w:t>color </w:t>
      </w:r>
      <w:r>
        <w:rPr>
          <w:sz w:val="20"/>
        </w:rPr>
        <w:t>gris (Chen </w:t>
      </w:r>
      <w:r>
        <w:rPr>
          <w:i/>
          <w:sz w:val="20"/>
        </w:rPr>
        <w:t>et al.,</w:t>
      </w:r>
      <w:r>
        <w:rPr>
          <w:i/>
          <w:spacing w:val="24"/>
          <w:sz w:val="20"/>
        </w:rPr>
        <w:t> </w:t>
      </w:r>
      <w:r>
        <w:rPr>
          <w:sz w:val="20"/>
        </w:rPr>
        <w:t>1998)</w:t>
      </w:r>
    </w:p>
    <w:p>
      <w:pPr>
        <w:pStyle w:val="BodyText"/>
        <w:rPr>
          <w:sz w:val="20"/>
        </w:rPr>
      </w:pPr>
    </w:p>
    <w:p>
      <w:pPr>
        <w:pStyle w:val="BodyText"/>
        <w:spacing w:before="10"/>
        <w:rPr>
          <w:sz w:val="16"/>
        </w:rPr>
      </w:pPr>
    </w:p>
    <w:p>
      <w:pPr>
        <w:pStyle w:val="Heading2"/>
        <w:numPr>
          <w:ilvl w:val="2"/>
          <w:numId w:val="8"/>
        </w:numPr>
        <w:tabs>
          <w:tab w:pos="758" w:val="left" w:leader="none"/>
        </w:tabs>
        <w:spacing w:line="240" w:lineRule="auto" w:before="0" w:after="0"/>
        <w:ind w:left="757" w:right="0" w:hanging="605"/>
        <w:jc w:val="both"/>
        <w:rPr>
          <w:i/>
        </w:rPr>
      </w:pPr>
      <w:bookmarkStart w:name="_bookmark21" w:id="38"/>
      <w:bookmarkEnd w:id="38"/>
      <w:r>
        <w:rPr>
          <w:b w:val="0"/>
          <w:i w:val="0"/>
        </w:rPr>
      </w:r>
      <w:bookmarkStart w:name="_bookmark21" w:id="39"/>
      <w:bookmarkEnd w:id="39"/>
      <w:r>
        <w:rPr>
          <w:i/>
        </w:rPr>
        <w:t>G</w:t>
      </w:r>
      <w:r>
        <w:rPr>
          <w:i/>
        </w:rPr>
        <w:t>enes estimulados por IFN tipo I</w:t>
      </w:r>
      <w:r>
        <w:rPr>
          <w:i/>
          <w:spacing w:val="-17"/>
        </w:rPr>
        <w:t> </w:t>
      </w:r>
      <w:r>
        <w:rPr>
          <w:i/>
        </w:rPr>
        <w:t>(ISGs)</w:t>
      </w:r>
    </w:p>
    <w:p>
      <w:pPr>
        <w:pStyle w:val="BodyText"/>
        <w:spacing w:line="360" w:lineRule="auto" w:before="36"/>
        <w:ind w:left="152" w:right="101"/>
        <w:jc w:val="both"/>
      </w:pPr>
      <w:r>
        <w:rPr/>
        <w:t>El señalamiento de IFN-I </w:t>
      </w:r>
      <w:r>
        <w:rPr>
          <w:spacing w:val="-4"/>
        </w:rPr>
        <w:t>vía </w:t>
      </w:r>
      <w:r>
        <w:rPr/>
        <w:t>JAK-STAT permite generar un estado antiviral en las células del hospedero, incluyendo </w:t>
      </w:r>
      <w:r>
        <w:rPr>
          <w:spacing w:val="-5"/>
        </w:rPr>
        <w:t>la </w:t>
      </w:r>
      <w:r>
        <w:rPr/>
        <w:t>expresión de genes estimulados por interferón IFN-I(α) (ISGs) (Robertsen</w:t>
      </w:r>
      <w:r>
        <w:rPr>
          <w:spacing w:val="-12"/>
        </w:rPr>
        <w:t> </w:t>
      </w:r>
      <w:r>
        <w:rPr>
          <w:i/>
        </w:rPr>
        <w:t>et</w:t>
      </w:r>
      <w:r>
        <w:rPr>
          <w:i/>
          <w:spacing w:val="-8"/>
        </w:rPr>
        <w:t> </w:t>
      </w:r>
      <w:r>
        <w:rPr>
          <w:i/>
        </w:rPr>
        <w:t>al</w:t>
      </w:r>
      <w:r>
        <w:rPr/>
        <w:t>.,</w:t>
      </w:r>
      <w:r>
        <w:rPr>
          <w:spacing w:val="-6"/>
        </w:rPr>
        <w:t> </w:t>
      </w:r>
      <w:r>
        <w:rPr/>
        <w:t>2003;</w:t>
      </w:r>
      <w:r>
        <w:rPr>
          <w:spacing w:val="-13"/>
        </w:rPr>
        <w:t> </w:t>
      </w:r>
      <w:r>
        <w:rPr/>
        <w:t>Zhou</w:t>
      </w:r>
      <w:r>
        <w:rPr>
          <w:spacing w:val="-8"/>
        </w:rPr>
        <w:t> </w:t>
      </w:r>
      <w:r>
        <w:rPr>
          <w:i/>
        </w:rPr>
        <w:t>et</w:t>
      </w:r>
      <w:r>
        <w:rPr>
          <w:i/>
          <w:spacing w:val="-8"/>
        </w:rPr>
        <w:t> </w:t>
      </w:r>
      <w:r>
        <w:rPr>
          <w:i/>
        </w:rPr>
        <w:t>al</w:t>
      </w:r>
      <w:r>
        <w:rPr/>
        <w:t>.,</w:t>
      </w:r>
      <w:r>
        <w:rPr>
          <w:spacing w:val="-6"/>
        </w:rPr>
        <w:t> </w:t>
      </w:r>
      <w:r>
        <w:rPr/>
        <w:t>2007;</w:t>
      </w:r>
      <w:r>
        <w:rPr>
          <w:spacing w:val="-13"/>
        </w:rPr>
        <w:t> </w:t>
      </w:r>
      <w:r>
        <w:rPr/>
        <w:t>Roberts</w:t>
      </w:r>
      <w:r>
        <w:rPr>
          <w:spacing w:val="-16"/>
        </w:rPr>
        <w:t> </w:t>
      </w:r>
      <w:r>
        <w:rPr/>
        <w:t>y</w:t>
      </w:r>
      <w:r>
        <w:rPr>
          <w:spacing w:val="-13"/>
        </w:rPr>
        <w:t> </w:t>
      </w:r>
      <w:r>
        <w:rPr/>
        <w:t>Pearson,</w:t>
      </w:r>
      <w:r>
        <w:rPr>
          <w:spacing w:val="-7"/>
        </w:rPr>
        <w:t> </w:t>
      </w:r>
      <w:r>
        <w:rPr/>
        <w:t>2005;</w:t>
      </w:r>
      <w:r>
        <w:rPr>
          <w:spacing w:val="-12"/>
        </w:rPr>
        <w:t> </w:t>
      </w:r>
      <w:r>
        <w:rPr/>
        <w:t>García</w:t>
      </w:r>
      <w:r>
        <w:rPr>
          <w:spacing w:val="-9"/>
        </w:rPr>
        <w:t> </w:t>
      </w:r>
      <w:r>
        <w:rPr>
          <w:i/>
        </w:rPr>
        <w:t>et</w:t>
      </w:r>
      <w:r>
        <w:rPr>
          <w:i/>
          <w:spacing w:val="-8"/>
        </w:rPr>
        <w:t> </w:t>
      </w:r>
      <w:r>
        <w:rPr>
          <w:i/>
        </w:rPr>
        <w:t>al</w:t>
      </w:r>
      <w:r>
        <w:rPr/>
        <w:t>.,</w:t>
      </w:r>
      <w:r>
        <w:rPr>
          <w:spacing w:val="-7"/>
        </w:rPr>
        <w:t> </w:t>
      </w:r>
      <w:r>
        <w:rPr/>
        <w:t>2011).</w:t>
      </w:r>
      <w:r>
        <w:rPr>
          <w:spacing w:val="-10"/>
        </w:rPr>
        <w:t> </w:t>
      </w:r>
      <w:r>
        <w:rPr/>
        <w:t>Más de</w:t>
      </w:r>
      <w:r>
        <w:rPr>
          <w:spacing w:val="-8"/>
        </w:rPr>
        <w:t> </w:t>
      </w:r>
      <w:r>
        <w:rPr/>
        <w:t>300</w:t>
      </w:r>
      <w:r>
        <w:rPr>
          <w:spacing w:val="-12"/>
        </w:rPr>
        <w:t> </w:t>
      </w:r>
      <w:r>
        <w:rPr/>
        <w:t>genes</w:t>
      </w:r>
      <w:r>
        <w:rPr>
          <w:spacing w:val="-9"/>
        </w:rPr>
        <w:t> </w:t>
      </w:r>
      <w:r>
        <w:rPr/>
        <w:t>son</w:t>
      </w:r>
      <w:r>
        <w:rPr>
          <w:spacing w:val="-11"/>
        </w:rPr>
        <w:t> </w:t>
      </w:r>
      <w:r>
        <w:rPr/>
        <w:t>estimulados</w:t>
      </w:r>
      <w:r>
        <w:rPr>
          <w:spacing w:val="-8"/>
        </w:rPr>
        <w:t> </w:t>
      </w:r>
      <w:r>
        <w:rPr/>
        <w:t>después</w:t>
      </w:r>
      <w:r>
        <w:rPr>
          <w:spacing w:val="-9"/>
        </w:rPr>
        <w:t> </w:t>
      </w:r>
      <w:r>
        <w:rPr/>
        <w:t>del</w:t>
      </w:r>
      <w:r>
        <w:rPr>
          <w:spacing w:val="-15"/>
        </w:rPr>
        <w:t> </w:t>
      </w:r>
      <w:r>
        <w:rPr/>
        <w:t>tratamiento</w:t>
      </w:r>
      <w:r>
        <w:rPr>
          <w:spacing w:val="-7"/>
        </w:rPr>
        <w:t> </w:t>
      </w:r>
      <w:r>
        <w:rPr/>
        <w:t>con</w:t>
      </w:r>
      <w:r>
        <w:rPr>
          <w:spacing w:val="-12"/>
        </w:rPr>
        <w:t> </w:t>
      </w:r>
      <w:r>
        <w:rPr/>
        <w:t>IFN-I</w:t>
      </w:r>
      <w:r>
        <w:rPr>
          <w:spacing w:val="-10"/>
        </w:rPr>
        <w:t> </w:t>
      </w:r>
      <w:r>
        <w:rPr/>
        <w:t>(Maher</w:t>
      </w:r>
      <w:r>
        <w:rPr>
          <w:spacing w:val="-5"/>
        </w:rPr>
        <w:t> </w:t>
      </w:r>
      <w:r>
        <w:rPr>
          <w:i/>
        </w:rPr>
        <w:t>et</w:t>
      </w:r>
      <w:r>
        <w:rPr>
          <w:i/>
          <w:spacing w:val="-11"/>
        </w:rPr>
        <w:t> </w:t>
      </w:r>
      <w:r>
        <w:rPr>
          <w:i/>
        </w:rPr>
        <w:t>al</w:t>
      </w:r>
      <w:r>
        <w:rPr/>
        <w:t>.,</w:t>
      </w:r>
      <w:r>
        <w:rPr>
          <w:spacing w:val="-9"/>
        </w:rPr>
        <w:t> </w:t>
      </w:r>
      <w:r>
        <w:rPr/>
        <w:t>2007).</w:t>
      </w:r>
      <w:r>
        <w:rPr>
          <w:spacing w:val="-9"/>
        </w:rPr>
        <w:t> </w:t>
      </w:r>
      <w:r>
        <w:rPr/>
        <w:t>Varios trabajos  (Kinkelin  y  Dorson,  1973;  Eaton,  1990;  Robertsen,  2006;  Verrier,</w:t>
      </w:r>
      <w:r>
        <w:rPr>
          <w:spacing w:val="-10"/>
        </w:rPr>
        <w:t> </w:t>
      </w:r>
      <w:r>
        <w:rPr/>
        <w:t>Langevina,</w:t>
      </w:r>
    </w:p>
    <w:p>
      <w:pPr>
        <w:spacing w:after="0" w:line="360" w:lineRule="auto"/>
        <w:jc w:val="both"/>
        <w:sectPr>
          <w:pgSz w:w="12240" w:h="15840"/>
          <w:pgMar w:header="0" w:footer="1382" w:top="1500" w:bottom="1580" w:left="1720" w:right="1420"/>
        </w:sectPr>
      </w:pPr>
    </w:p>
    <w:p>
      <w:pPr>
        <w:pStyle w:val="BodyText"/>
        <w:spacing w:before="7"/>
        <w:rPr>
          <w:sz w:val="25"/>
        </w:rPr>
      </w:pPr>
    </w:p>
    <w:p>
      <w:pPr>
        <w:spacing w:line="360" w:lineRule="auto" w:before="70"/>
        <w:ind w:left="152" w:right="100" w:firstLine="0"/>
        <w:jc w:val="both"/>
        <w:rPr>
          <w:sz w:val="24"/>
        </w:rPr>
      </w:pPr>
      <w:r>
        <w:rPr>
          <w:sz w:val="24"/>
        </w:rPr>
        <w:t>Benmansoura, Boudinota, 2011) han descrito actividad antiviral significativa de ISGs, tanto </w:t>
      </w:r>
      <w:r>
        <w:rPr>
          <w:i/>
          <w:sz w:val="24"/>
        </w:rPr>
        <w:t>in vitro </w:t>
      </w:r>
      <w:r>
        <w:rPr>
          <w:sz w:val="24"/>
        </w:rPr>
        <w:t>e </w:t>
      </w:r>
      <w:r>
        <w:rPr>
          <w:i/>
          <w:sz w:val="24"/>
        </w:rPr>
        <w:t>in vivo </w:t>
      </w:r>
      <w:r>
        <w:rPr>
          <w:sz w:val="24"/>
        </w:rPr>
        <w:t>tales como: STATs, </w:t>
      </w:r>
      <w:r>
        <w:rPr>
          <w:spacing w:val="-3"/>
          <w:sz w:val="24"/>
        </w:rPr>
        <w:t>Mxs, </w:t>
      </w:r>
      <w:r>
        <w:rPr>
          <w:sz w:val="24"/>
        </w:rPr>
        <w:t>2-5 Oligo Adenilato Sintetasa (2’-5’ OAS), proteína quinasa dependiente de RNA (PKR), entre otros (Der </w:t>
      </w:r>
      <w:r>
        <w:rPr>
          <w:i/>
          <w:sz w:val="24"/>
        </w:rPr>
        <w:t>et al</w:t>
      </w:r>
      <w:r>
        <w:rPr>
          <w:sz w:val="24"/>
        </w:rPr>
        <w:t>., 1998; Sen, 2001; Platanias, 2005; Skjesol </w:t>
      </w:r>
      <w:r>
        <w:rPr>
          <w:i/>
          <w:sz w:val="24"/>
        </w:rPr>
        <w:t>et al</w:t>
      </w:r>
      <w:r>
        <w:rPr>
          <w:sz w:val="24"/>
        </w:rPr>
        <w:t>., 2009). Los ISGs son diversos en sus funciones biológicas y numerosos genes presentan altos niveles de transcripción (altamente inducidos). Sin embargo,</w:t>
      </w:r>
      <w:r>
        <w:rPr>
          <w:spacing w:val="-10"/>
          <w:sz w:val="24"/>
        </w:rPr>
        <w:t> </w:t>
      </w:r>
      <w:r>
        <w:rPr>
          <w:sz w:val="24"/>
        </w:rPr>
        <w:t>muchos</w:t>
      </w:r>
      <w:r>
        <w:rPr>
          <w:spacing w:val="-15"/>
          <w:sz w:val="24"/>
        </w:rPr>
        <w:t> </w:t>
      </w:r>
      <w:r>
        <w:rPr>
          <w:sz w:val="24"/>
        </w:rPr>
        <w:t>son</w:t>
      </w:r>
      <w:r>
        <w:rPr>
          <w:spacing w:val="-17"/>
          <w:sz w:val="24"/>
        </w:rPr>
        <w:t> </w:t>
      </w:r>
      <w:r>
        <w:rPr>
          <w:sz w:val="24"/>
        </w:rPr>
        <w:t>aun</w:t>
      </w:r>
      <w:r>
        <w:rPr>
          <w:spacing w:val="-16"/>
          <w:sz w:val="24"/>
        </w:rPr>
        <w:t> </w:t>
      </w:r>
      <w:r>
        <w:rPr>
          <w:sz w:val="24"/>
        </w:rPr>
        <w:t>pobremente</w:t>
      </w:r>
      <w:r>
        <w:rPr>
          <w:spacing w:val="-12"/>
          <w:sz w:val="24"/>
        </w:rPr>
        <w:t> </w:t>
      </w:r>
      <w:r>
        <w:rPr>
          <w:sz w:val="24"/>
        </w:rPr>
        <w:t>caracterizados,</w:t>
      </w:r>
      <w:r>
        <w:rPr>
          <w:spacing w:val="-15"/>
          <w:sz w:val="24"/>
        </w:rPr>
        <w:t> </w:t>
      </w:r>
      <w:r>
        <w:rPr>
          <w:sz w:val="24"/>
        </w:rPr>
        <w:t>aunque</w:t>
      </w:r>
      <w:r>
        <w:rPr>
          <w:spacing w:val="-13"/>
          <w:sz w:val="24"/>
        </w:rPr>
        <w:t> </w:t>
      </w:r>
      <w:r>
        <w:rPr>
          <w:sz w:val="24"/>
        </w:rPr>
        <w:t>proveen</w:t>
      </w:r>
      <w:r>
        <w:rPr>
          <w:spacing w:val="-17"/>
          <w:sz w:val="24"/>
        </w:rPr>
        <w:t> </w:t>
      </w:r>
      <w:r>
        <w:rPr>
          <w:sz w:val="24"/>
        </w:rPr>
        <w:t>una</w:t>
      </w:r>
      <w:r>
        <w:rPr>
          <w:spacing w:val="-14"/>
          <w:sz w:val="24"/>
        </w:rPr>
        <w:t> </w:t>
      </w:r>
      <w:r>
        <w:rPr>
          <w:sz w:val="24"/>
        </w:rPr>
        <w:t>retroalimentación que amplifica </w:t>
      </w:r>
      <w:r>
        <w:rPr>
          <w:spacing w:val="-5"/>
          <w:sz w:val="24"/>
        </w:rPr>
        <w:t>la </w:t>
      </w:r>
      <w:r>
        <w:rPr>
          <w:sz w:val="24"/>
        </w:rPr>
        <w:t>respuesta de IFN-I. Dentro de los genes </w:t>
      </w:r>
      <w:r>
        <w:rPr>
          <w:spacing w:val="-3"/>
          <w:sz w:val="24"/>
        </w:rPr>
        <w:t>más </w:t>
      </w:r>
      <w:r>
        <w:rPr>
          <w:sz w:val="24"/>
        </w:rPr>
        <w:t>estudiados: STAT (</w:t>
      </w:r>
      <w:r>
        <w:rPr>
          <w:sz w:val="23"/>
        </w:rPr>
        <w:t>transductor de señal y activador de transcripción), una proteína traductora de señales y activadora de la transcripción, perteneciente a una familia de moléculas citosólicas que consisten de 6 miembros que participan en </w:t>
      </w:r>
      <w:r>
        <w:rPr>
          <w:spacing w:val="-4"/>
          <w:sz w:val="23"/>
        </w:rPr>
        <w:t>la </w:t>
      </w:r>
      <w:r>
        <w:rPr>
          <w:sz w:val="23"/>
        </w:rPr>
        <w:t>señalización de citoquinas como interferones de </w:t>
      </w:r>
      <w:r>
        <w:rPr>
          <w:sz w:val="24"/>
        </w:rPr>
        <w:t>tipo I y II (IFN) (Collet </w:t>
      </w:r>
      <w:r>
        <w:rPr>
          <w:i/>
          <w:sz w:val="24"/>
        </w:rPr>
        <w:t>et </w:t>
      </w:r>
      <w:r>
        <w:rPr>
          <w:i/>
          <w:sz w:val="24"/>
        </w:rPr>
        <w:t>al</w:t>
      </w:r>
      <w:r>
        <w:rPr>
          <w:sz w:val="24"/>
        </w:rPr>
        <w:t>., 2008). </w:t>
      </w:r>
      <w:r>
        <w:rPr>
          <w:sz w:val="23"/>
        </w:rPr>
        <w:t>La proteína Mx (~80 kDa) una GTPasa con actividad antiviral enzimática-catalítica que se auto ensambla y puede unirse a </w:t>
      </w:r>
      <w:r>
        <w:rPr>
          <w:spacing w:val="-4"/>
          <w:sz w:val="23"/>
        </w:rPr>
        <w:t>la </w:t>
      </w:r>
      <w:r>
        <w:rPr>
          <w:sz w:val="23"/>
        </w:rPr>
        <w:t>nucleocápside viral interfiriendo con el tráfico </w:t>
      </w:r>
      <w:r>
        <w:rPr>
          <w:sz w:val="24"/>
        </w:rPr>
        <w:t>intracelular del virus y </w:t>
      </w:r>
      <w:r>
        <w:rPr>
          <w:spacing w:val="-3"/>
          <w:sz w:val="24"/>
        </w:rPr>
        <w:t>la </w:t>
      </w:r>
      <w:r>
        <w:rPr>
          <w:sz w:val="24"/>
        </w:rPr>
        <w:t>actividad de </w:t>
      </w:r>
      <w:r>
        <w:rPr>
          <w:spacing w:val="-3"/>
          <w:sz w:val="24"/>
        </w:rPr>
        <w:t>la </w:t>
      </w:r>
      <w:r>
        <w:rPr>
          <w:sz w:val="24"/>
        </w:rPr>
        <w:t>polimerasa. Se </w:t>
      </w:r>
      <w:r>
        <w:rPr>
          <w:spacing w:val="-3"/>
          <w:sz w:val="24"/>
        </w:rPr>
        <w:t>ha </w:t>
      </w:r>
      <w:r>
        <w:rPr>
          <w:sz w:val="24"/>
        </w:rPr>
        <w:t>descrito que esta proteína puede inhibir</w:t>
      </w:r>
      <w:r>
        <w:rPr>
          <w:spacing w:val="-11"/>
          <w:sz w:val="24"/>
        </w:rPr>
        <w:t> </w:t>
      </w:r>
      <w:r>
        <w:rPr>
          <w:spacing w:val="-3"/>
          <w:sz w:val="24"/>
        </w:rPr>
        <w:t>la</w:t>
      </w:r>
      <w:r>
        <w:rPr>
          <w:spacing w:val="-18"/>
          <w:sz w:val="24"/>
        </w:rPr>
        <w:t> </w:t>
      </w:r>
      <w:r>
        <w:rPr>
          <w:sz w:val="24"/>
        </w:rPr>
        <w:t>replicación</w:t>
      </w:r>
      <w:r>
        <w:rPr>
          <w:spacing w:val="-21"/>
          <w:sz w:val="24"/>
        </w:rPr>
        <w:t> </w:t>
      </w:r>
      <w:r>
        <w:rPr>
          <w:sz w:val="24"/>
        </w:rPr>
        <w:t>de</w:t>
      </w:r>
      <w:r>
        <w:rPr>
          <w:spacing w:val="-14"/>
          <w:sz w:val="24"/>
        </w:rPr>
        <w:t> </w:t>
      </w:r>
      <w:r>
        <w:rPr>
          <w:sz w:val="24"/>
        </w:rPr>
        <w:t>muchos</w:t>
      </w:r>
      <w:r>
        <w:rPr>
          <w:spacing w:val="-19"/>
          <w:sz w:val="24"/>
        </w:rPr>
        <w:t> </w:t>
      </w:r>
      <w:r>
        <w:rPr>
          <w:sz w:val="24"/>
        </w:rPr>
        <w:t>virus</w:t>
      </w:r>
      <w:r>
        <w:rPr>
          <w:spacing w:val="-16"/>
          <w:sz w:val="24"/>
        </w:rPr>
        <w:t> </w:t>
      </w:r>
      <w:r>
        <w:rPr>
          <w:sz w:val="24"/>
        </w:rPr>
        <w:t>de</w:t>
      </w:r>
      <w:r>
        <w:rPr>
          <w:spacing w:val="-18"/>
          <w:sz w:val="24"/>
        </w:rPr>
        <w:t> </w:t>
      </w:r>
      <w:r>
        <w:rPr>
          <w:sz w:val="24"/>
        </w:rPr>
        <w:t>RNA,</w:t>
      </w:r>
      <w:r>
        <w:rPr>
          <w:spacing w:val="-11"/>
          <w:sz w:val="24"/>
        </w:rPr>
        <w:t> </w:t>
      </w:r>
      <w:r>
        <w:rPr>
          <w:sz w:val="24"/>
        </w:rPr>
        <w:t>incluyendo</w:t>
      </w:r>
      <w:r>
        <w:rPr>
          <w:spacing w:val="-13"/>
          <w:sz w:val="24"/>
        </w:rPr>
        <w:t> </w:t>
      </w:r>
      <w:r>
        <w:rPr>
          <w:spacing w:val="-3"/>
          <w:sz w:val="24"/>
        </w:rPr>
        <w:t>la</w:t>
      </w:r>
      <w:r>
        <w:rPr>
          <w:spacing w:val="-14"/>
          <w:sz w:val="24"/>
        </w:rPr>
        <w:t> </w:t>
      </w:r>
      <w:r>
        <w:rPr>
          <w:sz w:val="24"/>
        </w:rPr>
        <w:t>influenza</w:t>
      </w:r>
      <w:r>
        <w:rPr>
          <w:spacing w:val="-18"/>
          <w:sz w:val="24"/>
        </w:rPr>
        <w:t> </w:t>
      </w:r>
      <w:r>
        <w:rPr>
          <w:sz w:val="24"/>
        </w:rPr>
        <w:t>(Pavlovic</w:t>
      </w:r>
      <w:r>
        <w:rPr>
          <w:spacing w:val="-14"/>
          <w:sz w:val="24"/>
        </w:rPr>
        <w:t> </w:t>
      </w:r>
      <w:r>
        <w:rPr>
          <w:i/>
          <w:sz w:val="24"/>
        </w:rPr>
        <w:t>et</w:t>
      </w:r>
      <w:r>
        <w:rPr>
          <w:i/>
          <w:spacing w:val="-17"/>
          <w:sz w:val="24"/>
        </w:rPr>
        <w:t> </w:t>
      </w:r>
      <w:r>
        <w:rPr>
          <w:i/>
          <w:sz w:val="24"/>
        </w:rPr>
        <w:t>al</w:t>
      </w:r>
      <w:r>
        <w:rPr>
          <w:sz w:val="24"/>
        </w:rPr>
        <w:t>.,</w:t>
      </w:r>
      <w:r>
        <w:rPr>
          <w:spacing w:val="-19"/>
          <w:sz w:val="24"/>
        </w:rPr>
        <w:t> </w:t>
      </w:r>
      <w:r>
        <w:rPr>
          <w:sz w:val="24"/>
        </w:rPr>
        <w:t>1990; Collet </w:t>
      </w:r>
      <w:r>
        <w:rPr>
          <w:i/>
          <w:sz w:val="24"/>
        </w:rPr>
        <w:t>et al</w:t>
      </w:r>
      <w:r>
        <w:rPr>
          <w:sz w:val="24"/>
        </w:rPr>
        <w:t>., 2004). Además </w:t>
      </w:r>
      <w:r>
        <w:rPr>
          <w:spacing w:val="-3"/>
          <w:sz w:val="24"/>
        </w:rPr>
        <w:t>las </w:t>
      </w:r>
      <w:r>
        <w:rPr>
          <w:sz w:val="24"/>
        </w:rPr>
        <w:t>isoformas de Mx´s presentan distinta localización celular; unas</w:t>
      </w:r>
      <w:r>
        <w:rPr>
          <w:spacing w:val="-8"/>
          <w:sz w:val="24"/>
        </w:rPr>
        <w:t> </w:t>
      </w:r>
      <w:r>
        <w:rPr>
          <w:sz w:val="24"/>
        </w:rPr>
        <w:t>en</w:t>
      </w:r>
      <w:r>
        <w:rPr>
          <w:spacing w:val="-11"/>
          <w:sz w:val="24"/>
        </w:rPr>
        <w:t> </w:t>
      </w:r>
      <w:r>
        <w:rPr>
          <w:sz w:val="24"/>
        </w:rPr>
        <w:t>citoplasma</w:t>
      </w:r>
      <w:r>
        <w:rPr>
          <w:spacing w:val="-1"/>
          <w:sz w:val="24"/>
        </w:rPr>
        <w:t> </w:t>
      </w:r>
      <w:r>
        <w:rPr>
          <w:sz w:val="24"/>
        </w:rPr>
        <w:t>y</w:t>
      </w:r>
      <w:r>
        <w:rPr>
          <w:spacing w:val="-15"/>
          <w:sz w:val="24"/>
        </w:rPr>
        <w:t> </w:t>
      </w:r>
      <w:r>
        <w:rPr>
          <w:sz w:val="24"/>
        </w:rPr>
        <w:t>otras</w:t>
      </w:r>
      <w:r>
        <w:rPr>
          <w:spacing w:val="-8"/>
          <w:sz w:val="24"/>
        </w:rPr>
        <w:t> </w:t>
      </w:r>
      <w:r>
        <w:rPr>
          <w:sz w:val="24"/>
        </w:rPr>
        <w:t>intranuclear</w:t>
      </w:r>
      <w:r>
        <w:rPr>
          <w:spacing w:val="-2"/>
          <w:sz w:val="24"/>
        </w:rPr>
        <w:t> </w:t>
      </w:r>
      <w:r>
        <w:rPr>
          <w:sz w:val="24"/>
        </w:rPr>
        <w:t>(Jin</w:t>
      </w:r>
      <w:r>
        <w:rPr>
          <w:spacing w:val="-10"/>
          <w:sz w:val="24"/>
        </w:rPr>
        <w:t> </w:t>
      </w:r>
      <w:r>
        <w:rPr>
          <w:i/>
          <w:sz w:val="24"/>
        </w:rPr>
        <w:t>et</w:t>
      </w:r>
      <w:r>
        <w:rPr>
          <w:i/>
          <w:spacing w:val="-5"/>
          <w:sz w:val="24"/>
        </w:rPr>
        <w:t> </w:t>
      </w:r>
      <w:r>
        <w:rPr>
          <w:i/>
          <w:sz w:val="24"/>
        </w:rPr>
        <w:t>al</w:t>
      </w:r>
      <w:r>
        <w:rPr>
          <w:sz w:val="24"/>
        </w:rPr>
        <w:t>.,</w:t>
      </w:r>
      <w:r>
        <w:rPr>
          <w:spacing w:val="-8"/>
          <w:sz w:val="24"/>
        </w:rPr>
        <w:t> </w:t>
      </w:r>
      <w:r>
        <w:rPr>
          <w:sz w:val="24"/>
        </w:rPr>
        <w:t>2001;</w:t>
      </w:r>
      <w:r>
        <w:rPr>
          <w:spacing w:val="-10"/>
          <w:sz w:val="24"/>
        </w:rPr>
        <w:t> </w:t>
      </w:r>
      <w:r>
        <w:rPr>
          <w:sz w:val="24"/>
        </w:rPr>
        <w:t>Staeheli</w:t>
      </w:r>
      <w:r>
        <w:rPr>
          <w:spacing w:val="-8"/>
          <w:sz w:val="24"/>
        </w:rPr>
        <w:t> </w:t>
      </w:r>
      <w:r>
        <w:rPr>
          <w:i/>
          <w:sz w:val="24"/>
        </w:rPr>
        <w:t>et</w:t>
      </w:r>
      <w:r>
        <w:rPr>
          <w:i/>
          <w:spacing w:val="-5"/>
          <w:sz w:val="24"/>
        </w:rPr>
        <w:t> </w:t>
      </w:r>
      <w:r>
        <w:rPr>
          <w:i/>
          <w:sz w:val="24"/>
        </w:rPr>
        <w:t>al</w:t>
      </w:r>
      <w:r>
        <w:rPr>
          <w:sz w:val="24"/>
        </w:rPr>
        <w:t>.,</w:t>
      </w:r>
      <w:r>
        <w:rPr>
          <w:spacing w:val="-8"/>
          <w:sz w:val="24"/>
        </w:rPr>
        <w:t> </w:t>
      </w:r>
      <w:r>
        <w:rPr>
          <w:sz w:val="24"/>
        </w:rPr>
        <w:t>1986).</w:t>
      </w:r>
      <w:r>
        <w:rPr>
          <w:spacing w:val="-8"/>
          <w:sz w:val="24"/>
        </w:rPr>
        <w:t> </w:t>
      </w:r>
      <w:r>
        <w:rPr>
          <w:sz w:val="24"/>
        </w:rPr>
        <w:t>La</w:t>
      </w:r>
      <w:r>
        <w:rPr>
          <w:spacing w:val="-7"/>
          <w:sz w:val="24"/>
        </w:rPr>
        <w:t> </w:t>
      </w:r>
      <w:r>
        <w:rPr>
          <w:sz w:val="24"/>
        </w:rPr>
        <w:t>2’-5’</w:t>
      </w:r>
      <w:r>
        <w:rPr>
          <w:spacing w:val="-9"/>
          <w:sz w:val="24"/>
        </w:rPr>
        <w:t> </w:t>
      </w:r>
      <w:r>
        <w:rPr>
          <w:sz w:val="24"/>
        </w:rPr>
        <w:t>OAS, es una enzima dependiente de dsRNA que en presencia de ATP se convierte a 2′5′-unido a un oligoadenilato que activa una RNasa endoribonucleasa que provee un mecanismo de acción antiviral. Sin embargo </w:t>
      </w:r>
      <w:r>
        <w:rPr>
          <w:spacing w:val="-5"/>
          <w:sz w:val="24"/>
        </w:rPr>
        <w:t>la </w:t>
      </w:r>
      <w:r>
        <w:rPr>
          <w:sz w:val="24"/>
        </w:rPr>
        <w:t>activación de esta ruta también afecta el RNA celular implicado en funciones importantes de crecimiento celular, diferenciación y apoptosis (Hovanessian, 2007). La proteína PKR es una proteína Kinasa (Serina-treonina) que se dimeriza y activa por autofosforilación uniéndose a dsRNA. (Hu </w:t>
      </w:r>
      <w:r>
        <w:rPr>
          <w:i/>
          <w:sz w:val="24"/>
        </w:rPr>
        <w:t>et al</w:t>
      </w:r>
      <w:r>
        <w:rPr>
          <w:sz w:val="24"/>
        </w:rPr>
        <w:t>., 2004), con efectos antivirales</w:t>
      </w:r>
      <w:r>
        <w:rPr>
          <w:spacing w:val="-9"/>
          <w:sz w:val="24"/>
        </w:rPr>
        <w:t> </w:t>
      </w:r>
      <w:r>
        <w:rPr>
          <w:sz w:val="24"/>
        </w:rPr>
        <w:t>por</w:t>
      </w:r>
      <w:r>
        <w:rPr>
          <w:spacing w:val="-5"/>
          <w:sz w:val="24"/>
        </w:rPr>
        <w:t> la</w:t>
      </w:r>
      <w:r>
        <w:rPr>
          <w:spacing w:val="-3"/>
          <w:sz w:val="24"/>
        </w:rPr>
        <w:t> </w:t>
      </w:r>
      <w:r>
        <w:rPr>
          <w:sz w:val="24"/>
        </w:rPr>
        <w:t>fosforilación</w:t>
      </w:r>
      <w:r>
        <w:rPr>
          <w:spacing w:val="-11"/>
          <w:sz w:val="24"/>
        </w:rPr>
        <w:t> </w:t>
      </w:r>
      <w:r>
        <w:rPr>
          <w:sz w:val="24"/>
        </w:rPr>
        <w:t>de</w:t>
      </w:r>
      <w:r>
        <w:rPr>
          <w:spacing w:val="-8"/>
          <w:sz w:val="24"/>
        </w:rPr>
        <w:t> </w:t>
      </w:r>
      <w:r>
        <w:rPr>
          <w:sz w:val="24"/>
        </w:rPr>
        <w:t>una</w:t>
      </w:r>
      <w:r>
        <w:rPr>
          <w:spacing w:val="-8"/>
          <w:sz w:val="24"/>
        </w:rPr>
        <w:t> </w:t>
      </w:r>
      <w:r>
        <w:rPr>
          <w:sz w:val="24"/>
        </w:rPr>
        <w:t>proteína</w:t>
      </w:r>
      <w:r>
        <w:rPr>
          <w:spacing w:val="-8"/>
          <w:sz w:val="24"/>
        </w:rPr>
        <w:t> </w:t>
      </w:r>
      <w:r>
        <w:rPr>
          <w:sz w:val="24"/>
        </w:rPr>
        <w:t>conocida</w:t>
      </w:r>
      <w:r>
        <w:rPr>
          <w:spacing w:val="-8"/>
          <w:sz w:val="24"/>
        </w:rPr>
        <w:t> </w:t>
      </w:r>
      <w:r>
        <w:rPr>
          <w:sz w:val="24"/>
        </w:rPr>
        <w:t>como</w:t>
      </w:r>
      <w:r>
        <w:rPr>
          <w:spacing w:val="-2"/>
          <w:sz w:val="24"/>
        </w:rPr>
        <w:t> </w:t>
      </w:r>
      <w:r>
        <w:rPr>
          <w:sz w:val="24"/>
        </w:rPr>
        <w:t>eIF-2α</w:t>
      </w:r>
      <w:r>
        <w:rPr>
          <w:spacing w:val="-8"/>
          <w:sz w:val="24"/>
        </w:rPr>
        <w:t> </w:t>
      </w:r>
      <w:r>
        <w:rPr>
          <w:sz w:val="24"/>
        </w:rPr>
        <w:t>(Factor</w:t>
      </w:r>
      <w:r>
        <w:rPr>
          <w:spacing w:val="-9"/>
          <w:sz w:val="24"/>
        </w:rPr>
        <w:t> </w:t>
      </w:r>
      <w:r>
        <w:rPr>
          <w:sz w:val="24"/>
        </w:rPr>
        <w:t>de</w:t>
      </w:r>
      <w:r>
        <w:rPr>
          <w:spacing w:val="-8"/>
          <w:sz w:val="24"/>
        </w:rPr>
        <w:t> </w:t>
      </w:r>
      <w:r>
        <w:rPr>
          <w:sz w:val="24"/>
        </w:rPr>
        <w:t>elongación- 2</w:t>
      </w:r>
      <w:r>
        <w:rPr>
          <w:spacing w:val="-14"/>
          <w:sz w:val="24"/>
        </w:rPr>
        <w:t> </w:t>
      </w:r>
      <w:r>
        <w:rPr>
          <w:sz w:val="24"/>
        </w:rPr>
        <w:t>alfa),</w:t>
      </w:r>
      <w:r>
        <w:rPr>
          <w:spacing w:val="-13"/>
          <w:sz w:val="24"/>
        </w:rPr>
        <w:t> </w:t>
      </w:r>
      <w:r>
        <w:rPr>
          <w:sz w:val="24"/>
        </w:rPr>
        <w:t>un</w:t>
      </w:r>
      <w:r>
        <w:rPr>
          <w:spacing w:val="-14"/>
          <w:sz w:val="24"/>
        </w:rPr>
        <w:t> </w:t>
      </w:r>
      <w:r>
        <w:rPr>
          <w:sz w:val="24"/>
        </w:rPr>
        <w:t>factor</w:t>
      </w:r>
      <w:r>
        <w:rPr>
          <w:spacing w:val="-13"/>
          <w:sz w:val="24"/>
        </w:rPr>
        <w:t> </w:t>
      </w:r>
      <w:r>
        <w:rPr>
          <w:sz w:val="24"/>
        </w:rPr>
        <w:t>de</w:t>
      </w:r>
      <w:r>
        <w:rPr>
          <w:spacing w:val="-15"/>
          <w:sz w:val="24"/>
        </w:rPr>
        <w:t> </w:t>
      </w:r>
      <w:r>
        <w:rPr>
          <w:sz w:val="24"/>
        </w:rPr>
        <w:t>iniciación</w:t>
      </w:r>
      <w:r>
        <w:rPr>
          <w:spacing w:val="-19"/>
          <w:sz w:val="24"/>
        </w:rPr>
        <w:t> </w:t>
      </w:r>
      <w:r>
        <w:rPr>
          <w:sz w:val="24"/>
        </w:rPr>
        <w:t>de</w:t>
      </w:r>
      <w:r>
        <w:rPr>
          <w:spacing w:val="-12"/>
          <w:sz w:val="24"/>
        </w:rPr>
        <w:t> </w:t>
      </w:r>
      <w:r>
        <w:rPr>
          <w:spacing w:val="-3"/>
          <w:sz w:val="24"/>
        </w:rPr>
        <w:t>la</w:t>
      </w:r>
      <w:r>
        <w:rPr>
          <w:spacing w:val="-15"/>
          <w:sz w:val="24"/>
        </w:rPr>
        <w:t> </w:t>
      </w:r>
      <w:r>
        <w:rPr>
          <w:sz w:val="24"/>
        </w:rPr>
        <w:t>traducción</w:t>
      </w:r>
      <w:r>
        <w:rPr>
          <w:spacing w:val="-19"/>
          <w:sz w:val="24"/>
        </w:rPr>
        <w:t> </w:t>
      </w:r>
      <w:r>
        <w:rPr>
          <w:sz w:val="24"/>
        </w:rPr>
        <w:t>en</w:t>
      </w:r>
      <w:r>
        <w:rPr>
          <w:spacing w:val="-19"/>
          <w:sz w:val="24"/>
        </w:rPr>
        <w:t> </w:t>
      </w:r>
      <w:r>
        <w:rPr>
          <w:sz w:val="24"/>
        </w:rPr>
        <w:t>eucariotas.</w:t>
      </w:r>
      <w:r>
        <w:rPr>
          <w:spacing w:val="-13"/>
          <w:sz w:val="24"/>
        </w:rPr>
        <w:t> </w:t>
      </w:r>
      <w:r>
        <w:rPr>
          <w:sz w:val="24"/>
        </w:rPr>
        <w:t>Después</w:t>
      </w:r>
      <w:r>
        <w:rPr>
          <w:spacing w:val="-17"/>
          <w:sz w:val="24"/>
        </w:rPr>
        <w:t> </w:t>
      </w:r>
      <w:r>
        <w:rPr>
          <w:sz w:val="24"/>
        </w:rPr>
        <w:t>de</w:t>
      </w:r>
      <w:r>
        <w:rPr>
          <w:spacing w:val="-12"/>
          <w:sz w:val="24"/>
        </w:rPr>
        <w:t> </w:t>
      </w:r>
      <w:r>
        <w:rPr>
          <w:spacing w:val="-5"/>
          <w:sz w:val="24"/>
        </w:rPr>
        <w:t>la</w:t>
      </w:r>
      <w:r>
        <w:rPr>
          <w:spacing w:val="-15"/>
          <w:sz w:val="24"/>
        </w:rPr>
        <w:t> </w:t>
      </w:r>
      <w:r>
        <w:rPr>
          <w:sz w:val="24"/>
        </w:rPr>
        <w:t>autofosforilación, el eIF-2α forma un complejo inactivo con eIF-2B reduciendo </w:t>
      </w:r>
      <w:r>
        <w:rPr>
          <w:spacing w:val="-5"/>
          <w:sz w:val="24"/>
        </w:rPr>
        <w:t>la </w:t>
      </w:r>
      <w:r>
        <w:rPr>
          <w:sz w:val="24"/>
        </w:rPr>
        <w:t>síntesis de proteína. Esto inhibe </w:t>
      </w:r>
      <w:r>
        <w:rPr>
          <w:spacing w:val="-3"/>
          <w:sz w:val="24"/>
        </w:rPr>
        <w:t>la </w:t>
      </w:r>
      <w:r>
        <w:rPr>
          <w:sz w:val="24"/>
        </w:rPr>
        <w:t>replicación viral y funciones normales de los ribosomas, eliminando tanto el virus como las células susceptibles del hospedero en un mecanismo de “autodefensa” (Garcia </w:t>
      </w:r>
      <w:r>
        <w:rPr>
          <w:i/>
          <w:sz w:val="24"/>
        </w:rPr>
        <w:t>et </w:t>
      </w:r>
      <w:r>
        <w:rPr>
          <w:i/>
          <w:sz w:val="24"/>
        </w:rPr>
        <w:t>al</w:t>
      </w:r>
      <w:r>
        <w:rPr>
          <w:sz w:val="24"/>
        </w:rPr>
        <w:t>.,</w:t>
      </w:r>
      <w:r>
        <w:rPr>
          <w:spacing w:val="1"/>
          <w:sz w:val="24"/>
        </w:rPr>
        <w:t> </w:t>
      </w:r>
      <w:r>
        <w:rPr>
          <w:sz w:val="24"/>
        </w:rPr>
        <w:t>2006).</w:t>
      </w:r>
    </w:p>
    <w:p>
      <w:pPr>
        <w:spacing w:after="0" w:line="360" w:lineRule="auto"/>
        <w:jc w:val="both"/>
        <w:rPr>
          <w:sz w:val="24"/>
        </w:rPr>
        <w:sectPr>
          <w:pgSz w:w="12240" w:h="15840"/>
          <w:pgMar w:header="0" w:footer="1382" w:top="1500" w:bottom="1580" w:left="1720" w:right="1420"/>
        </w:sectPr>
      </w:pPr>
    </w:p>
    <w:p>
      <w:pPr>
        <w:pStyle w:val="BodyText"/>
        <w:spacing w:before="1"/>
        <w:rPr>
          <w:sz w:val="26"/>
        </w:rPr>
      </w:pPr>
    </w:p>
    <w:p>
      <w:pPr>
        <w:pStyle w:val="Heading1"/>
        <w:numPr>
          <w:ilvl w:val="0"/>
          <w:numId w:val="9"/>
        </w:numPr>
        <w:tabs>
          <w:tab w:pos="3821" w:val="left" w:leader="none"/>
        </w:tabs>
        <w:spacing w:line="240" w:lineRule="auto" w:before="69" w:after="0"/>
        <w:ind w:left="3820" w:right="0" w:hanging="398"/>
        <w:jc w:val="left"/>
      </w:pPr>
      <w:bookmarkStart w:name="_bookmark22" w:id="40"/>
      <w:bookmarkEnd w:id="40"/>
      <w:r>
        <w:rPr>
          <w:b w:val="0"/>
        </w:rPr>
      </w:r>
      <w:bookmarkStart w:name="_bookmark22" w:id="41"/>
      <w:bookmarkEnd w:id="41"/>
      <w:r>
        <w:rPr/>
        <w:t>JUS</w:t>
      </w:r>
      <w:r>
        <w:rPr/>
        <w:t>TIFICACIÓN</w:t>
      </w:r>
    </w:p>
    <w:p>
      <w:pPr>
        <w:pStyle w:val="BodyText"/>
        <w:spacing w:line="360" w:lineRule="auto" w:before="132"/>
        <w:ind w:left="152" w:right="100"/>
        <w:jc w:val="both"/>
      </w:pPr>
      <w:r>
        <w:rPr/>
        <w:t>La necrosis pancreática infecciosa (NPI) es una enfermedad de alta morbilidad, que afecta principalmente</w:t>
      </w:r>
      <w:r>
        <w:rPr>
          <w:spacing w:val="-9"/>
        </w:rPr>
        <w:t> </w:t>
      </w:r>
      <w:r>
        <w:rPr/>
        <w:t>a</w:t>
      </w:r>
      <w:r>
        <w:rPr>
          <w:spacing w:val="-14"/>
        </w:rPr>
        <w:t> </w:t>
      </w:r>
      <w:r>
        <w:rPr/>
        <w:t>salmónidos</w:t>
      </w:r>
      <w:r>
        <w:rPr>
          <w:spacing w:val="-10"/>
        </w:rPr>
        <w:t> </w:t>
      </w:r>
      <w:r>
        <w:rPr/>
        <w:t>jóvenes,</w:t>
      </w:r>
      <w:r>
        <w:rPr>
          <w:spacing w:val="-3"/>
        </w:rPr>
        <w:t> bajo</w:t>
      </w:r>
      <w:r>
        <w:rPr>
          <w:spacing w:val="-4"/>
        </w:rPr>
        <w:t> </w:t>
      </w:r>
      <w:r>
        <w:rPr/>
        <w:t>condiciones</w:t>
      </w:r>
      <w:r>
        <w:rPr>
          <w:spacing w:val="-10"/>
        </w:rPr>
        <w:t> </w:t>
      </w:r>
      <w:r>
        <w:rPr/>
        <w:t>de</w:t>
      </w:r>
      <w:r>
        <w:rPr>
          <w:spacing w:val="-9"/>
        </w:rPr>
        <w:t> </w:t>
      </w:r>
      <w:r>
        <w:rPr/>
        <w:t>producción</w:t>
      </w:r>
      <w:r>
        <w:rPr>
          <w:spacing w:val="-8"/>
        </w:rPr>
        <w:t> </w:t>
      </w:r>
      <w:r>
        <w:rPr/>
        <w:t>intensiva</w:t>
      </w:r>
      <w:r>
        <w:rPr>
          <w:spacing w:val="-9"/>
        </w:rPr>
        <w:t> </w:t>
      </w:r>
      <w:r>
        <w:rPr/>
        <w:t>(Hill,</w:t>
      </w:r>
      <w:r>
        <w:rPr>
          <w:spacing w:val="-6"/>
        </w:rPr>
        <w:t> </w:t>
      </w:r>
      <w:r>
        <w:rPr/>
        <w:t>1982); junto con </w:t>
      </w:r>
      <w:r>
        <w:rPr>
          <w:spacing w:val="-5"/>
        </w:rPr>
        <w:t>la </w:t>
      </w:r>
      <w:r>
        <w:rPr/>
        <w:t>anemia infecciosa del salmón (ISA), son catalogados como </w:t>
      </w:r>
      <w:r>
        <w:rPr>
          <w:spacing w:val="-3"/>
        </w:rPr>
        <w:t>las </w:t>
      </w:r>
      <w:r>
        <w:rPr/>
        <w:t>principales enfermedades que generan pérdidas millonarias en </w:t>
      </w:r>
      <w:r>
        <w:rPr>
          <w:spacing w:val="-3"/>
        </w:rPr>
        <w:t>la </w:t>
      </w:r>
      <w:r>
        <w:rPr/>
        <w:t>industria de salmónidos (Roberts y Pearson, 2005; Shepherd y Jackson, 2013). El IPNV </w:t>
      </w:r>
      <w:r>
        <w:rPr>
          <w:color w:val="202020"/>
        </w:rPr>
        <w:t>fue reportado desde </w:t>
      </w:r>
      <w:r>
        <w:rPr>
          <w:color w:val="202020"/>
          <w:spacing w:val="-5"/>
        </w:rPr>
        <w:t>la </w:t>
      </w:r>
      <w:r>
        <w:rPr>
          <w:color w:val="202020"/>
        </w:rPr>
        <w:t>década de los años cincuenta </w:t>
      </w:r>
      <w:r>
        <w:rPr>
          <w:color w:val="202020"/>
          <w:spacing w:val="-3"/>
        </w:rPr>
        <w:t>(</w:t>
      </w:r>
      <w:r>
        <w:rPr>
          <w:spacing w:val="-3"/>
        </w:rPr>
        <w:t>Wolf, </w:t>
      </w:r>
      <w:r>
        <w:rPr/>
        <w:t>1960). A pesar de esto </w:t>
      </w:r>
      <w:r>
        <w:rPr>
          <w:spacing w:val="-3"/>
        </w:rPr>
        <w:t>no </w:t>
      </w:r>
      <w:r>
        <w:rPr/>
        <w:t>se han logrado desarrollar estrategias de control para prevenir </w:t>
      </w:r>
      <w:r>
        <w:rPr>
          <w:spacing w:val="-5"/>
        </w:rPr>
        <w:t>la </w:t>
      </w:r>
      <w:r>
        <w:rPr/>
        <w:t>enfermedad, por ejemplo, </w:t>
      </w:r>
      <w:r>
        <w:rPr>
          <w:spacing w:val="-3"/>
        </w:rPr>
        <w:t>las </w:t>
      </w:r>
      <w:r>
        <w:rPr/>
        <w:t>vacunas que se han formulado en </w:t>
      </w:r>
      <w:r>
        <w:rPr>
          <w:spacing w:val="-5"/>
        </w:rPr>
        <w:t>la </w:t>
      </w:r>
      <w:r>
        <w:rPr/>
        <w:t>actualidad, </w:t>
      </w:r>
      <w:r>
        <w:rPr>
          <w:spacing w:val="-3"/>
        </w:rPr>
        <w:t>no </w:t>
      </w:r>
      <w:r>
        <w:rPr/>
        <w:t>generan una protección satisfactoria (Aquatic Health Chile, 2004; Allnutt </w:t>
      </w:r>
      <w:r>
        <w:rPr>
          <w:i/>
        </w:rPr>
        <w:t>et </w:t>
      </w:r>
      <w:r>
        <w:rPr>
          <w:i/>
        </w:rPr>
        <w:t>al</w:t>
      </w:r>
      <w:r>
        <w:rPr/>
        <w:t>., 2007); por </w:t>
      </w:r>
      <w:r>
        <w:rPr>
          <w:spacing w:val="-5"/>
        </w:rPr>
        <w:t>lo </w:t>
      </w:r>
      <w:r>
        <w:rPr/>
        <w:t>que se propone que </w:t>
      </w:r>
      <w:r>
        <w:rPr>
          <w:spacing w:val="-3"/>
        </w:rPr>
        <w:t>las </w:t>
      </w:r>
      <w:r>
        <w:rPr/>
        <w:t>mejores acciones de control para </w:t>
      </w:r>
      <w:r>
        <w:rPr>
          <w:spacing w:val="-5"/>
        </w:rPr>
        <w:t>la </w:t>
      </w:r>
      <w:r>
        <w:rPr/>
        <w:t>prevención de </w:t>
      </w:r>
      <w:r>
        <w:rPr>
          <w:spacing w:val="-3"/>
        </w:rPr>
        <w:t>la </w:t>
      </w:r>
      <w:r>
        <w:rPr/>
        <w:t>enfermedad son el mantenimiento de </w:t>
      </w:r>
      <w:r>
        <w:rPr>
          <w:spacing w:val="-5"/>
        </w:rPr>
        <w:t>la </w:t>
      </w:r>
      <w:r>
        <w:rPr/>
        <w:t>respuesta inmune innata</w:t>
      </w:r>
      <w:r>
        <w:rPr>
          <w:spacing w:val="-15"/>
        </w:rPr>
        <w:t> </w:t>
      </w:r>
      <w:r>
        <w:rPr/>
        <w:t>inespecífica.</w:t>
      </w:r>
    </w:p>
    <w:p>
      <w:pPr>
        <w:pStyle w:val="BodyText"/>
        <w:spacing w:line="360" w:lineRule="auto" w:before="4"/>
        <w:ind w:left="152" w:right="99"/>
        <w:jc w:val="both"/>
      </w:pPr>
      <w:r>
        <w:rPr>
          <w:color w:val="202020"/>
        </w:rPr>
        <w:t>El sistema de interferón (IFN-I) forma parte del sistema inmune innato en peces óseos y es uno de los mecanismos más importantes, considerado primera línea de defensa contra infecciones virales (</w:t>
      </w:r>
      <w:r>
        <w:rPr/>
        <w:t>Robertsen </w:t>
      </w:r>
      <w:r>
        <w:rPr>
          <w:i/>
        </w:rPr>
        <w:t>et al</w:t>
      </w:r>
      <w:r>
        <w:rPr/>
        <w:t>., 2003; Zhou </w:t>
      </w:r>
      <w:r>
        <w:rPr>
          <w:i/>
        </w:rPr>
        <w:t>et al</w:t>
      </w:r>
      <w:r>
        <w:rPr/>
        <w:t>., 2007), </w:t>
      </w:r>
      <w:r>
        <w:rPr>
          <w:color w:val="202020"/>
        </w:rPr>
        <w:t>en peces como en mamíferos esta citoquina induce la expresión de mRNA de proteínas antivirales (ISGs) </w:t>
      </w:r>
      <w:r>
        <w:rPr/>
        <w:t>(Robertsen </w:t>
      </w:r>
      <w:r>
        <w:rPr>
          <w:i/>
        </w:rPr>
        <w:t>et. </w:t>
      </w:r>
      <w:r>
        <w:rPr>
          <w:i/>
        </w:rPr>
        <w:t>al., </w:t>
      </w:r>
      <w:r>
        <w:rPr/>
        <w:t>2003; García </w:t>
      </w:r>
      <w:r>
        <w:rPr>
          <w:i/>
        </w:rPr>
        <w:t>et al</w:t>
      </w:r>
      <w:r>
        <w:rPr/>
        <w:t>., 2011).</w:t>
      </w:r>
    </w:p>
    <w:p>
      <w:pPr>
        <w:pStyle w:val="BodyText"/>
        <w:spacing w:line="360" w:lineRule="auto" w:before="8"/>
        <w:ind w:left="152" w:right="102"/>
        <w:jc w:val="both"/>
      </w:pPr>
      <w:r>
        <w:rPr/>
        <w:t>Varios trabajos han demostrado </w:t>
      </w:r>
      <w:r>
        <w:rPr>
          <w:spacing w:val="-5"/>
        </w:rPr>
        <w:t>la </w:t>
      </w:r>
      <w:r>
        <w:rPr/>
        <w:t>acción de los ISGs tanto </w:t>
      </w:r>
      <w:r>
        <w:rPr>
          <w:i/>
        </w:rPr>
        <w:t>in vitro </w:t>
      </w:r>
      <w:r>
        <w:rPr/>
        <w:t>e </w:t>
      </w:r>
      <w:r>
        <w:rPr>
          <w:i/>
        </w:rPr>
        <w:t>in vivo </w:t>
      </w:r>
      <w:r>
        <w:rPr/>
        <w:t>(Kinkelin y Dorson,1973; Eaton,1990; Robertsen, 2006; Verrier </w:t>
      </w:r>
      <w:r>
        <w:rPr>
          <w:i/>
        </w:rPr>
        <w:t>et al</w:t>
      </w:r>
      <w:r>
        <w:rPr/>
        <w:t>., 2011) </w:t>
      </w:r>
      <w:r>
        <w:rPr>
          <w:spacing w:val="-3"/>
        </w:rPr>
        <w:t>como Mx, </w:t>
      </w:r>
      <w:r>
        <w:rPr/>
        <w:t>2-5 </w:t>
      </w:r>
      <w:r>
        <w:rPr>
          <w:spacing w:val="-3"/>
        </w:rPr>
        <w:t>oligo </w:t>
      </w:r>
      <w:r>
        <w:rPr/>
        <w:t>adenilato sintetasa (OAS), proteína antiviral viperina (Vig-1), proteína quinasa dependiente de</w:t>
      </w:r>
      <w:r>
        <w:rPr>
          <w:spacing w:val="-7"/>
        </w:rPr>
        <w:t> </w:t>
      </w:r>
      <w:r>
        <w:rPr/>
        <w:t>RNA</w:t>
      </w:r>
      <w:r>
        <w:rPr>
          <w:spacing w:val="-12"/>
        </w:rPr>
        <w:t> </w:t>
      </w:r>
      <w:r>
        <w:rPr/>
        <w:t>(PKR)</w:t>
      </w:r>
      <w:r>
        <w:rPr>
          <w:spacing w:val="-4"/>
        </w:rPr>
        <w:t> </w:t>
      </w:r>
      <w:r>
        <w:rPr/>
        <w:t>entre</w:t>
      </w:r>
      <w:r>
        <w:rPr>
          <w:spacing w:val="-12"/>
        </w:rPr>
        <w:t> </w:t>
      </w:r>
      <w:r>
        <w:rPr/>
        <w:t>otros</w:t>
      </w:r>
      <w:r>
        <w:rPr>
          <w:spacing w:val="-8"/>
        </w:rPr>
        <w:t> </w:t>
      </w:r>
      <w:r>
        <w:rPr/>
        <w:t>(Der</w:t>
      </w:r>
      <w:r>
        <w:rPr>
          <w:spacing w:val="-6"/>
        </w:rPr>
        <w:t> </w:t>
      </w:r>
      <w:r>
        <w:rPr>
          <w:i/>
        </w:rPr>
        <w:t>et</w:t>
      </w:r>
      <w:r>
        <w:rPr>
          <w:i/>
          <w:spacing w:val="-10"/>
        </w:rPr>
        <w:t> </w:t>
      </w:r>
      <w:r>
        <w:rPr>
          <w:i/>
        </w:rPr>
        <w:t>al</w:t>
      </w:r>
      <w:r>
        <w:rPr/>
        <w:t>.,1998;</w:t>
      </w:r>
      <w:r>
        <w:rPr>
          <w:spacing w:val="-10"/>
        </w:rPr>
        <w:t> </w:t>
      </w:r>
      <w:r>
        <w:rPr/>
        <w:t>Sen,</w:t>
      </w:r>
      <w:r>
        <w:rPr>
          <w:spacing w:val="-4"/>
        </w:rPr>
        <w:t> </w:t>
      </w:r>
      <w:r>
        <w:rPr/>
        <w:t>2001;</w:t>
      </w:r>
      <w:r>
        <w:rPr>
          <w:spacing w:val="-10"/>
        </w:rPr>
        <w:t> </w:t>
      </w:r>
      <w:r>
        <w:rPr/>
        <w:t>Platanias,</w:t>
      </w:r>
      <w:r>
        <w:rPr>
          <w:spacing w:val="-4"/>
        </w:rPr>
        <w:t> </w:t>
      </w:r>
      <w:r>
        <w:rPr/>
        <w:t>2005;</w:t>
      </w:r>
      <w:r>
        <w:rPr>
          <w:spacing w:val="-10"/>
        </w:rPr>
        <w:t> </w:t>
      </w:r>
      <w:r>
        <w:rPr/>
        <w:t>Skjesol</w:t>
      </w:r>
      <w:r>
        <w:rPr>
          <w:spacing w:val="-11"/>
        </w:rPr>
        <w:t> </w:t>
      </w:r>
      <w:r>
        <w:rPr>
          <w:i/>
        </w:rPr>
        <w:t>et</w:t>
      </w:r>
      <w:r>
        <w:rPr>
          <w:i/>
          <w:spacing w:val="-5"/>
        </w:rPr>
        <w:t> </w:t>
      </w:r>
      <w:r>
        <w:rPr>
          <w:i/>
        </w:rPr>
        <w:t>al.</w:t>
      </w:r>
      <w:r>
        <w:rPr/>
        <w:t>,</w:t>
      </w:r>
      <w:r>
        <w:rPr>
          <w:spacing w:val="-8"/>
        </w:rPr>
        <w:t> </w:t>
      </w:r>
      <w:r>
        <w:rPr/>
        <w:t>2009). Sin embargo se desconoce </w:t>
      </w:r>
      <w:r>
        <w:rPr>
          <w:spacing w:val="-4"/>
        </w:rPr>
        <w:t>la </w:t>
      </w:r>
      <w:r>
        <w:rPr/>
        <w:t>relación transcrito-proteína de IFN-I(α), STAT-1(α) y Mx-1, cuando se infectan células con serotipos de IPNV de distinta virulencia. En </w:t>
      </w:r>
      <w:r>
        <w:rPr>
          <w:spacing w:val="-3"/>
        </w:rPr>
        <w:t>la </w:t>
      </w:r>
      <w:r>
        <w:rPr/>
        <w:t>década de los 60´s experimentos con IPNV demostraron mayor mortalidad en alevines de trucha café (</w:t>
      </w:r>
      <w:r>
        <w:rPr>
          <w:i/>
        </w:rPr>
        <w:t>Salmo trutta</w:t>
      </w:r>
      <w:r>
        <w:rPr/>
        <w:t>) a 12°C (Wolf, 1988). Aunque </w:t>
      </w:r>
      <w:r>
        <w:rPr>
          <w:spacing w:val="-3"/>
        </w:rPr>
        <w:t>no </w:t>
      </w:r>
      <w:r>
        <w:rPr/>
        <w:t>se </w:t>
      </w:r>
      <w:r>
        <w:rPr>
          <w:spacing w:val="-3"/>
        </w:rPr>
        <w:t>ha </w:t>
      </w:r>
      <w:r>
        <w:rPr/>
        <w:t>evaluado </w:t>
      </w:r>
      <w:r>
        <w:rPr>
          <w:spacing w:val="-5"/>
        </w:rPr>
        <w:t>la </w:t>
      </w:r>
      <w:r>
        <w:rPr/>
        <w:t>expresión génica de IFN- 1(α) y algunos ISGs a distintas temperaturas de</w:t>
      </w:r>
      <w:r>
        <w:rPr>
          <w:spacing w:val="-26"/>
        </w:rPr>
        <w:t> </w:t>
      </w:r>
      <w:r>
        <w:rPr/>
        <w:t>infección.</w:t>
      </w:r>
    </w:p>
    <w:p>
      <w:pPr>
        <w:pStyle w:val="BodyText"/>
        <w:spacing w:line="360" w:lineRule="auto" w:before="4"/>
        <w:ind w:left="152" w:right="101"/>
        <w:jc w:val="both"/>
      </w:pPr>
      <w:r>
        <w:rPr/>
        <w:t>Se </w:t>
      </w:r>
      <w:r>
        <w:rPr>
          <w:spacing w:val="-3"/>
        </w:rPr>
        <w:t>ha </w:t>
      </w:r>
      <w:r>
        <w:rPr/>
        <w:t>hipotetizado un posible efecto antágonico de IPNV en </w:t>
      </w:r>
      <w:r>
        <w:rPr>
          <w:spacing w:val="-5"/>
        </w:rPr>
        <w:t>la </w:t>
      </w:r>
      <w:r>
        <w:rPr/>
        <w:t>ruta de señalamiento de</w:t>
      </w:r>
      <w:r>
        <w:rPr>
          <w:spacing w:val="-30"/>
        </w:rPr>
        <w:t> </w:t>
      </w:r>
      <w:r>
        <w:rPr/>
        <w:t>IFN- 1(α) JAK-STAT (Collet </w:t>
      </w:r>
      <w:r>
        <w:rPr>
          <w:i/>
        </w:rPr>
        <w:t>et al</w:t>
      </w:r>
      <w:r>
        <w:rPr/>
        <w:t>., 2007; Skjesol </w:t>
      </w:r>
      <w:r>
        <w:rPr>
          <w:i/>
        </w:rPr>
        <w:t>et al., </w:t>
      </w:r>
      <w:r>
        <w:rPr/>
        <w:t>2011), pero se desconoce si ciertas características</w:t>
      </w:r>
      <w:r>
        <w:rPr>
          <w:spacing w:val="-8"/>
        </w:rPr>
        <w:t> </w:t>
      </w:r>
      <w:r>
        <w:rPr/>
        <w:t>de</w:t>
      </w:r>
      <w:r>
        <w:rPr>
          <w:spacing w:val="-2"/>
        </w:rPr>
        <w:t> </w:t>
      </w:r>
      <w:r>
        <w:rPr/>
        <w:t>los</w:t>
      </w:r>
      <w:r>
        <w:rPr>
          <w:spacing w:val="-8"/>
        </w:rPr>
        <w:t> </w:t>
      </w:r>
      <w:r>
        <w:rPr/>
        <w:t>serotipos</w:t>
      </w:r>
      <w:r>
        <w:rPr>
          <w:spacing w:val="-8"/>
        </w:rPr>
        <w:t> </w:t>
      </w:r>
      <w:r>
        <w:rPr/>
        <w:t>de</w:t>
      </w:r>
      <w:r>
        <w:rPr>
          <w:spacing w:val="-3"/>
        </w:rPr>
        <w:t> </w:t>
      </w:r>
      <w:r>
        <w:rPr/>
        <w:t>IPNV,</w:t>
      </w:r>
      <w:r>
        <w:rPr>
          <w:spacing w:val="-8"/>
        </w:rPr>
        <w:t> </w:t>
      </w:r>
      <w:r>
        <w:rPr/>
        <w:t>influyen</w:t>
      </w:r>
      <w:r>
        <w:rPr>
          <w:spacing w:val="-10"/>
        </w:rPr>
        <w:t> </w:t>
      </w:r>
      <w:r>
        <w:rPr/>
        <w:t>en</w:t>
      </w:r>
      <w:r>
        <w:rPr>
          <w:spacing w:val="-10"/>
        </w:rPr>
        <w:t> </w:t>
      </w:r>
      <w:r>
        <w:rPr/>
        <w:t>el</w:t>
      </w:r>
      <w:r>
        <w:rPr>
          <w:spacing w:val="-10"/>
        </w:rPr>
        <w:t> </w:t>
      </w:r>
      <w:r>
        <w:rPr/>
        <w:t>nivel</w:t>
      </w:r>
      <w:r>
        <w:rPr>
          <w:spacing w:val="-14"/>
        </w:rPr>
        <w:t> </w:t>
      </w:r>
      <w:r>
        <w:rPr/>
        <w:t>de</w:t>
      </w:r>
      <w:r>
        <w:rPr>
          <w:spacing w:val="-7"/>
        </w:rPr>
        <w:t> </w:t>
      </w:r>
      <w:r>
        <w:rPr/>
        <w:t>traducción</w:t>
      </w:r>
      <w:r>
        <w:rPr>
          <w:spacing w:val="-10"/>
        </w:rPr>
        <w:t> </w:t>
      </w:r>
      <w:r>
        <w:rPr/>
        <w:t>de</w:t>
      </w:r>
      <w:r>
        <w:rPr>
          <w:spacing w:val="-7"/>
        </w:rPr>
        <w:t> </w:t>
      </w:r>
      <w:r>
        <w:rPr/>
        <w:t>proteínas</w:t>
      </w:r>
      <w:r>
        <w:rPr>
          <w:spacing w:val="-8"/>
        </w:rPr>
        <w:t> </w:t>
      </w:r>
      <w:r>
        <w:rPr/>
        <w:t>IFN- I(α), STAT-1(α) y Mx-1. Por otra parte, datos concernientes a </w:t>
      </w:r>
      <w:r>
        <w:rPr>
          <w:spacing w:val="-3"/>
        </w:rPr>
        <w:t>la </w:t>
      </w:r>
      <w:r>
        <w:rPr/>
        <w:t>actividad de  </w:t>
      </w:r>
      <w:r>
        <w:rPr>
          <w:spacing w:val="4"/>
        </w:rPr>
        <w:t> </w:t>
      </w:r>
      <w:r>
        <w:rPr/>
        <w:t>fosforilación</w:t>
      </w:r>
    </w:p>
    <w:p>
      <w:pPr>
        <w:spacing w:after="0" w:line="360" w:lineRule="auto"/>
        <w:jc w:val="both"/>
        <w:sectPr>
          <w:pgSz w:w="12240" w:h="15840"/>
          <w:pgMar w:header="0" w:footer="1382" w:top="1500" w:bottom="1580" w:left="1720" w:right="1420"/>
        </w:sectPr>
      </w:pPr>
    </w:p>
    <w:p>
      <w:pPr>
        <w:pStyle w:val="BodyText"/>
        <w:spacing w:before="7"/>
        <w:rPr>
          <w:sz w:val="25"/>
        </w:rPr>
      </w:pPr>
    </w:p>
    <w:p>
      <w:pPr>
        <w:pStyle w:val="BodyText"/>
        <w:spacing w:line="360" w:lineRule="auto" w:before="70"/>
        <w:ind w:left="152" w:right="100"/>
        <w:jc w:val="both"/>
      </w:pPr>
      <w:r>
        <w:rPr/>
        <w:t>de STAT1(α/β) en peces a través de </w:t>
      </w:r>
      <w:r>
        <w:rPr>
          <w:spacing w:val="-5"/>
        </w:rPr>
        <w:t>la </w:t>
      </w:r>
      <w:r>
        <w:rPr/>
        <w:t>ruta JAK-STAT son escasos, a pesar de que esta proteína</w:t>
      </w:r>
      <w:r>
        <w:rPr>
          <w:spacing w:val="-7"/>
        </w:rPr>
        <w:t> </w:t>
      </w:r>
      <w:r>
        <w:rPr/>
        <w:t>es</w:t>
      </w:r>
      <w:r>
        <w:rPr>
          <w:spacing w:val="-8"/>
        </w:rPr>
        <w:t> </w:t>
      </w:r>
      <w:r>
        <w:rPr/>
        <w:t>clave</w:t>
      </w:r>
      <w:r>
        <w:rPr>
          <w:spacing w:val="-7"/>
        </w:rPr>
        <w:t> </w:t>
      </w:r>
      <w:r>
        <w:rPr/>
        <w:t>para</w:t>
      </w:r>
      <w:r>
        <w:rPr>
          <w:spacing w:val="-7"/>
        </w:rPr>
        <w:t> </w:t>
      </w:r>
      <w:r>
        <w:rPr/>
        <w:t>activar los</w:t>
      </w:r>
      <w:r>
        <w:rPr>
          <w:spacing w:val="-8"/>
        </w:rPr>
        <w:t> </w:t>
      </w:r>
      <w:r>
        <w:rPr/>
        <w:t>ISGs,</w:t>
      </w:r>
      <w:r>
        <w:rPr>
          <w:spacing w:val="-3"/>
        </w:rPr>
        <w:t> </w:t>
      </w:r>
      <w:r>
        <w:rPr/>
        <w:t>actuando</w:t>
      </w:r>
      <w:r>
        <w:rPr>
          <w:spacing w:val="-1"/>
        </w:rPr>
        <w:t> </w:t>
      </w:r>
      <w:r>
        <w:rPr>
          <w:spacing w:val="-3"/>
        </w:rPr>
        <w:t>como</w:t>
      </w:r>
      <w:r>
        <w:rPr>
          <w:spacing w:val="-1"/>
        </w:rPr>
        <w:t> </w:t>
      </w:r>
      <w:r>
        <w:rPr/>
        <w:t>factor</w:t>
      </w:r>
      <w:r>
        <w:rPr>
          <w:spacing w:val="-4"/>
        </w:rPr>
        <w:t> </w:t>
      </w:r>
      <w:r>
        <w:rPr/>
        <w:t>de</w:t>
      </w:r>
      <w:r>
        <w:rPr>
          <w:spacing w:val="-12"/>
        </w:rPr>
        <w:t> </w:t>
      </w:r>
      <w:r>
        <w:rPr/>
        <w:t>transcripción</w:t>
      </w:r>
      <w:r>
        <w:rPr>
          <w:spacing w:val="-2"/>
        </w:rPr>
        <w:t> </w:t>
      </w:r>
      <w:r>
        <w:rPr/>
        <w:t>y</w:t>
      </w:r>
      <w:r>
        <w:rPr>
          <w:spacing w:val="-11"/>
        </w:rPr>
        <w:t> </w:t>
      </w:r>
      <w:r>
        <w:rPr/>
        <w:t>activador</w:t>
      </w:r>
      <w:r>
        <w:rPr>
          <w:spacing w:val="-4"/>
        </w:rPr>
        <w:t> </w:t>
      </w:r>
      <w:r>
        <w:rPr/>
        <w:t>de </w:t>
      </w:r>
      <w:r>
        <w:rPr>
          <w:spacing w:val="-3"/>
        </w:rPr>
        <w:t>la </w:t>
      </w:r>
      <w:r>
        <w:rPr/>
        <w:t>traducción después de </w:t>
      </w:r>
      <w:r>
        <w:rPr>
          <w:spacing w:val="-5"/>
        </w:rPr>
        <w:t>la </w:t>
      </w:r>
      <w:r>
        <w:rPr/>
        <w:t>unión de interferón a su receptor. La información generada en este</w:t>
      </w:r>
      <w:r>
        <w:rPr>
          <w:spacing w:val="-15"/>
        </w:rPr>
        <w:t> </w:t>
      </w:r>
      <w:r>
        <w:rPr/>
        <w:t>trabajo</w:t>
      </w:r>
      <w:r>
        <w:rPr>
          <w:spacing w:val="-6"/>
        </w:rPr>
        <w:t> </w:t>
      </w:r>
      <w:r>
        <w:rPr/>
        <w:t>favorecerá</w:t>
      </w:r>
      <w:r>
        <w:rPr>
          <w:spacing w:val="-12"/>
        </w:rPr>
        <w:t> </w:t>
      </w:r>
      <w:r>
        <w:rPr/>
        <w:t>el</w:t>
      </w:r>
      <w:r>
        <w:rPr>
          <w:spacing w:val="-19"/>
        </w:rPr>
        <w:t> </w:t>
      </w:r>
      <w:r>
        <w:rPr/>
        <w:t>conocimiento</w:t>
      </w:r>
      <w:r>
        <w:rPr>
          <w:spacing w:val="-11"/>
        </w:rPr>
        <w:t> </w:t>
      </w:r>
      <w:r>
        <w:rPr/>
        <w:t>de</w:t>
      </w:r>
      <w:r>
        <w:rPr>
          <w:spacing w:val="-12"/>
        </w:rPr>
        <w:t> </w:t>
      </w:r>
      <w:r>
        <w:rPr>
          <w:spacing w:val="-5"/>
        </w:rPr>
        <w:t>la</w:t>
      </w:r>
      <w:r>
        <w:rPr>
          <w:spacing w:val="-12"/>
        </w:rPr>
        <w:t> </w:t>
      </w:r>
      <w:r>
        <w:rPr/>
        <w:t>respuesta</w:t>
      </w:r>
      <w:r>
        <w:rPr>
          <w:spacing w:val="-9"/>
        </w:rPr>
        <w:t> </w:t>
      </w:r>
      <w:r>
        <w:rPr/>
        <w:t>de</w:t>
      </w:r>
      <w:r>
        <w:rPr>
          <w:spacing w:val="-15"/>
        </w:rPr>
        <w:t> </w:t>
      </w:r>
      <w:r>
        <w:rPr/>
        <w:t>interferón</w:t>
      </w:r>
      <w:r>
        <w:rPr>
          <w:spacing w:val="-13"/>
        </w:rPr>
        <w:t> </w:t>
      </w:r>
      <w:r>
        <w:rPr/>
        <w:t>tipo</w:t>
      </w:r>
      <w:r>
        <w:rPr>
          <w:spacing w:val="-6"/>
        </w:rPr>
        <w:t> </w:t>
      </w:r>
      <w:r>
        <w:rPr/>
        <w:t>I</w:t>
      </w:r>
      <w:r>
        <w:rPr>
          <w:spacing w:val="-13"/>
        </w:rPr>
        <w:t> </w:t>
      </w:r>
      <w:r>
        <w:rPr/>
        <w:t>y</w:t>
      </w:r>
      <w:r>
        <w:rPr>
          <w:spacing w:val="-14"/>
        </w:rPr>
        <w:t> </w:t>
      </w:r>
      <w:r>
        <w:rPr/>
        <w:t>los</w:t>
      </w:r>
      <w:r>
        <w:rPr>
          <w:spacing w:val="-12"/>
        </w:rPr>
        <w:t> </w:t>
      </w:r>
      <w:r>
        <w:rPr/>
        <w:t>ISGs,</w:t>
      </w:r>
      <w:r>
        <w:rPr>
          <w:spacing w:val="-9"/>
        </w:rPr>
        <w:t> </w:t>
      </w:r>
      <w:r>
        <w:rPr/>
        <w:t>al</w:t>
      </w:r>
      <w:r>
        <w:rPr>
          <w:spacing w:val="-14"/>
        </w:rPr>
        <w:t> </w:t>
      </w:r>
      <w:r>
        <w:rPr/>
        <w:t>igual que su vía de señalamiento en infecciones contra IPNV en</w:t>
      </w:r>
      <w:r>
        <w:rPr>
          <w:spacing w:val="-27"/>
        </w:rPr>
        <w:t> </w:t>
      </w:r>
      <w:r>
        <w:rPr/>
        <w:t>salmónidos.</w:t>
      </w:r>
    </w:p>
    <w:p>
      <w:pPr>
        <w:spacing w:after="0" w:line="360" w:lineRule="auto"/>
        <w:jc w:val="both"/>
        <w:sectPr>
          <w:pgSz w:w="12240" w:h="15840"/>
          <w:pgMar w:header="0" w:footer="1382" w:top="1500" w:bottom="1580" w:left="1720" w:right="1420"/>
        </w:sectPr>
      </w:pPr>
    </w:p>
    <w:p>
      <w:pPr>
        <w:pStyle w:val="BodyText"/>
        <w:rPr>
          <w:sz w:val="20"/>
        </w:rPr>
      </w:pPr>
    </w:p>
    <w:p>
      <w:pPr>
        <w:pStyle w:val="BodyText"/>
        <w:rPr>
          <w:sz w:val="20"/>
        </w:rPr>
      </w:pPr>
    </w:p>
    <w:p>
      <w:pPr>
        <w:pStyle w:val="BodyText"/>
        <w:rPr>
          <w:sz w:val="22"/>
        </w:rPr>
      </w:pPr>
    </w:p>
    <w:p>
      <w:pPr>
        <w:pStyle w:val="Heading1"/>
        <w:numPr>
          <w:ilvl w:val="0"/>
          <w:numId w:val="9"/>
        </w:numPr>
        <w:tabs>
          <w:tab w:pos="4119" w:val="left" w:leader="none"/>
        </w:tabs>
        <w:spacing w:line="240" w:lineRule="auto" w:before="69" w:after="0"/>
        <w:ind w:left="4118" w:right="0" w:hanging="388"/>
        <w:jc w:val="left"/>
      </w:pPr>
      <w:bookmarkStart w:name="_bookmark23" w:id="42"/>
      <w:bookmarkEnd w:id="42"/>
      <w:r>
        <w:rPr>
          <w:b w:val="0"/>
        </w:rPr>
      </w:r>
      <w:bookmarkStart w:name="_bookmark23" w:id="43"/>
      <w:bookmarkEnd w:id="43"/>
      <w:r>
        <w:rPr/>
        <w:t>H</w:t>
      </w:r>
      <w:r>
        <w:rPr/>
        <w:t>IPÓTESIS</w:t>
      </w:r>
    </w:p>
    <w:p>
      <w:pPr>
        <w:pStyle w:val="BodyText"/>
        <w:rPr>
          <w:b/>
        </w:rPr>
      </w:pPr>
    </w:p>
    <w:p>
      <w:pPr>
        <w:pStyle w:val="BodyText"/>
        <w:spacing w:before="9"/>
        <w:rPr>
          <w:b/>
          <w:sz w:val="23"/>
        </w:rPr>
      </w:pPr>
    </w:p>
    <w:p>
      <w:pPr>
        <w:pStyle w:val="BodyText"/>
        <w:spacing w:line="360" w:lineRule="auto"/>
        <w:ind w:left="152"/>
      </w:pPr>
      <w:r>
        <w:rPr/>
        <w:t>La expresión de IFN-I(α), STAT-1(α) y Mx-1, se ve afectada por la temperatura y la virulencia de IPNV.</w:t>
      </w:r>
    </w:p>
    <w:p>
      <w:pPr>
        <w:spacing w:after="0" w:line="360" w:lineRule="auto"/>
        <w:sectPr>
          <w:pgSz w:w="12240" w:h="15840"/>
          <w:pgMar w:header="0" w:footer="1382" w:top="1500" w:bottom="1580" w:left="1720" w:right="1420"/>
        </w:sectPr>
      </w:pPr>
    </w:p>
    <w:p>
      <w:pPr>
        <w:pStyle w:val="BodyText"/>
        <w:rPr>
          <w:sz w:val="20"/>
        </w:rPr>
      </w:pPr>
    </w:p>
    <w:p>
      <w:pPr>
        <w:pStyle w:val="BodyText"/>
        <w:rPr>
          <w:sz w:val="20"/>
        </w:rPr>
      </w:pPr>
    </w:p>
    <w:p>
      <w:pPr>
        <w:pStyle w:val="BodyText"/>
        <w:rPr>
          <w:sz w:val="22"/>
        </w:rPr>
      </w:pPr>
    </w:p>
    <w:p>
      <w:pPr>
        <w:pStyle w:val="Heading1"/>
        <w:numPr>
          <w:ilvl w:val="0"/>
          <w:numId w:val="9"/>
        </w:numPr>
        <w:tabs>
          <w:tab w:pos="4038" w:val="left" w:leader="none"/>
        </w:tabs>
        <w:spacing w:line="240" w:lineRule="auto" w:before="69" w:after="0"/>
        <w:ind w:left="4037" w:right="0" w:hanging="297"/>
        <w:jc w:val="left"/>
      </w:pPr>
      <w:bookmarkStart w:name="_bookmark24" w:id="44"/>
      <w:bookmarkEnd w:id="44"/>
      <w:r>
        <w:rPr>
          <w:b w:val="0"/>
        </w:rPr>
      </w:r>
      <w:bookmarkStart w:name="_bookmark24" w:id="45"/>
      <w:bookmarkEnd w:id="45"/>
      <w:r>
        <w:rPr/>
        <w:t>O</w:t>
      </w:r>
      <w:r>
        <w:rPr/>
        <w:t>BJETIVOS</w:t>
      </w:r>
    </w:p>
    <w:p>
      <w:pPr>
        <w:pStyle w:val="BodyText"/>
        <w:rPr>
          <w:b/>
        </w:rPr>
      </w:pPr>
    </w:p>
    <w:p>
      <w:pPr>
        <w:pStyle w:val="BodyText"/>
        <w:spacing w:before="2"/>
        <w:rPr>
          <w:b/>
        </w:rPr>
      </w:pPr>
    </w:p>
    <w:p>
      <w:pPr>
        <w:pStyle w:val="Heading2"/>
        <w:spacing w:before="0"/>
        <w:ind w:left="152" w:firstLine="0"/>
        <w:jc w:val="left"/>
        <w:rPr>
          <w:i/>
        </w:rPr>
      </w:pPr>
      <w:bookmarkStart w:name="_bookmark25" w:id="46"/>
      <w:bookmarkEnd w:id="46"/>
      <w:r>
        <w:rPr>
          <w:b w:val="0"/>
          <w:i w:val="0"/>
        </w:rPr>
      </w:r>
      <w:r>
        <w:rPr>
          <w:i/>
        </w:rPr>
        <w:t>Objetivo general.</w:t>
      </w:r>
    </w:p>
    <w:p>
      <w:pPr>
        <w:pStyle w:val="ListParagraph"/>
        <w:numPr>
          <w:ilvl w:val="0"/>
          <w:numId w:val="10"/>
        </w:numPr>
        <w:tabs>
          <w:tab w:pos="872" w:val="left" w:leader="none"/>
          <w:tab w:pos="873" w:val="left" w:leader="none"/>
        </w:tabs>
        <w:spacing w:line="240" w:lineRule="auto" w:before="129" w:after="0"/>
        <w:ind w:left="873" w:right="0" w:hanging="360"/>
        <w:jc w:val="left"/>
        <w:rPr>
          <w:sz w:val="24"/>
        </w:rPr>
      </w:pPr>
      <w:r>
        <w:rPr>
          <w:sz w:val="24"/>
        </w:rPr>
        <w:t>Determinar</w:t>
      </w:r>
      <w:r>
        <w:rPr>
          <w:spacing w:val="1"/>
          <w:sz w:val="24"/>
        </w:rPr>
        <w:t> </w:t>
      </w:r>
      <w:r>
        <w:rPr>
          <w:spacing w:val="-3"/>
          <w:sz w:val="24"/>
        </w:rPr>
        <w:t>la</w:t>
      </w:r>
      <w:r>
        <w:rPr>
          <w:spacing w:val="-4"/>
          <w:sz w:val="24"/>
        </w:rPr>
        <w:t> </w:t>
      </w:r>
      <w:r>
        <w:rPr>
          <w:sz w:val="24"/>
        </w:rPr>
        <w:t>expresión</w:t>
      </w:r>
      <w:r>
        <w:rPr>
          <w:spacing w:val="-10"/>
          <w:sz w:val="24"/>
        </w:rPr>
        <w:t> </w:t>
      </w:r>
      <w:r>
        <w:rPr>
          <w:sz w:val="24"/>
        </w:rPr>
        <w:t>de</w:t>
      </w:r>
      <w:r>
        <w:rPr>
          <w:spacing w:val="-6"/>
          <w:sz w:val="24"/>
        </w:rPr>
        <w:t> </w:t>
      </w:r>
      <w:r>
        <w:rPr>
          <w:sz w:val="24"/>
        </w:rPr>
        <w:t>ISGs:</w:t>
      </w:r>
      <w:r>
        <w:rPr>
          <w:spacing w:val="-4"/>
          <w:sz w:val="24"/>
        </w:rPr>
        <w:t> </w:t>
      </w:r>
      <w:r>
        <w:rPr>
          <w:sz w:val="24"/>
        </w:rPr>
        <w:t>STAT-1(α)</w:t>
      </w:r>
      <w:r>
        <w:rPr>
          <w:spacing w:val="2"/>
          <w:sz w:val="24"/>
        </w:rPr>
        <w:t> </w:t>
      </w:r>
      <w:r>
        <w:rPr>
          <w:sz w:val="24"/>
        </w:rPr>
        <w:t>y</w:t>
      </w:r>
      <w:r>
        <w:rPr>
          <w:spacing w:val="-14"/>
          <w:sz w:val="24"/>
        </w:rPr>
        <w:t> </w:t>
      </w:r>
      <w:r>
        <w:rPr>
          <w:sz w:val="24"/>
        </w:rPr>
        <w:t>Mx-1</w:t>
      </w:r>
      <w:r>
        <w:rPr>
          <w:spacing w:val="-5"/>
          <w:sz w:val="24"/>
        </w:rPr>
        <w:t> </w:t>
      </w:r>
      <w:r>
        <w:rPr>
          <w:sz w:val="24"/>
        </w:rPr>
        <w:t>durante</w:t>
      </w:r>
      <w:r>
        <w:rPr>
          <w:spacing w:val="-6"/>
          <w:sz w:val="24"/>
        </w:rPr>
        <w:t> </w:t>
      </w:r>
      <w:r>
        <w:rPr>
          <w:sz w:val="24"/>
        </w:rPr>
        <w:t>infecciones</w:t>
      </w:r>
      <w:r>
        <w:rPr>
          <w:spacing w:val="-7"/>
          <w:sz w:val="24"/>
        </w:rPr>
        <w:t> </w:t>
      </w:r>
      <w:r>
        <w:rPr>
          <w:sz w:val="24"/>
        </w:rPr>
        <w:t>con</w:t>
      </w:r>
      <w:r>
        <w:rPr>
          <w:spacing w:val="-10"/>
          <w:sz w:val="24"/>
        </w:rPr>
        <w:t> </w:t>
      </w:r>
      <w:r>
        <w:rPr>
          <w:sz w:val="24"/>
        </w:rPr>
        <w:t>IPNV.</w:t>
      </w:r>
    </w:p>
    <w:p>
      <w:pPr>
        <w:pStyle w:val="BodyText"/>
      </w:pPr>
    </w:p>
    <w:p>
      <w:pPr>
        <w:pStyle w:val="BodyText"/>
        <w:spacing w:before="6"/>
      </w:pPr>
    </w:p>
    <w:p>
      <w:pPr>
        <w:pStyle w:val="Heading2"/>
        <w:spacing w:before="1"/>
        <w:ind w:left="152" w:firstLine="0"/>
        <w:jc w:val="left"/>
        <w:rPr>
          <w:i/>
        </w:rPr>
      </w:pPr>
      <w:bookmarkStart w:name="_bookmark26" w:id="47"/>
      <w:bookmarkEnd w:id="47"/>
      <w:r>
        <w:rPr>
          <w:b w:val="0"/>
          <w:i w:val="0"/>
        </w:rPr>
      </w:r>
      <w:r>
        <w:rPr>
          <w:i/>
        </w:rPr>
        <w:t>Objetivos particulares.</w:t>
      </w:r>
    </w:p>
    <w:p>
      <w:pPr>
        <w:pStyle w:val="ListParagraph"/>
        <w:numPr>
          <w:ilvl w:val="0"/>
          <w:numId w:val="10"/>
        </w:numPr>
        <w:tabs>
          <w:tab w:pos="872" w:val="left" w:leader="none"/>
          <w:tab w:pos="873" w:val="left" w:leader="none"/>
        </w:tabs>
        <w:spacing w:line="355" w:lineRule="auto" w:before="129" w:after="0"/>
        <w:ind w:left="873" w:right="104" w:hanging="360"/>
        <w:jc w:val="left"/>
        <w:rPr>
          <w:sz w:val="24"/>
        </w:rPr>
      </w:pPr>
      <w:r>
        <w:rPr>
          <w:sz w:val="24"/>
        </w:rPr>
        <w:t>Evaluar mediante </w:t>
      </w:r>
      <w:r>
        <w:rPr>
          <w:i/>
          <w:sz w:val="24"/>
        </w:rPr>
        <w:t>q</w:t>
      </w:r>
      <w:r>
        <w:rPr>
          <w:sz w:val="24"/>
        </w:rPr>
        <w:t>PCR el nivel de transcrito de IFN-I(α), STAT-1(α) y Mx-1 en células infectadas con IPNV de distinta</w:t>
      </w:r>
      <w:r>
        <w:rPr>
          <w:spacing w:val="-29"/>
          <w:sz w:val="24"/>
        </w:rPr>
        <w:t> </w:t>
      </w:r>
      <w:r>
        <w:rPr>
          <w:sz w:val="24"/>
        </w:rPr>
        <w:t>virulencia.</w:t>
      </w:r>
    </w:p>
    <w:p>
      <w:pPr>
        <w:pStyle w:val="ListParagraph"/>
        <w:numPr>
          <w:ilvl w:val="0"/>
          <w:numId w:val="10"/>
        </w:numPr>
        <w:tabs>
          <w:tab w:pos="872" w:val="left" w:leader="none"/>
          <w:tab w:pos="873" w:val="left" w:leader="none"/>
        </w:tabs>
        <w:spacing w:line="355" w:lineRule="auto" w:before="7" w:after="0"/>
        <w:ind w:left="873" w:right="115" w:hanging="360"/>
        <w:jc w:val="left"/>
        <w:rPr>
          <w:sz w:val="24"/>
        </w:rPr>
      </w:pPr>
      <w:r>
        <w:rPr>
          <w:sz w:val="24"/>
        </w:rPr>
        <w:t>Evaluar el efecto de 2 cepas de IPNV de distinta virulencia sobre </w:t>
      </w:r>
      <w:r>
        <w:rPr>
          <w:spacing w:val="-5"/>
          <w:sz w:val="24"/>
        </w:rPr>
        <w:t>la </w:t>
      </w:r>
      <w:r>
        <w:rPr>
          <w:sz w:val="24"/>
        </w:rPr>
        <w:t>activación de STAT1 (α/β) mediante Western</w:t>
      </w:r>
      <w:r>
        <w:rPr>
          <w:spacing w:val="-16"/>
          <w:sz w:val="24"/>
        </w:rPr>
        <w:t> </w:t>
      </w:r>
      <w:r>
        <w:rPr>
          <w:sz w:val="24"/>
        </w:rPr>
        <w:t>Blot.</w:t>
      </w:r>
    </w:p>
    <w:p>
      <w:pPr>
        <w:pStyle w:val="ListParagraph"/>
        <w:numPr>
          <w:ilvl w:val="0"/>
          <w:numId w:val="10"/>
        </w:numPr>
        <w:tabs>
          <w:tab w:pos="872" w:val="left" w:leader="none"/>
          <w:tab w:pos="873" w:val="left" w:leader="none"/>
        </w:tabs>
        <w:spacing w:line="355" w:lineRule="auto" w:before="6" w:after="0"/>
        <w:ind w:left="873" w:right="101" w:hanging="360"/>
        <w:jc w:val="left"/>
        <w:rPr>
          <w:sz w:val="24"/>
        </w:rPr>
      </w:pPr>
      <w:r>
        <w:rPr>
          <w:sz w:val="24"/>
        </w:rPr>
        <w:t>Evaluar el efecto de </w:t>
      </w:r>
      <w:r>
        <w:rPr>
          <w:spacing w:val="-5"/>
          <w:sz w:val="24"/>
        </w:rPr>
        <w:t>la </w:t>
      </w:r>
      <w:r>
        <w:rPr>
          <w:sz w:val="24"/>
        </w:rPr>
        <w:t>temperatura en </w:t>
      </w:r>
      <w:r>
        <w:rPr>
          <w:spacing w:val="-3"/>
          <w:sz w:val="24"/>
        </w:rPr>
        <w:t>la </w:t>
      </w:r>
      <w:r>
        <w:rPr>
          <w:sz w:val="24"/>
        </w:rPr>
        <w:t>expresión de transcrito de IFN-I(α), STAT- 1(α) y Mx-1 en peces infectados con</w:t>
      </w:r>
      <w:r>
        <w:rPr>
          <w:spacing w:val="-12"/>
          <w:sz w:val="24"/>
        </w:rPr>
        <w:t> </w:t>
      </w:r>
      <w:r>
        <w:rPr>
          <w:sz w:val="24"/>
        </w:rPr>
        <w:t>IPNV.</w:t>
      </w:r>
    </w:p>
    <w:p>
      <w:pPr>
        <w:spacing w:after="0" w:line="355" w:lineRule="auto"/>
        <w:jc w:val="left"/>
        <w:rPr>
          <w:sz w:val="24"/>
        </w:rPr>
        <w:sectPr>
          <w:pgSz w:w="12240" w:h="15840"/>
          <w:pgMar w:header="0" w:footer="1382" w:top="1500" w:bottom="1580" w:left="1720" w:right="1420"/>
        </w:sectPr>
      </w:pPr>
    </w:p>
    <w:p>
      <w:pPr>
        <w:pStyle w:val="BodyText"/>
        <w:spacing w:before="1"/>
        <w:rPr>
          <w:sz w:val="26"/>
        </w:rPr>
      </w:pPr>
    </w:p>
    <w:p>
      <w:pPr>
        <w:pStyle w:val="Heading1"/>
        <w:numPr>
          <w:ilvl w:val="0"/>
          <w:numId w:val="9"/>
        </w:numPr>
        <w:tabs>
          <w:tab w:pos="3346" w:val="left" w:leader="none"/>
        </w:tabs>
        <w:spacing w:line="240" w:lineRule="auto" w:before="69" w:after="0"/>
        <w:ind w:left="3345" w:right="0" w:hanging="388"/>
        <w:jc w:val="left"/>
      </w:pPr>
      <w:bookmarkStart w:name="_bookmark27" w:id="48"/>
      <w:bookmarkEnd w:id="48"/>
      <w:r>
        <w:rPr>
          <w:b w:val="0"/>
        </w:rPr>
      </w:r>
      <w:bookmarkStart w:name="_bookmark27" w:id="49"/>
      <w:bookmarkEnd w:id="49"/>
      <w:r>
        <w:rPr/>
        <w:t>M</w:t>
      </w:r>
      <w:r>
        <w:rPr/>
        <w:t>ATERIAL Y</w:t>
      </w:r>
      <w:r>
        <w:rPr>
          <w:spacing w:val="-3"/>
        </w:rPr>
        <w:t> </w:t>
      </w:r>
      <w:r>
        <w:rPr/>
        <w:t>MÉTODOS</w:t>
      </w:r>
    </w:p>
    <w:p>
      <w:pPr>
        <w:pStyle w:val="BodyText"/>
        <w:rPr>
          <w:b/>
        </w:rPr>
      </w:pPr>
    </w:p>
    <w:p>
      <w:pPr>
        <w:pStyle w:val="BodyText"/>
        <w:spacing w:before="4"/>
        <w:rPr>
          <w:b/>
          <w:sz w:val="23"/>
        </w:rPr>
      </w:pPr>
    </w:p>
    <w:p>
      <w:pPr>
        <w:pStyle w:val="BodyText"/>
        <w:spacing w:line="360" w:lineRule="auto" w:before="1"/>
        <w:ind w:left="152" w:right="108"/>
        <w:jc w:val="both"/>
      </w:pPr>
      <w:r>
        <w:rPr/>
        <w:t>El</w:t>
      </w:r>
      <w:r>
        <w:rPr>
          <w:spacing w:val="-16"/>
        </w:rPr>
        <w:t> </w:t>
      </w:r>
      <w:r>
        <w:rPr/>
        <w:t>presente</w:t>
      </w:r>
      <w:r>
        <w:rPr>
          <w:spacing w:val="-13"/>
        </w:rPr>
        <w:t> </w:t>
      </w:r>
      <w:r>
        <w:rPr/>
        <w:t>trabajo</w:t>
      </w:r>
      <w:r>
        <w:rPr>
          <w:spacing w:val="-2"/>
        </w:rPr>
        <w:t> </w:t>
      </w:r>
      <w:r>
        <w:rPr/>
        <w:t>se</w:t>
      </w:r>
      <w:r>
        <w:rPr>
          <w:spacing w:val="-8"/>
        </w:rPr>
        <w:t> </w:t>
      </w:r>
      <w:r>
        <w:rPr/>
        <w:t>realizó</w:t>
      </w:r>
      <w:r>
        <w:rPr>
          <w:spacing w:val="-2"/>
        </w:rPr>
        <w:t> </w:t>
      </w:r>
      <w:r>
        <w:rPr/>
        <w:t>en</w:t>
      </w:r>
      <w:r>
        <w:rPr>
          <w:spacing w:val="-9"/>
        </w:rPr>
        <w:t> </w:t>
      </w:r>
      <w:r>
        <w:rPr/>
        <w:t>el</w:t>
      </w:r>
      <w:r>
        <w:rPr>
          <w:spacing w:val="-16"/>
        </w:rPr>
        <w:t> </w:t>
      </w:r>
      <w:r>
        <w:rPr/>
        <w:t>Centro</w:t>
      </w:r>
      <w:r>
        <w:rPr>
          <w:spacing w:val="-6"/>
        </w:rPr>
        <w:t> </w:t>
      </w:r>
      <w:r>
        <w:rPr/>
        <w:t>de</w:t>
      </w:r>
      <w:r>
        <w:rPr>
          <w:spacing w:val="-13"/>
        </w:rPr>
        <w:t> </w:t>
      </w:r>
      <w:r>
        <w:rPr/>
        <w:t>Investigaciones</w:t>
      </w:r>
      <w:r>
        <w:rPr>
          <w:spacing w:val="-4"/>
        </w:rPr>
        <w:t> </w:t>
      </w:r>
      <w:r>
        <w:rPr/>
        <w:t>y</w:t>
      </w:r>
      <w:r>
        <w:rPr>
          <w:spacing w:val="-16"/>
        </w:rPr>
        <w:t> </w:t>
      </w:r>
      <w:r>
        <w:rPr/>
        <w:t>Estudios</w:t>
      </w:r>
      <w:r>
        <w:rPr>
          <w:spacing w:val="-9"/>
        </w:rPr>
        <w:t> </w:t>
      </w:r>
      <w:r>
        <w:rPr/>
        <w:t>Avanzados</w:t>
      </w:r>
      <w:r>
        <w:rPr>
          <w:spacing w:val="-9"/>
        </w:rPr>
        <w:t> </w:t>
      </w:r>
      <w:r>
        <w:rPr/>
        <w:t>en</w:t>
      </w:r>
      <w:r>
        <w:rPr>
          <w:spacing w:val="-12"/>
        </w:rPr>
        <w:t> </w:t>
      </w:r>
      <w:r>
        <w:rPr/>
        <w:t>Salud Animal (CIESA), de </w:t>
      </w:r>
      <w:r>
        <w:rPr>
          <w:spacing w:val="-5"/>
        </w:rPr>
        <w:t>la </w:t>
      </w:r>
      <w:r>
        <w:rPr/>
        <w:t>Facultad de Medicina Veterinaria y Zootecnia perteneciente a </w:t>
      </w:r>
      <w:r>
        <w:rPr>
          <w:spacing w:val="-5"/>
        </w:rPr>
        <w:t>la </w:t>
      </w:r>
      <w:r>
        <w:rPr/>
        <w:t>Universidad</w:t>
      </w:r>
      <w:r>
        <w:rPr>
          <w:spacing w:val="-3"/>
        </w:rPr>
        <w:t> </w:t>
      </w:r>
      <w:r>
        <w:rPr/>
        <w:t>Autónoma</w:t>
      </w:r>
      <w:r>
        <w:rPr>
          <w:spacing w:val="-8"/>
        </w:rPr>
        <w:t> </w:t>
      </w:r>
      <w:r>
        <w:rPr/>
        <w:t>de</w:t>
      </w:r>
      <w:r>
        <w:rPr>
          <w:spacing w:val="-8"/>
        </w:rPr>
        <w:t> </w:t>
      </w:r>
      <w:r>
        <w:rPr/>
        <w:t>Estado</w:t>
      </w:r>
      <w:r>
        <w:rPr>
          <w:spacing w:val="-3"/>
        </w:rPr>
        <w:t> </w:t>
      </w:r>
      <w:r>
        <w:rPr/>
        <w:t>de</w:t>
      </w:r>
      <w:r>
        <w:rPr>
          <w:spacing w:val="-13"/>
        </w:rPr>
        <w:t> </w:t>
      </w:r>
      <w:r>
        <w:rPr/>
        <w:t>México</w:t>
      </w:r>
      <w:r>
        <w:rPr>
          <w:spacing w:val="1"/>
        </w:rPr>
        <w:t> </w:t>
      </w:r>
      <w:r>
        <w:rPr/>
        <w:t>(UAEM).</w:t>
      </w:r>
      <w:r>
        <w:rPr>
          <w:spacing w:val="-9"/>
        </w:rPr>
        <w:t> </w:t>
      </w:r>
      <w:r>
        <w:rPr/>
        <w:t>El</w:t>
      </w:r>
      <w:r>
        <w:rPr>
          <w:spacing w:val="-16"/>
        </w:rPr>
        <w:t> </w:t>
      </w:r>
      <w:r>
        <w:rPr/>
        <w:t>CIESA</w:t>
      </w:r>
      <w:r>
        <w:rPr>
          <w:spacing w:val="-12"/>
        </w:rPr>
        <w:t> </w:t>
      </w:r>
      <w:r>
        <w:rPr/>
        <w:t>se</w:t>
      </w:r>
      <w:r>
        <w:rPr>
          <w:spacing w:val="-8"/>
        </w:rPr>
        <w:t> </w:t>
      </w:r>
      <w:r>
        <w:rPr/>
        <w:t>localiza</w:t>
      </w:r>
      <w:r>
        <w:rPr>
          <w:spacing w:val="-8"/>
        </w:rPr>
        <w:t> </w:t>
      </w:r>
      <w:r>
        <w:rPr/>
        <w:t>en</w:t>
      </w:r>
      <w:r>
        <w:rPr>
          <w:spacing w:val="-12"/>
        </w:rPr>
        <w:t> </w:t>
      </w:r>
      <w:r>
        <w:rPr/>
        <w:t>el</w:t>
      </w:r>
      <w:r>
        <w:rPr>
          <w:spacing w:val="-16"/>
        </w:rPr>
        <w:t> </w:t>
      </w:r>
      <w:r>
        <w:rPr/>
        <w:t>kilómetro</w:t>
      </w:r>
    </w:p>
    <w:p>
      <w:pPr>
        <w:pStyle w:val="BodyText"/>
        <w:spacing w:line="360" w:lineRule="auto" w:before="4"/>
        <w:ind w:left="152" w:right="99"/>
        <w:jc w:val="both"/>
      </w:pPr>
      <w:r>
        <w:rPr/>
        <w:t>12.5 de </w:t>
      </w:r>
      <w:r>
        <w:rPr>
          <w:spacing w:val="-5"/>
        </w:rPr>
        <w:t>la </w:t>
      </w:r>
      <w:r>
        <w:rPr/>
        <w:t>carretera Panamericana en su tramo Toluca-Atlacomulco. Una segunda parte se llevó a cabo en el Laboratorio de Biotecnología y Patología Acuática, Universidad Austral de Chile (UACh), Valdivia, AP.50-9000, Chile. La tesis contempla el diseño de un experimento </w:t>
      </w:r>
      <w:r>
        <w:rPr>
          <w:i/>
        </w:rPr>
        <w:t>in vivo </w:t>
      </w:r>
      <w:r>
        <w:rPr/>
        <w:t>y otro </w:t>
      </w:r>
      <w:r>
        <w:rPr>
          <w:i/>
        </w:rPr>
        <w:t>in vitro</w:t>
      </w:r>
      <w:r>
        <w:rPr/>
        <w:t>. Para abordar estos aspectos, en este trabajo se implementaron herramientas de biología molecular </w:t>
      </w:r>
      <w:r>
        <w:rPr>
          <w:spacing w:val="-3"/>
        </w:rPr>
        <w:t>como </w:t>
      </w:r>
      <w:r>
        <w:rPr/>
        <w:t>RT-PCR en tiempo real para el análisis y </w:t>
      </w:r>
      <w:r>
        <w:rPr>
          <w:spacing w:val="-3"/>
        </w:rPr>
        <w:t>la </w:t>
      </w:r>
      <w:r>
        <w:rPr/>
        <w:t>cuantificación de expresión génica celular y titulación viral mediante curva estándar.</w:t>
      </w:r>
      <w:r>
        <w:rPr>
          <w:spacing w:val="-14"/>
        </w:rPr>
        <w:t> </w:t>
      </w:r>
      <w:r>
        <w:rPr/>
        <w:t>Además</w:t>
      </w:r>
      <w:r>
        <w:rPr>
          <w:spacing w:val="-18"/>
        </w:rPr>
        <w:t> </w:t>
      </w:r>
      <w:r>
        <w:rPr/>
        <w:t>se</w:t>
      </w:r>
      <w:r>
        <w:rPr>
          <w:spacing w:val="-13"/>
        </w:rPr>
        <w:t> </w:t>
      </w:r>
      <w:r>
        <w:rPr/>
        <w:t>implementó</w:t>
      </w:r>
      <w:r>
        <w:rPr>
          <w:spacing w:val="-16"/>
        </w:rPr>
        <w:t> </w:t>
      </w:r>
      <w:r>
        <w:rPr>
          <w:spacing w:val="-3"/>
        </w:rPr>
        <w:t>la</w:t>
      </w:r>
      <w:r>
        <w:rPr>
          <w:spacing w:val="-16"/>
        </w:rPr>
        <w:t> </w:t>
      </w:r>
      <w:r>
        <w:rPr/>
        <w:t>técnica</w:t>
      </w:r>
      <w:r>
        <w:rPr>
          <w:spacing w:val="-16"/>
        </w:rPr>
        <w:t> </w:t>
      </w:r>
      <w:r>
        <w:rPr/>
        <w:t>de</w:t>
      </w:r>
      <w:r>
        <w:rPr>
          <w:spacing w:val="-16"/>
        </w:rPr>
        <w:t> </w:t>
      </w:r>
      <w:r>
        <w:rPr/>
        <w:t>Western</w:t>
      </w:r>
      <w:r>
        <w:rPr>
          <w:spacing w:val="-20"/>
        </w:rPr>
        <w:t> </w:t>
      </w:r>
      <w:r>
        <w:rPr/>
        <w:t>Blot</w:t>
      </w:r>
      <w:r>
        <w:rPr>
          <w:spacing w:val="-6"/>
        </w:rPr>
        <w:t> </w:t>
      </w:r>
      <w:r>
        <w:rPr/>
        <w:t>para</w:t>
      </w:r>
      <w:r>
        <w:rPr>
          <w:spacing w:val="-16"/>
        </w:rPr>
        <w:t> </w:t>
      </w:r>
      <w:r>
        <w:rPr>
          <w:spacing w:val="-5"/>
        </w:rPr>
        <w:t>la</w:t>
      </w:r>
      <w:r>
        <w:rPr>
          <w:spacing w:val="-16"/>
        </w:rPr>
        <w:t> </w:t>
      </w:r>
      <w:r>
        <w:rPr/>
        <w:t>cuantificación</w:t>
      </w:r>
      <w:r>
        <w:rPr>
          <w:spacing w:val="-18"/>
        </w:rPr>
        <w:t> </w:t>
      </w:r>
      <w:r>
        <w:rPr/>
        <w:t>de</w:t>
      </w:r>
      <w:r>
        <w:rPr>
          <w:spacing w:val="-16"/>
        </w:rPr>
        <w:t> </w:t>
      </w:r>
      <w:r>
        <w:rPr/>
        <w:t>proteína fosforilada.</w:t>
      </w:r>
    </w:p>
    <w:p>
      <w:pPr>
        <w:pStyle w:val="BodyText"/>
      </w:pPr>
    </w:p>
    <w:p>
      <w:pPr>
        <w:pStyle w:val="Heading2"/>
        <w:numPr>
          <w:ilvl w:val="2"/>
          <w:numId w:val="11"/>
        </w:numPr>
        <w:tabs>
          <w:tab w:pos="815" w:val="left" w:leader="none"/>
        </w:tabs>
        <w:spacing w:line="240" w:lineRule="auto" w:before="146" w:after="0"/>
        <w:ind w:left="814" w:right="0" w:hanging="599"/>
        <w:jc w:val="both"/>
        <w:rPr>
          <w:i/>
        </w:rPr>
      </w:pPr>
      <w:bookmarkStart w:name="_bookmark28" w:id="50"/>
      <w:bookmarkEnd w:id="50"/>
      <w:r>
        <w:rPr>
          <w:b w:val="0"/>
          <w:i w:val="0"/>
        </w:rPr>
      </w:r>
      <w:bookmarkStart w:name="_bookmark28" w:id="51"/>
      <w:bookmarkEnd w:id="51"/>
      <w:r>
        <w:rPr>
          <w:i/>
        </w:rPr>
        <w:t>P</w:t>
      </w:r>
      <w:r>
        <w:rPr>
          <w:i/>
        </w:rPr>
        <w:t>eces (experimento in</w:t>
      </w:r>
      <w:r>
        <w:rPr>
          <w:i/>
          <w:spacing w:val="-8"/>
        </w:rPr>
        <w:t> </w:t>
      </w:r>
      <w:r>
        <w:rPr>
          <w:i/>
        </w:rPr>
        <w:t>vivo)</w:t>
      </w:r>
    </w:p>
    <w:p>
      <w:pPr>
        <w:pStyle w:val="BodyText"/>
        <w:spacing w:line="360" w:lineRule="auto" w:before="36"/>
        <w:ind w:left="152" w:right="102"/>
        <w:jc w:val="both"/>
      </w:pPr>
      <w:r>
        <w:rPr/>
        <w:t>Un</w:t>
      </w:r>
      <w:r>
        <w:rPr>
          <w:spacing w:val="-11"/>
        </w:rPr>
        <w:t> </w:t>
      </w:r>
      <w:r>
        <w:rPr/>
        <w:t>total</w:t>
      </w:r>
      <w:r>
        <w:rPr>
          <w:spacing w:val="-15"/>
        </w:rPr>
        <w:t> </w:t>
      </w:r>
      <w:r>
        <w:rPr/>
        <w:t>de</w:t>
      </w:r>
      <w:r>
        <w:rPr>
          <w:spacing w:val="-7"/>
        </w:rPr>
        <w:t> </w:t>
      </w:r>
      <w:r>
        <w:rPr/>
        <w:t>198</w:t>
      </w:r>
      <w:r>
        <w:rPr>
          <w:spacing w:val="-6"/>
        </w:rPr>
        <w:t> </w:t>
      </w:r>
      <w:r>
        <w:rPr/>
        <w:t>alevines</w:t>
      </w:r>
      <w:r>
        <w:rPr>
          <w:spacing w:val="-8"/>
        </w:rPr>
        <w:t> </w:t>
      </w:r>
      <w:r>
        <w:rPr/>
        <w:t>de</w:t>
      </w:r>
      <w:r>
        <w:rPr>
          <w:spacing w:val="-7"/>
        </w:rPr>
        <w:t> </w:t>
      </w:r>
      <w:r>
        <w:rPr/>
        <w:t>trucha</w:t>
      </w:r>
      <w:r>
        <w:rPr>
          <w:spacing w:val="-7"/>
        </w:rPr>
        <w:t> </w:t>
      </w:r>
      <w:r>
        <w:rPr/>
        <w:t>arcoíris</w:t>
      </w:r>
      <w:r>
        <w:rPr>
          <w:spacing w:val="-8"/>
        </w:rPr>
        <w:t> </w:t>
      </w:r>
      <w:r>
        <w:rPr/>
        <w:t>obtenidos</w:t>
      </w:r>
      <w:r>
        <w:rPr>
          <w:spacing w:val="-8"/>
        </w:rPr>
        <w:t> </w:t>
      </w:r>
      <w:r>
        <w:rPr/>
        <w:t>de</w:t>
      </w:r>
      <w:r>
        <w:rPr>
          <w:spacing w:val="-7"/>
        </w:rPr>
        <w:t> </w:t>
      </w:r>
      <w:r>
        <w:rPr/>
        <w:t>una</w:t>
      </w:r>
      <w:r>
        <w:rPr>
          <w:spacing w:val="-7"/>
        </w:rPr>
        <w:t> </w:t>
      </w:r>
      <w:r>
        <w:rPr/>
        <w:t>finca</w:t>
      </w:r>
      <w:r>
        <w:rPr>
          <w:spacing w:val="-7"/>
        </w:rPr>
        <w:t> </w:t>
      </w:r>
      <w:r>
        <w:rPr/>
        <w:t>con</w:t>
      </w:r>
      <w:r>
        <w:rPr>
          <w:spacing w:val="-11"/>
        </w:rPr>
        <w:t> </w:t>
      </w:r>
      <w:r>
        <w:rPr/>
        <w:t>historial</w:t>
      </w:r>
      <w:r>
        <w:rPr>
          <w:spacing w:val="-10"/>
        </w:rPr>
        <w:t> </w:t>
      </w:r>
      <w:r>
        <w:rPr/>
        <w:t>libre</w:t>
      </w:r>
      <w:r>
        <w:rPr>
          <w:spacing w:val="-7"/>
        </w:rPr>
        <w:t> </w:t>
      </w:r>
      <w:r>
        <w:rPr/>
        <w:t>de</w:t>
      </w:r>
      <w:r>
        <w:rPr>
          <w:spacing w:val="-7"/>
        </w:rPr>
        <w:t> </w:t>
      </w:r>
      <w:r>
        <w:rPr/>
        <w:t>IPNV fueron</w:t>
      </w:r>
      <w:r>
        <w:rPr>
          <w:spacing w:val="-15"/>
        </w:rPr>
        <w:t> </w:t>
      </w:r>
      <w:r>
        <w:rPr/>
        <w:t>transportados</w:t>
      </w:r>
      <w:r>
        <w:rPr>
          <w:spacing w:val="-18"/>
        </w:rPr>
        <w:t> </w:t>
      </w:r>
      <w:r>
        <w:rPr/>
        <w:t>al</w:t>
      </w:r>
      <w:r>
        <w:rPr>
          <w:spacing w:val="-15"/>
        </w:rPr>
        <w:t> </w:t>
      </w:r>
      <w:r>
        <w:rPr/>
        <w:t>laboratorio</w:t>
      </w:r>
      <w:r>
        <w:rPr>
          <w:spacing w:val="-7"/>
        </w:rPr>
        <w:t> </w:t>
      </w:r>
      <w:r>
        <w:rPr/>
        <w:t>de</w:t>
      </w:r>
      <w:r>
        <w:rPr>
          <w:spacing w:val="-16"/>
        </w:rPr>
        <w:t> </w:t>
      </w:r>
      <w:r>
        <w:rPr/>
        <w:t>Virología</w:t>
      </w:r>
      <w:r>
        <w:rPr>
          <w:spacing w:val="-13"/>
        </w:rPr>
        <w:t> </w:t>
      </w:r>
      <w:r>
        <w:rPr/>
        <w:t>del</w:t>
      </w:r>
      <w:r>
        <w:rPr>
          <w:spacing w:val="-15"/>
        </w:rPr>
        <w:t> </w:t>
      </w:r>
      <w:r>
        <w:rPr/>
        <w:t>Centro</w:t>
      </w:r>
      <w:r>
        <w:rPr>
          <w:spacing w:val="-12"/>
        </w:rPr>
        <w:t> </w:t>
      </w:r>
      <w:r>
        <w:rPr/>
        <w:t>de</w:t>
      </w:r>
      <w:r>
        <w:rPr>
          <w:spacing w:val="-16"/>
        </w:rPr>
        <w:t> </w:t>
      </w:r>
      <w:r>
        <w:rPr/>
        <w:t>Investigación</w:t>
      </w:r>
      <w:r>
        <w:rPr>
          <w:spacing w:val="-15"/>
        </w:rPr>
        <w:t> </w:t>
      </w:r>
      <w:r>
        <w:rPr/>
        <w:t>en</w:t>
      </w:r>
      <w:r>
        <w:rPr>
          <w:spacing w:val="-15"/>
        </w:rPr>
        <w:t> </w:t>
      </w:r>
      <w:r>
        <w:rPr/>
        <w:t>Salud</w:t>
      </w:r>
      <w:r>
        <w:rPr>
          <w:spacing w:val="-12"/>
        </w:rPr>
        <w:t> </w:t>
      </w:r>
      <w:r>
        <w:rPr/>
        <w:t>Animal (CIESA), México. Antes de iniciar el experimento a una muestra de peces se </w:t>
      </w:r>
      <w:r>
        <w:rPr>
          <w:spacing w:val="-3"/>
        </w:rPr>
        <w:t>les </w:t>
      </w:r>
      <w:r>
        <w:rPr/>
        <w:t>realizó un examen para descartar </w:t>
      </w:r>
      <w:r>
        <w:rPr>
          <w:spacing w:val="-5"/>
        </w:rPr>
        <w:t>la </w:t>
      </w:r>
      <w:r>
        <w:rPr/>
        <w:t>presencia de otros agentes patógenos. Grupos de 66 peces fueron distribuidos al azar en tres peceras de </w:t>
      </w:r>
      <w:r>
        <w:rPr>
          <w:spacing w:val="-3"/>
        </w:rPr>
        <w:t>vidrio </w:t>
      </w:r>
      <w:r>
        <w:rPr/>
        <w:t>conteniendo aproximadamente 20 L de agua a distintas temperaturas (8,12 y 16°C) y fueron provistos con aireación artificial. Los alevines fueron aclimatados durante un periodo de 20 días. Incubadoras fueron usadas para alcanzar las temperaturas específicas del agua. Peces control (</w:t>
      </w:r>
      <w:r>
        <w:rPr>
          <w:i/>
        </w:rPr>
        <w:t>n</w:t>
      </w:r>
      <w:r>
        <w:rPr/>
        <w:t>=12) fueron colocados en peceras a cada una de las tres temperaturas con el </w:t>
      </w:r>
      <w:r>
        <w:rPr>
          <w:spacing w:val="-3"/>
        </w:rPr>
        <w:t>fin </w:t>
      </w:r>
      <w:r>
        <w:rPr/>
        <w:t>de monitorear</w:t>
      </w:r>
      <w:r>
        <w:rPr>
          <w:spacing w:val="-8"/>
        </w:rPr>
        <w:t> </w:t>
      </w:r>
      <w:r>
        <w:rPr/>
        <w:t>mortalidad.</w:t>
      </w:r>
    </w:p>
    <w:p>
      <w:pPr>
        <w:pStyle w:val="BodyText"/>
      </w:pPr>
    </w:p>
    <w:p>
      <w:pPr>
        <w:pStyle w:val="Heading2"/>
        <w:numPr>
          <w:ilvl w:val="2"/>
          <w:numId w:val="11"/>
        </w:numPr>
        <w:tabs>
          <w:tab w:pos="757" w:val="left" w:leader="none"/>
        </w:tabs>
        <w:spacing w:line="240" w:lineRule="auto" w:before="150" w:after="0"/>
        <w:ind w:left="756" w:right="0" w:hanging="604"/>
        <w:jc w:val="both"/>
        <w:rPr>
          <w:i/>
        </w:rPr>
      </w:pPr>
      <w:bookmarkStart w:name="_bookmark29" w:id="52"/>
      <w:bookmarkEnd w:id="52"/>
      <w:r>
        <w:rPr>
          <w:b w:val="0"/>
          <w:i w:val="0"/>
        </w:rPr>
      </w:r>
      <w:bookmarkStart w:name="_bookmark29" w:id="53"/>
      <w:bookmarkEnd w:id="53"/>
      <w:r>
        <w:rPr>
          <w:i/>
        </w:rPr>
        <w:t>V</w:t>
      </w:r>
      <w:r>
        <w:rPr>
          <w:i/>
        </w:rPr>
        <w:t>irus</w:t>
      </w:r>
    </w:p>
    <w:p>
      <w:pPr>
        <w:pStyle w:val="BodyText"/>
        <w:spacing w:line="360" w:lineRule="auto" w:before="36"/>
        <w:ind w:left="152" w:right="101"/>
        <w:jc w:val="both"/>
      </w:pPr>
      <w:r>
        <w:rPr/>
        <w:t>Un aislado de IPNV (cepa </w:t>
      </w:r>
      <w:r>
        <w:rPr>
          <w:spacing w:val="-3"/>
        </w:rPr>
        <w:t>Buhl) </w:t>
      </w:r>
      <w:r>
        <w:rPr/>
        <w:t>similar al obtenido por (Ortega </w:t>
      </w:r>
      <w:r>
        <w:rPr>
          <w:i/>
        </w:rPr>
        <w:t>et al</w:t>
      </w:r>
      <w:r>
        <w:rPr/>
        <w:t>., 2002) y suministrado por el CIESA </w:t>
      </w:r>
      <w:r>
        <w:rPr>
          <w:spacing w:val="-3"/>
        </w:rPr>
        <w:t>fue </w:t>
      </w:r>
      <w:r>
        <w:rPr/>
        <w:t>replicado en botellas de 500 </w:t>
      </w:r>
      <w:r>
        <w:rPr>
          <w:spacing w:val="-5"/>
        </w:rPr>
        <w:t>mL </w:t>
      </w:r>
      <w:r>
        <w:rPr/>
        <w:t>por inoculación en células (CHSE-214) con 90% de confluencia mantenidas en Medio esencial </w:t>
      </w:r>
      <w:r>
        <w:rPr>
          <w:spacing w:val="-3"/>
        </w:rPr>
        <w:t>mínimo </w:t>
      </w:r>
      <w:r>
        <w:rPr/>
        <w:t>(MEM) y suplementadas con100 µg/mL de estreptomicina, 60 µg de penicilina y 2% de suero fetal      bovino (FSB).</w:t>
      </w:r>
    </w:p>
    <w:p>
      <w:pPr>
        <w:spacing w:after="0" w:line="360" w:lineRule="auto"/>
        <w:jc w:val="both"/>
        <w:sectPr>
          <w:footerReference w:type="default" r:id="rId20"/>
          <w:pgSz w:w="12240" w:h="15840"/>
          <w:pgMar w:footer="1382" w:header="0" w:top="1500" w:bottom="1580" w:left="1720" w:right="1420"/>
        </w:sectPr>
      </w:pPr>
    </w:p>
    <w:p>
      <w:pPr>
        <w:pStyle w:val="BodyText"/>
        <w:spacing w:before="7"/>
        <w:rPr>
          <w:sz w:val="25"/>
        </w:rPr>
      </w:pPr>
    </w:p>
    <w:p>
      <w:pPr>
        <w:pStyle w:val="BodyText"/>
        <w:spacing w:line="360" w:lineRule="auto" w:before="70"/>
        <w:ind w:left="152" w:right="116"/>
        <w:jc w:val="both"/>
      </w:pPr>
      <w:r>
        <w:rPr/>
        <w:t>Una vez que el virus generó un extensivo efecto citopático (EPC), fue titulado mediante el método de microplaca (Reed y Muench, 1938).</w:t>
      </w:r>
    </w:p>
    <w:p>
      <w:pPr>
        <w:pStyle w:val="BodyText"/>
      </w:pPr>
    </w:p>
    <w:p>
      <w:pPr>
        <w:pStyle w:val="Heading2"/>
        <w:numPr>
          <w:ilvl w:val="2"/>
          <w:numId w:val="11"/>
        </w:numPr>
        <w:tabs>
          <w:tab w:pos="758" w:val="left" w:leader="none"/>
        </w:tabs>
        <w:spacing w:line="240" w:lineRule="auto" w:before="150" w:after="0"/>
        <w:ind w:left="757" w:right="0" w:hanging="605"/>
        <w:jc w:val="both"/>
        <w:rPr>
          <w:i/>
        </w:rPr>
      </w:pPr>
      <w:bookmarkStart w:name="_bookmark30" w:id="54"/>
      <w:bookmarkEnd w:id="54"/>
      <w:r>
        <w:rPr>
          <w:b w:val="0"/>
          <w:i w:val="0"/>
        </w:rPr>
      </w:r>
      <w:bookmarkStart w:name="_bookmark30" w:id="55"/>
      <w:bookmarkEnd w:id="55"/>
      <w:r>
        <w:rPr>
          <w:i/>
        </w:rPr>
        <w:t>I</w:t>
      </w:r>
      <w:r>
        <w:rPr>
          <w:i/>
        </w:rPr>
        <w:t>nfección</w:t>
      </w:r>
      <w:r>
        <w:rPr>
          <w:i/>
          <w:spacing w:val="-8"/>
        </w:rPr>
        <w:t> </w:t>
      </w:r>
      <w:r>
        <w:rPr>
          <w:i/>
        </w:rPr>
        <w:t>experimental</w:t>
      </w:r>
    </w:p>
    <w:p>
      <w:pPr>
        <w:pStyle w:val="BodyText"/>
        <w:spacing w:line="357" w:lineRule="auto" w:before="20"/>
        <w:ind w:left="152" w:right="119"/>
        <w:jc w:val="both"/>
      </w:pPr>
      <w:r>
        <w:rPr/>
        <w:t>Los peces fueron desafiados durante 30 minutos con una solución viral de 1x10</w:t>
      </w:r>
      <w:r>
        <w:rPr>
          <w:position w:val="9"/>
          <w:sz w:val="16"/>
        </w:rPr>
        <w:t>6,16 </w:t>
      </w:r>
      <w:r>
        <w:rPr/>
        <w:t>TCDI50/ </w:t>
      </w:r>
      <w:r>
        <w:rPr>
          <w:spacing w:val="-3"/>
        </w:rPr>
        <w:t>mL. </w:t>
      </w:r>
      <w:r>
        <w:rPr/>
        <w:t>Después fueron transferidos a otras tres peceras de vidrio (temperatura de agua 8, 12 y 16°C). Cada temperatura se monitoreó diariamente con un termómetro insertado dentro de cada pecera. Los peces fueron alimentados </w:t>
      </w:r>
      <w:r>
        <w:rPr>
          <w:i/>
        </w:rPr>
        <w:t>ad libitum </w:t>
      </w:r>
      <w:r>
        <w:rPr/>
        <w:t>con una dieta comercial pata trucha (El</w:t>
      </w:r>
      <w:r>
        <w:rPr>
          <w:spacing w:val="-18"/>
        </w:rPr>
        <w:t> </w:t>
      </w:r>
      <w:r>
        <w:rPr/>
        <w:t>Pedregal</w:t>
      </w:r>
      <w:r>
        <w:rPr>
          <w:spacing w:val="-18"/>
        </w:rPr>
        <w:t> </w:t>
      </w:r>
      <w:r>
        <w:rPr/>
        <w:t>TM</w:t>
      </w:r>
      <w:r>
        <w:rPr>
          <w:position w:val="9"/>
          <w:sz w:val="16"/>
        </w:rPr>
        <w:t>®</w:t>
      </w:r>
      <w:r>
        <w:rPr/>
        <w:t>).</w:t>
      </w:r>
      <w:r>
        <w:rPr>
          <w:spacing w:val="-8"/>
        </w:rPr>
        <w:t> </w:t>
      </w:r>
      <w:r>
        <w:rPr/>
        <w:t>El</w:t>
      </w:r>
      <w:r>
        <w:rPr>
          <w:spacing w:val="-18"/>
        </w:rPr>
        <w:t> </w:t>
      </w:r>
      <w:r>
        <w:rPr/>
        <w:t>agua</w:t>
      </w:r>
      <w:r>
        <w:rPr>
          <w:spacing w:val="-11"/>
        </w:rPr>
        <w:t> </w:t>
      </w:r>
      <w:r>
        <w:rPr/>
        <w:t>utilizada</w:t>
      </w:r>
      <w:r>
        <w:rPr>
          <w:spacing w:val="-11"/>
        </w:rPr>
        <w:t> </w:t>
      </w:r>
      <w:r>
        <w:rPr/>
        <w:t>en</w:t>
      </w:r>
      <w:r>
        <w:rPr>
          <w:spacing w:val="-10"/>
        </w:rPr>
        <w:t> </w:t>
      </w:r>
      <w:r>
        <w:rPr/>
        <w:t>las</w:t>
      </w:r>
      <w:r>
        <w:rPr>
          <w:spacing w:val="-12"/>
        </w:rPr>
        <w:t> </w:t>
      </w:r>
      <w:r>
        <w:rPr/>
        <w:t>peceras</w:t>
      </w:r>
      <w:r>
        <w:rPr>
          <w:spacing w:val="-7"/>
        </w:rPr>
        <w:t> </w:t>
      </w:r>
      <w:r>
        <w:rPr/>
        <w:t>fue</w:t>
      </w:r>
      <w:r>
        <w:rPr>
          <w:spacing w:val="-11"/>
        </w:rPr>
        <w:t> </w:t>
      </w:r>
      <w:r>
        <w:rPr/>
        <w:t>clorada</w:t>
      </w:r>
      <w:r>
        <w:rPr>
          <w:spacing w:val="-11"/>
        </w:rPr>
        <w:t> </w:t>
      </w:r>
      <w:r>
        <w:rPr/>
        <w:t>después</w:t>
      </w:r>
      <w:r>
        <w:rPr>
          <w:spacing w:val="-12"/>
        </w:rPr>
        <w:t> </w:t>
      </w:r>
      <w:r>
        <w:rPr/>
        <w:t>del</w:t>
      </w:r>
      <w:r>
        <w:rPr>
          <w:spacing w:val="-18"/>
        </w:rPr>
        <w:t> </w:t>
      </w:r>
      <w:r>
        <w:rPr/>
        <w:t>experimento</w:t>
      </w:r>
      <w:r>
        <w:rPr>
          <w:spacing w:val="-3"/>
        </w:rPr>
        <w:t> </w:t>
      </w:r>
      <w:r>
        <w:rPr/>
        <w:t>para destruir el virus (OIE,</w:t>
      </w:r>
      <w:r>
        <w:rPr>
          <w:spacing w:val="-13"/>
        </w:rPr>
        <w:t> </w:t>
      </w:r>
      <w:r>
        <w:rPr/>
        <w:t>2006).</w:t>
      </w:r>
    </w:p>
    <w:p>
      <w:pPr>
        <w:pStyle w:val="BodyText"/>
      </w:pPr>
    </w:p>
    <w:p>
      <w:pPr>
        <w:pStyle w:val="Heading2"/>
        <w:numPr>
          <w:ilvl w:val="2"/>
          <w:numId w:val="11"/>
        </w:numPr>
        <w:tabs>
          <w:tab w:pos="758" w:val="left" w:leader="none"/>
        </w:tabs>
        <w:spacing w:line="240" w:lineRule="auto" w:before="149" w:after="0"/>
        <w:ind w:left="757" w:right="0" w:hanging="605"/>
        <w:jc w:val="both"/>
        <w:rPr>
          <w:i/>
        </w:rPr>
      </w:pPr>
      <w:bookmarkStart w:name="_bookmark31" w:id="56"/>
      <w:bookmarkEnd w:id="56"/>
      <w:r>
        <w:rPr>
          <w:b w:val="0"/>
          <w:i w:val="0"/>
        </w:rPr>
      </w:r>
      <w:bookmarkStart w:name="_bookmark31" w:id="57"/>
      <w:bookmarkEnd w:id="57"/>
      <w:r>
        <w:rPr>
          <w:i/>
        </w:rPr>
        <w:t>T</w:t>
      </w:r>
      <w:r>
        <w:rPr>
          <w:i/>
        </w:rPr>
        <w:t>oma de</w:t>
      </w:r>
      <w:r>
        <w:rPr>
          <w:i/>
          <w:spacing w:val="-12"/>
        </w:rPr>
        <w:t> </w:t>
      </w:r>
      <w:r>
        <w:rPr>
          <w:i/>
        </w:rPr>
        <w:t>muestra</w:t>
      </w:r>
    </w:p>
    <w:p>
      <w:pPr>
        <w:pStyle w:val="BodyText"/>
        <w:spacing w:line="360" w:lineRule="auto" w:before="36"/>
        <w:ind w:left="152" w:right="125"/>
        <w:jc w:val="both"/>
      </w:pPr>
      <w:r>
        <w:rPr/>
        <w:t>A las 2, 4, 7, 11, 14 y 21 días después de </w:t>
      </w:r>
      <w:r>
        <w:rPr>
          <w:spacing w:val="-3"/>
        </w:rPr>
        <w:t>la </w:t>
      </w:r>
      <w:r>
        <w:rPr/>
        <w:t>infección (dpi) los peces de diferentes peceras fueron eutanasiados y asépticamente bazo y riñón (n=5) fueron extraídos, macerados y mezclados para cuantificar el virus mediante el método de microplaca (Reed y Muench, 1938).</w:t>
      </w:r>
      <w:r>
        <w:rPr>
          <w:spacing w:val="-13"/>
        </w:rPr>
        <w:t> </w:t>
      </w:r>
      <w:r>
        <w:rPr/>
        <w:t>Además,</w:t>
      </w:r>
      <w:r>
        <w:rPr>
          <w:spacing w:val="-10"/>
        </w:rPr>
        <w:t> </w:t>
      </w:r>
      <w:r>
        <w:rPr/>
        <w:t>riñón</w:t>
      </w:r>
      <w:r>
        <w:rPr>
          <w:spacing w:val="-15"/>
        </w:rPr>
        <w:t> </w:t>
      </w:r>
      <w:r>
        <w:rPr/>
        <w:t>de</w:t>
      </w:r>
      <w:r>
        <w:rPr>
          <w:spacing w:val="-16"/>
        </w:rPr>
        <w:t> </w:t>
      </w:r>
      <w:r>
        <w:rPr/>
        <w:t>otros</w:t>
      </w:r>
      <w:r>
        <w:rPr>
          <w:spacing w:val="-13"/>
        </w:rPr>
        <w:t> </w:t>
      </w:r>
      <w:r>
        <w:rPr/>
        <w:t>peces</w:t>
      </w:r>
      <w:r>
        <w:rPr>
          <w:spacing w:val="-13"/>
        </w:rPr>
        <w:t> </w:t>
      </w:r>
      <w:r>
        <w:rPr/>
        <w:t>(n=6)</w:t>
      </w:r>
      <w:r>
        <w:rPr>
          <w:spacing w:val="-10"/>
        </w:rPr>
        <w:t> </w:t>
      </w:r>
      <w:r>
        <w:rPr/>
        <w:t>en</w:t>
      </w:r>
      <w:r>
        <w:rPr>
          <w:spacing w:val="-15"/>
        </w:rPr>
        <w:t> </w:t>
      </w:r>
      <w:r>
        <w:rPr/>
        <w:t>los</w:t>
      </w:r>
      <w:r>
        <w:rPr>
          <w:spacing w:val="-9"/>
        </w:rPr>
        <w:t> </w:t>
      </w:r>
      <w:r>
        <w:rPr/>
        <w:t>mismos</w:t>
      </w:r>
      <w:r>
        <w:rPr>
          <w:spacing w:val="-13"/>
        </w:rPr>
        <w:t> </w:t>
      </w:r>
      <w:r>
        <w:rPr/>
        <w:t>días</w:t>
      </w:r>
      <w:r>
        <w:rPr>
          <w:spacing w:val="-9"/>
        </w:rPr>
        <w:t> </w:t>
      </w:r>
      <w:r>
        <w:rPr/>
        <w:t>fueron</w:t>
      </w:r>
      <w:r>
        <w:rPr>
          <w:spacing w:val="-15"/>
        </w:rPr>
        <w:t> </w:t>
      </w:r>
      <w:r>
        <w:rPr/>
        <w:t>extraídos</w:t>
      </w:r>
      <w:r>
        <w:rPr>
          <w:spacing w:val="-9"/>
        </w:rPr>
        <w:t> </w:t>
      </w:r>
      <w:r>
        <w:rPr/>
        <w:t>y</w:t>
      </w:r>
      <w:r>
        <w:rPr>
          <w:spacing w:val="-20"/>
        </w:rPr>
        <w:t> </w:t>
      </w:r>
      <w:r>
        <w:rPr/>
        <w:t>transferidos a 300 μL of RNA-later (Invitrogen®) para </w:t>
      </w:r>
      <w:r>
        <w:rPr>
          <w:spacing w:val="-4"/>
        </w:rPr>
        <w:t>su</w:t>
      </w:r>
      <w:r>
        <w:rPr>
          <w:spacing w:val="52"/>
        </w:rPr>
        <w:t> </w:t>
      </w:r>
      <w:r>
        <w:rPr/>
        <w:t>conservación durante 24h a 8 </w:t>
      </w:r>
      <w:r>
        <w:rPr>
          <w:spacing w:val="-3"/>
        </w:rPr>
        <w:t>°C. </w:t>
      </w:r>
      <w:r>
        <w:rPr/>
        <w:t>Posteriormente se almacenaron a -80 </w:t>
      </w:r>
      <w:r>
        <w:rPr>
          <w:spacing w:val="-3"/>
        </w:rPr>
        <w:t>°C </w:t>
      </w:r>
      <w:r>
        <w:rPr/>
        <w:t>para el aislamiento de RNA total y estudio de expresión de</w:t>
      </w:r>
      <w:r>
        <w:rPr>
          <w:spacing w:val="-11"/>
        </w:rPr>
        <w:t> </w:t>
      </w:r>
      <w:r>
        <w:rPr/>
        <w:t>génica.</w:t>
      </w:r>
    </w:p>
    <w:p>
      <w:pPr>
        <w:pStyle w:val="BodyText"/>
      </w:pPr>
    </w:p>
    <w:p>
      <w:pPr>
        <w:pStyle w:val="BodyText"/>
        <w:spacing w:before="1"/>
        <w:rPr>
          <w:sz w:val="33"/>
        </w:rPr>
      </w:pPr>
    </w:p>
    <w:p>
      <w:pPr>
        <w:pStyle w:val="Heading2"/>
        <w:numPr>
          <w:ilvl w:val="3"/>
          <w:numId w:val="11"/>
        </w:numPr>
        <w:tabs>
          <w:tab w:pos="936" w:val="left" w:leader="none"/>
        </w:tabs>
        <w:spacing w:line="240" w:lineRule="auto" w:before="0" w:after="0"/>
        <w:ind w:left="935" w:right="0" w:hanging="783"/>
        <w:jc w:val="both"/>
        <w:rPr>
          <w:i/>
        </w:rPr>
      </w:pPr>
      <w:bookmarkStart w:name="_bookmark32" w:id="58"/>
      <w:bookmarkEnd w:id="58"/>
      <w:r>
        <w:rPr>
          <w:b w:val="0"/>
          <w:i w:val="0"/>
        </w:rPr>
      </w:r>
      <w:bookmarkStart w:name="_bookmark32" w:id="59"/>
      <w:bookmarkEnd w:id="59"/>
      <w:r>
        <w:rPr>
          <w:i/>
        </w:rPr>
        <w:t>E</w:t>
      </w:r>
      <w:r>
        <w:rPr>
          <w:i/>
        </w:rPr>
        <w:t>xtracción de RNA total y Retro-transcripción</w:t>
      </w:r>
      <w:r>
        <w:rPr>
          <w:i/>
          <w:spacing w:val="-10"/>
        </w:rPr>
        <w:t> </w:t>
      </w:r>
      <w:r>
        <w:rPr>
          <w:i/>
        </w:rPr>
        <w:t>(RT)</w:t>
      </w:r>
    </w:p>
    <w:p>
      <w:pPr>
        <w:pStyle w:val="BodyText"/>
        <w:spacing w:line="360" w:lineRule="auto" w:before="88"/>
        <w:ind w:left="152" w:right="121"/>
        <w:jc w:val="both"/>
      </w:pPr>
      <w:r>
        <w:rPr/>
        <w:t>El </w:t>
      </w:r>
      <w:r>
        <w:rPr>
          <w:spacing w:val="2"/>
        </w:rPr>
        <w:t>RNA </w:t>
      </w:r>
      <w:r>
        <w:rPr/>
        <w:t>total fue extraído del riñón usando un kit comercial (E.Z.N.A</w:t>
      </w:r>
      <w:r>
        <w:rPr>
          <w:position w:val="9"/>
          <w:sz w:val="16"/>
        </w:rPr>
        <w:t>TM </w:t>
      </w:r>
      <w:r>
        <w:rPr/>
        <w:t>Total RNA </w:t>
      </w:r>
      <w:r>
        <w:rPr>
          <w:spacing w:val="-4"/>
        </w:rPr>
        <w:t>Kit </w:t>
      </w:r>
      <w:r>
        <w:rPr/>
        <w:t>I) (Omega-Biotek)</w:t>
      </w:r>
      <w:r>
        <w:rPr>
          <w:spacing w:val="-4"/>
        </w:rPr>
        <w:t> </w:t>
      </w:r>
      <w:r>
        <w:rPr/>
        <w:t>de</w:t>
      </w:r>
      <w:r>
        <w:rPr>
          <w:spacing w:val="-7"/>
        </w:rPr>
        <w:t> </w:t>
      </w:r>
      <w:r>
        <w:rPr/>
        <w:t>acuerdo</w:t>
      </w:r>
      <w:r>
        <w:rPr>
          <w:spacing w:val="-6"/>
        </w:rPr>
        <w:t> </w:t>
      </w:r>
      <w:r>
        <w:rPr/>
        <w:t>con</w:t>
      </w:r>
      <w:r>
        <w:rPr>
          <w:spacing w:val="-11"/>
        </w:rPr>
        <w:t> </w:t>
      </w:r>
      <w:r>
        <w:rPr>
          <w:spacing w:val="-3"/>
        </w:rPr>
        <w:t>las </w:t>
      </w:r>
      <w:r>
        <w:rPr/>
        <w:t>instrucciones</w:t>
      </w:r>
      <w:r>
        <w:rPr>
          <w:spacing w:val="-3"/>
        </w:rPr>
        <w:t> </w:t>
      </w:r>
      <w:r>
        <w:rPr/>
        <w:t>de</w:t>
      </w:r>
      <w:r>
        <w:rPr>
          <w:spacing w:val="-2"/>
        </w:rPr>
        <w:t> </w:t>
      </w:r>
      <w:r>
        <w:rPr>
          <w:spacing w:val="-5"/>
        </w:rPr>
        <w:t>la</w:t>
      </w:r>
      <w:r>
        <w:rPr>
          <w:spacing w:val="-7"/>
        </w:rPr>
        <w:t> </w:t>
      </w:r>
      <w:r>
        <w:rPr/>
        <w:t>compañía.</w:t>
      </w:r>
      <w:r>
        <w:rPr>
          <w:spacing w:val="-4"/>
        </w:rPr>
        <w:t> </w:t>
      </w:r>
      <w:r>
        <w:rPr/>
        <w:t>Luego</w:t>
      </w:r>
      <w:r>
        <w:rPr>
          <w:spacing w:val="-1"/>
        </w:rPr>
        <w:t> </w:t>
      </w:r>
      <w:r>
        <w:rPr/>
        <w:t>9.4</w:t>
      </w:r>
      <w:r>
        <w:rPr>
          <w:spacing w:val="-8"/>
        </w:rPr>
        <w:t> </w:t>
      </w:r>
      <w:r>
        <w:rPr/>
        <w:t>µL</w:t>
      </w:r>
      <w:r>
        <w:rPr>
          <w:spacing w:val="-8"/>
        </w:rPr>
        <w:t> </w:t>
      </w:r>
      <w:r>
        <w:rPr/>
        <w:t>de</w:t>
      </w:r>
      <w:r>
        <w:rPr>
          <w:spacing w:val="-7"/>
        </w:rPr>
        <w:t> </w:t>
      </w:r>
      <w:r>
        <w:rPr/>
        <w:t>RNA</w:t>
      </w:r>
      <w:r>
        <w:rPr>
          <w:spacing w:val="-7"/>
        </w:rPr>
        <w:t> </w:t>
      </w:r>
      <w:r>
        <w:rPr>
          <w:spacing w:val="-3"/>
        </w:rPr>
        <w:t>fue </w:t>
      </w:r>
      <w:r>
        <w:rPr/>
        <w:t>incubado</w:t>
      </w:r>
      <w:r>
        <w:rPr>
          <w:spacing w:val="-1"/>
        </w:rPr>
        <w:t> </w:t>
      </w:r>
      <w:r>
        <w:rPr/>
        <w:t>en</w:t>
      </w:r>
      <w:r>
        <w:rPr>
          <w:spacing w:val="-10"/>
        </w:rPr>
        <w:t> </w:t>
      </w:r>
      <w:r>
        <w:rPr/>
        <w:t>un</w:t>
      </w:r>
      <w:r>
        <w:rPr>
          <w:spacing w:val="-10"/>
        </w:rPr>
        <w:t> </w:t>
      </w:r>
      <w:r>
        <w:rPr/>
        <w:t>termociclador</w:t>
      </w:r>
      <w:r>
        <w:rPr>
          <w:spacing w:val="-8"/>
        </w:rPr>
        <w:t> </w:t>
      </w:r>
      <w:r>
        <w:rPr/>
        <w:t>(Labnet</w:t>
      </w:r>
      <w:r>
        <w:rPr>
          <w:spacing w:val="-1"/>
        </w:rPr>
        <w:t> </w:t>
      </w:r>
      <w:r>
        <w:rPr/>
        <w:t>Multigene</w:t>
      </w:r>
      <w:r>
        <w:rPr>
          <w:spacing w:val="-6"/>
        </w:rPr>
        <w:t> </w:t>
      </w:r>
      <w:r>
        <w:rPr/>
        <w:t>Gradient)</w:t>
      </w:r>
      <w:r>
        <w:rPr>
          <w:spacing w:val="-4"/>
        </w:rPr>
        <w:t> </w:t>
      </w:r>
      <w:r>
        <w:rPr/>
        <w:t>a</w:t>
      </w:r>
      <w:r>
        <w:rPr>
          <w:spacing w:val="-11"/>
        </w:rPr>
        <w:t> </w:t>
      </w:r>
      <w:r>
        <w:rPr/>
        <w:t>37</w:t>
      </w:r>
      <w:r>
        <w:rPr>
          <w:spacing w:val="-3"/>
        </w:rPr>
        <w:t> °C</w:t>
      </w:r>
      <w:r>
        <w:rPr>
          <w:spacing w:val="-7"/>
        </w:rPr>
        <w:t> </w:t>
      </w:r>
      <w:r>
        <w:rPr/>
        <w:t>por</w:t>
      </w:r>
      <w:r>
        <w:rPr>
          <w:spacing w:val="-8"/>
        </w:rPr>
        <w:t> </w:t>
      </w:r>
      <w:r>
        <w:rPr/>
        <w:t>30</w:t>
      </w:r>
      <w:r>
        <w:rPr>
          <w:spacing w:val="-5"/>
        </w:rPr>
        <w:t> </w:t>
      </w:r>
      <w:r>
        <w:rPr/>
        <w:t>minutos</w:t>
      </w:r>
      <w:r>
        <w:rPr>
          <w:spacing w:val="-11"/>
        </w:rPr>
        <w:t> </w:t>
      </w:r>
      <w:r>
        <w:rPr/>
        <w:t>con</w:t>
      </w:r>
      <w:r>
        <w:rPr>
          <w:spacing w:val="-10"/>
        </w:rPr>
        <w:t> </w:t>
      </w:r>
      <w:r>
        <w:rPr/>
        <w:t>1</w:t>
      </w:r>
      <w:r>
        <w:rPr>
          <w:spacing w:val="-9"/>
        </w:rPr>
        <w:t> </w:t>
      </w:r>
      <w:r>
        <w:rPr/>
        <w:t>µL de RQ1 RNase-Free DNase (Promega Cat. # M6101) y 1 µL de RQ1 DNase 10X Reaction Buffer por cada muestra. Después agregamos 1 µL de solución de parada y </w:t>
      </w:r>
      <w:r>
        <w:rPr>
          <w:spacing w:val="-3"/>
        </w:rPr>
        <w:t>las </w:t>
      </w:r>
      <w:r>
        <w:rPr/>
        <w:t>muestras se incubaron a 65 °C por 10 minutos. Posteriormente a </w:t>
      </w:r>
      <w:r>
        <w:rPr>
          <w:spacing w:val="-4"/>
        </w:rPr>
        <w:t>las </w:t>
      </w:r>
      <w:r>
        <w:rPr/>
        <w:t>muestras tratadas con DNasa se les agregó una primer mezcla conteniendo 1 μL dNTPs 10mM, 1.6 μL Oligo dT15mer y fueron incubadas</w:t>
      </w:r>
      <w:r>
        <w:rPr>
          <w:spacing w:val="16"/>
        </w:rPr>
        <w:t> </w:t>
      </w:r>
      <w:r>
        <w:rPr/>
        <w:t>a</w:t>
      </w:r>
      <w:r>
        <w:rPr>
          <w:spacing w:val="17"/>
        </w:rPr>
        <w:t> </w:t>
      </w:r>
      <w:r>
        <w:rPr/>
        <w:t>60</w:t>
      </w:r>
      <w:r>
        <w:rPr>
          <w:spacing w:val="15"/>
        </w:rPr>
        <w:t> </w:t>
      </w:r>
      <w:r>
        <w:rPr>
          <w:spacing w:val="-3"/>
        </w:rPr>
        <w:t>°C</w:t>
      </w:r>
      <w:r>
        <w:rPr>
          <w:spacing w:val="16"/>
        </w:rPr>
        <w:t> </w:t>
      </w:r>
      <w:r>
        <w:rPr/>
        <w:t>por</w:t>
      </w:r>
      <w:r>
        <w:rPr>
          <w:spacing w:val="16"/>
        </w:rPr>
        <w:t> </w:t>
      </w:r>
      <w:r>
        <w:rPr/>
        <w:t>10</w:t>
      </w:r>
      <w:r>
        <w:rPr>
          <w:spacing w:val="13"/>
        </w:rPr>
        <w:t> </w:t>
      </w:r>
      <w:r>
        <w:rPr/>
        <w:t>minutos</w:t>
      </w:r>
      <w:r>
        <w:rPr>
          <w:spacing w:val="17"/>
        </w:rPr>
        <w:t> </w:t>
      </w:r>
      <w:r>
        <w:rPr/>
        <w:t>y</w:t>
      </w:r>
      <w:r>
        <w:rPr>
          <w:spacing w:val="13"/>
        </w:rPr>
        <w:t> </w:t>
      </w:r>
      <w:r>
        <w:rPr>
          <w:spacing w:val="-3"/>
        </w:rPr>
        <w:t>luego</w:t>
      </w:r>
      <w:r>
        <w:rPr>
          <w:spacing w:val="22"/>
        </w:rPr>
        <w:t> </w:t>
      </w:r>
      <w:r>
        <w:rPr/>
        <w:t>colocadas</w:t>
      </w:r>
      <w:r>
        <w:rPr>
          <w:spacing w:val="16"/>
        </w:rPr>
        <w:t> </w:t>
      </w:r>
      <w:r>
        <w:rPr/>
        <w:t>en</w:t>
      </w:r>
      <w:r>
        <w:rPr>
          <w:spacing w:val="13"/>
        </w:rPr>
        <w:t> </w:t>
      </w:r>
      <w:r>
        <w:rPr/>
        <w:t>hielo.</w:t>
      </w:r>
      <w:r>
        <w:rPr>
          <w:spacing w:val="20"/>
        </w:rPr>
        <w:t> </w:t>
      </w:r>
      <w:r>
        <w:rPr/>
        <w:t>Seguidamente</w:t>
      </w:r>
      <w:r>
        <w:rPr>
          <w:spacing w:val="17"/>
        </w:rPr>
        <w:t> </w:t>
      </w:r>
      <w:r>
        <w:rPr/>
        <w:t>una</w:t>
      </w:r>
      <w:r>
        <w:rPr>
          <w:spacing w:val="17"/>
        </w:rPr>
        <w:t> </w:t>
      </w:r>
      <w:r>
        <w:rPr/>
        <w:t>segunda</w:t>
      </w:r>
    </w:p>
    <w:p>
      <w:pPr>
        <w:spacing w:after="0" w:line="360" w:lineRule="auto"/>
        <w:jc w:val="both"/>
        <w:sectPr>
          <w:footerReference w:type="default" r:id="rId21"/>
          <w:pgSz w:w="12240" w:h="15840"/>
          <w:pgMar w:footer="1382" w:header="0" w:top="1500" w:bottom="1580" w:left="1720" w:right="1400"/>
          <w:pgNumType w:start="31"/>
        </w:sectPr>
      </w:pPr>
    </w:p>
    <w:p>
      <w:pPr>
        <w:pStyle w:val="BodyText"/>
        <w:spacing w:before="7"/>
        <w:rPr>
          <w:sz w:val="25"/>
        </w:rPr>
      </w:pPr>
    </w:p>
    <w:p>
      <w:pPr>
        <w:pStyle w:val="BodyText"/>
        <w:spacing w:before="70"/>
        <w:ind w:left="152"/>
        <w:jc w:val="both"/>
      </w:pPr>
      <w:r>
        <w:rPr/>
        <w:t>mezcla de 4 μL of M-MLV Reverse Transcriptase 5X Reaction Buffer (Promega  M531A),</w:t>
      </w:r>
    </w:p>
    <w:p>
      <w:pPr>
        <w:pStyle w:val="BodyText"/>
        <w:spacing w:line="360" w:lineRule="auto" w:before="137"/>
        <w:ind w:left="152" w:right="101"/>
        <w:jc w:val="both"/>
      </w:pPr>
      <w:r>
        <w:rPr/>
        <w:t>0.5 μL of RNasin 40U/ μL (Promega) y 0.5 μL M-MLV Reverse Transcriptase 200U/ μL (Promega) </w:t>
      </w:r>
      <w:r>
        <w:rPr>
          <w:spacing w:val="-3"/>
        </w:rPr>
        <w:t>fue </w:t>
      </w:r>
      <w:r>
        <w:rPr/>
        <w:t>agregada y se </w:t>
      </w:r>
      <w:r>
        <w:rPr>
          <w:spacing w:val="-2"/>
        </w:rPr>
        <w:t>incubo </w:t>
      </w:r>
      <w:r>
        <w:rPr/>
        <w:t>en el termociclador programado para cumplir 40 ciclos de 42 </w:t>
      </w:r>
      <w:r>
        <w:rPr>
          <w:spacing w:val="-3"/>
        </w:rPr>
        <w:t>°C </w:t>
      </w:r>
      <w:r>
        <w:rPr/>
        <w:t>durante 60 minutos y finalmente 70 </w:t>
      </w:r>
      <w:r>
        <w:rPr>
          <w:spacing w:val="-3"/>
        </w:rPr>
        <w:t>°C la </w:t>
      </w:r>
      <w:r>
        <w:rPr/>
        <w:t>extensión por 10 minutos. El volumen final</w:t>
      </w:r>
      <w:r>
        <w:rPr>
          <w:spacing w:val="-20"/>
        </w:rPr>
        <w:t> </w:t>
      </w:r>
      <w:r>
        <w:rPr/>
        <w:t>de</w:t>
      </w:r>
      <w:r>
        <w:rPr>
          <w:spacing w:val="-12"/>
        </w:rPr>
        <w:t> </w:t>
      </w:r>
      <w:r>
        <w:rPr/>
        <w:t>cada</w:t>
      </w:r>
      <w:r>
        <w:rPr>
          <w:spacing w:val="-7"/>
        </w:rPr>
        <w:t> </w:t>
      </w:r>
      <w:r>
        <w:rPr/>
        <w:t>muestra</w:t>
      </w:r>
      <w:r>
        <w:rPr>
          <w:spacing w:val="-10"/>
        </w:rPr>
        <w:t> </w:t>
      </w:r>
      <w:r>
        <w:rPr>
          <w:spacing w:val="-3"/>
        </w:rPr>
        <w:t>fue</w:t>
      </w:r>
      <w:r>
        <w:rPr>
          <w:spacing w:val="-12"/>
        </w:rPr>
        <w:t> </w:t>
      </w:r>
      <w:r>
        <w:rPr/>
        <w:t>de</w:t>
      </w:r>
      <w:r>
        <w:rPr>
          <w:spacing w:val="-12"/>
        </w:rPr>
        <w:t> </w:t>
      </w:r>
      <w:r>
        <w:rPr/>
        <w:t>20</w:t>
      </w:r>
      <w:r>
        <w:rPr>
          <w:spacing w:val="-10"/>
        </w:rPr>
        <w:t> </w:t>
      </w:r>
      <w:r>
        <w:rPr/>
        <w:t>μL.</w:t>
      </w:r>
      <w:r>
        <w:rPr>
          <w:spacing w:val="-18"/>
        </w:rPr>
        <w:t> </w:t>
      </w:r>
      <w:r>
        <w:rPr/>
        <w:t>El</w:t>
      </w:r>
      <w:r>
        <w:rPr>
          <w:spacing w:val="-20"/>
        </w:rPr>
        <w:t> </w:t>
      </w:r>
      <w:r>
        <w:rPr/>
        <w:t>protocolo</w:t>
      </w:r>
      <w:r>
        <w:rPr>
          <w:spacing w:val="-6"/>
        </w:rPr>
        <w:t> </w:t>
      </w:r>
      <w:r>
        <w:rPr/>
        <w:t>utilizado</w:t>
      </w:r>
      <w:r>
        <w:rPr>
          <w:spacing w:val="-6"/>
        </w:rPr>
        <w:t> </w:t>
      </w:r>
      <w:r>
        <w:rPr>
          <w:spacing w:val="-3"/>
        </w:rPr>
        <w:t>fue</w:t>
      </w:r>
      <w:r>
        <w:rPr>
          <w:spacing w:val="-12"/>
        </w:rPr>
        <w:t> </w:t>
      </w:r>
      <w:r>
        <w:rPr/>
        <w:t>estandarizado</w:t>
      </w:r>
      <w:r>
        <w:rPr>
          <w:spacing w:val="-6"/>
        </w:rPr>
        <w:t> </w:t>
      </w:r>
      <w:r>
        <w:rPr/>
        <w:t>en</w:t>
      </w:r>
      <w:r>
        <w:rPr>
          <w:spacing w:val="-15"/>
        </w:rPr>
        <w:t> </w:t>
      </w:r>
      <w:r>
        <w:rPr/>
        <w:t>el</w:t>
      </w:r>
      <w:r>
        <w:rPr>
          <w:spacing w:val="-20"/>
        </w:rPr>
        <w:t> </w:t>
      </w:r>
      <w:r>
        <w:rPr/>
        <w:t>Laboratorio de Biotecnología y Patología Acuática, de </w:t>
      </w:r>
      <w:r>
        <w:rPr>
          <w:spacing w:val="-5"/>
        </w:rPr>
        <w:t>la </w:t>
      </w:r>
      <w:r>
        <w:rPr/>
        <w:t>universidad Austral de</w:t>
      </w:r>
      <w:r>
        <w:rPr>
          <w:spacing w:val="-26"/>
        </w:rPr>
        <w:t> </w:t>
      </w:r>
      <w:r>
        <w:rPr/>
        <w:t>Chile.</w:t>
      </w:r>
    </w:p>
    <w:p>
      <w:pPr>
        <w:pStyle w:val="BodyText"/>
      </w:pPr>
    </w:p>
    <w:p>
      <w:pPr>
        <w:pStyle w:val="Heading2"/>
        <w:numPr>
          <w:ilvl w:val="2"/>
          <w:numId w:val="11"/>
        </w:numPr>
        <w:tabs>
          <w:tab w:pos="758" w:val="left" w:leader="none"/>
        </w:tabs>
        <w:spacing w:line="240" w:lineRule="auto" w:before="145" w:after="0"/>
        <w:ind w:left="757" w:right="0" w:hanging="605"/>
        <w:jc w:val="both"/>
        <w:rPr>
          <w:i/>
        </w:rPr>
      </w:pPr>
      <w:bookmarkStart w:name="_bookmark33" w:id="60"/>
      <w:bookmarkEnd w:id="60"/>
      <w:r>
        <w:rPr>
          <w:b w:val="0"/>
          <w:i w:val="0"/>
        </w:rPr>
      </w:r>
      <w:bookmarkStart w:name="_bookmark33" w:id="61"/>
      <w:bookmarkEnd w:id="61"/>
      <w:r>
        <w:rPr>
          <w:i/>
        </w:rPr>
        <w:t>P</w:t>
      </w:r>
      <w:r>
        <w:rPr>
          <w:i/>
        </w:rPr>
        <w:t>CR en tiempo real</w:t>
      </w:r>
      <w:r>
        <w:rPr>
          <w:i/>
          <w:spacing w:val="-9"/>
        </w:rPr>
        <w:t> </w:t>
      </w:r>
      <w:r>
        <w:rPr>
          <w:i/>
        </w:rPr>
        <w:t>(qPCR)</w:t>
      </w:r>
    </w:p>
    <w:p>
      <w:pPr>
        <w:pStyle w:val="BodyText"/>
        <w:spacing w:line="357" w:lineRule="auto" w:before="41"/>
        <w:ind w:left="152" w:right="98"/>
        <w:jc w:val="both"/>
      </w:pPr>
      <w:r>
        <w:rPr/>
        <w:t>El cDNA </w:t>
      </w:r>
      <w:r>
        <w:rPr>
          <w:spacing w:val="-3"/>
        </w:rPr>
        <w:t>fue </w:t>
      </w:r>
      <w:r>
        <w:rPr/>
        <w:t>amplificado usando el método de SYBR®Green (Applied Biosystems Step One</w:t>
      </w:r>
      <w:r>
        <w:rPr>
          <w:position w:val="9"/>
          <w:sz w:val="16"/>
        </w:rPr>
        <w:t>TM </w:t>
      </w:r>
      <w:r>
        <w:rPr/>
        <w:t>Real Time PCR system Thermal Cycling Block). La amplificación del PCR fue llevado a cabo en placas ópticas de 48 pocillos, mezclando 2 µL of cDNA, 1 µL </w:t>
      </w:r>
      <w:r>
        <w:rPr>
          <w:spacing w:val="-3"/>
        </w:rPr>
        <w:t>primer </w:t>
      </w:r>
      <w:r>
        <w:rPr/>
        <w:t>Fordward,</w:t>
      </w:r>
      <w:r>
        <w:rPr>
          <w:spacing w:val="-16"/>
        </w:rPr>
        <w:t> </w:t>
      </w:r>
      <w:r>
        <w:rPr/>
        <w:t>1</w:t>
      </w:r>
      <w:r>
        <w:rPr>
          <w:spacing w:val="-12"/>
        </w:rPr>
        <w:t> </w:t>
      </w:r>
      <w:r>
        <w:rPr/>
        <w:t>µL</w:t>
      </w:r>
      <w:r>
        <w:rPr>
          <w:spacing w:val="-16"/>
        </w:rPr>
        <w:t> </w:t>
      </w:r>
      <w:r>
        <w:rPr>
          <w:spacing w:val="-3"/>
        </w:rPr>
        <w:t>primer</w:t>
      </w:r>
      <w:r>
        <w:rPr>
          <w:spacing w:val="-12"/>
        </w:rPr>
        <w:t> </w:t>
      </w:r>
      <w:r>
        <w:rPr/>
        <w:t>Reverse,</w:t>
      </w:r>
      <w:r>
        <w:rPr>
          <w:spacing w:val="-11"/>
        </w:rPr>
        <w:t> </w:t>
      </w:r>
      <w:r>
        <w:rPr/>
        <w:t>1</w:t>
      </w:r>
      <w:r>
        <w:rPr>
          <w:spacing w:val="-11"/>
        </w:rPr>
        <w:t> </w:t>
      </w:r>
      <w:r>
        <w:rPr/>
        <w:t>µL</w:t>
      </w:r>
      <w:r>
        <w:rPr>
          <w:spacing w:val="-16"/>
        </w:rPr>
        <w:t> </w:t>
      </w:r>
      <w:r>
        <w:rPr/>
        <w:t>de</w:t>
      </w:r>
      <w:r>
        <w:rPr>
          <w:spacing w:val="-14"/>
        </w:rPr>
        <w:t> </w:t>
      </w:r>
      <w:r>
        <w:rPr/>
        <w:t>agua</w:t>
      </w:r>
      <w:r>
        <w:rPr>
          <w:spacing w:val="-19"/>
        </w:rPr>
        <w:t> </w:t>
      </w:r>
      <w:r>
        <w:rPr/>
        <w:t>de</w:t>
      </w:r>
      <w:r>
        <w:rPr>
          <w:spacing w:val="-14"/>
        </w:rPr>
        <w:t> </w:t>
      </w:r>
      <w:r>
        <w:rPr/>
        <w:t>DEPC</w:t>
      </w:r>
      <w:r>
        <w:rPr>
          <w:spacing w:val="-15"/>
        </w:rPr>
        <w:t> </w:t>
      </w:r>
      <w:r>
        <w:rPr/>
        <w:t>y</w:t>
      </w:r>
      <w:r>
        <w:rPr>
          <w:spacing w:val="-23"/>
        </w:rPr>
        <w:t> </w:t>
      </w:r>
      <w:r>
        <w:rPr/>
        <w:t>5</w:t>
      </w:r>
      <w:r>
        <w:rPr>
          <w:spacing w:val="-12"/>
        </w:rPr>
        <w:t> </w:t>
      </w:r>
      <w:r>
        <w:rPr/>
        <w:t>µL</w:t>
      </w:r>
      <w:r>
        <w:rPr>
          <w:spacing w:val="-16"/>
        </w:rPr>
        <w:t> </w:t>
      </w:r>
      <w:r>
        <w:rPr/>
        <w:t>de</w:t>
      </w:r>
      <w:r>
        <w:rPr>
          <w:spacing w:val="-14"/>
        </w:rPr>
        <w:t> </w:t>
      </w:r>
      <w:r>
        <w:rPr/>
        <w:t>SYBR®Green</w:t>
      </w:r>
      <w:r>
        <w:rPr>
          <w:spacing w:val="-18"/>
        </w:rPr>
        <w:t> </w:t>
      </w:r>
      <w:r>
        <w:rPr/>
        <w:t>PCR</w:t>
      </w:r>
      <w:r>
        <w:rPr>
          <w:spacing w:val="-15"/>
        </w:rPr>
        <w:t> </w:t>
      </w:r>
      <w:r>
        <w:rPr/>
        <w:t>Master Mix (Cat # 4344463) en una reacción de volumen final de 10 µL por muestra. Los ciclos estándar</w:t>
      </w:r>
      <w:r>
        <w:rPr>
          <w:spacing w:val="-8"/>
        </w:rPr>
        <w:t> </w:t>
      </w:r>
      <w:r>
        <w:rPr/>
        <w:t>de</w:t>
      </w:r>
      <w:r>
        <w:rPr>
          <w:spacing w:val="-10"/>
        </w:rPr>
        <w:t> </w:t>
      </w:r>
      <w:r>
        <w:rPr/>
        <w:t>amplificación</w:t>
      </w:r>
      <w:r>
        <w:rPr>
          <w:spacing w:val="-10"/>
        </w:rPr>
        <w:t> </w:t>
      </w:r>
      <w:r>
        <w:rPr/>
        <w:t>fueron</w:t>
      </w:r>
      <w:r>
        <w:rPr>
          <w:spacing w:val="-14"/>
        </w:rPr>
        <w:t> </w:t>
      </w:r>
      <w:r>
        <w:rPr/>
        <w:t>a</w:t>
      </w:r>
      <w:r>
        <w:rPr>
          <w:spacing w:val="-8"/>
        </w:rPr>
        <w:t> </w:t>
      </w:r>
      <w:r>
        <w:rPr/>
        <w:t>50</w:t>
      </w:r>
      <w:r>
        <w:rPr>
          <w:spacing w:val="-9"/>
        </w:rPr>
        <w:t> </w:t>
      </w:r>
      <w:r>
        <w:rPr>
          <w:spacing w:val="-3"/>
        </w:rPr>
        <w:t>°C</w:t>
      </w:r>
      <w:r>
        <w:rPr>
          <w:spacing w:val="-11"/>
        </w:rPr>
        <w:t> </w:t>
      </w:r>
      <w:r>
        <w:rPr/>
        <w:t>durante</w:t>
      </w:r>
      <w:r>
        <w:rPr>
          <w:spacing w:val="-11"/>
        </w:rPr>
        <w:t> </w:t>
      </w:r>
      <w:r>
        <w:rPr/>
        <w:t>2</w:t>
      </w:r>
      <w:r>
        <w:rPr>
          <w:spacing w:val="-18"/>
        </w:rPr>
        <w:t> </w:t>
      </w:r>
      <w:r>
        <w:rPr/>
        <w:t>minutos</w:t>
      </w:r>
      <w:r>
        <w:rPr>
          <w:spacing w:val="-12"/>
        </w:rPr>
        <w:t> </w:t>
      </w:r>
      <w:r>
        <w:rPr/>
        <w:t>y</w:t>
      </w:r>
      <w:r>
        <w:rPr>
          <w:spacing w:val="-18"/>
        </w:rPr>
        <w:t> </w:t>
      </w:r>
      <w:r>
        <w:rPr/>
        <w:t>95</w:t>
      </w:r>
      <w:r>
        <w:rPr>
          <w:spacing w:val="-10"/>
        </w:rPr>
        <w:t> </w:t>
      </w:r>
      <w:r>
        <w:rPr>
          <w:spacing w:val="-3"/>
        </w:rPr>
        <w:t>°C</w:t>
      </w:r>
      <w:r>
        <w:rPr>
          <w:spacing w:val="-11"/>
        </w:rPr>
        <w:t> </w:t>
      </w:r>
      <w:r>
        <w:rPr/>
        <w:t>por</w:t>
      </w:r>
      <w:r>
        <w:rPr>
          <w:spacing w:val="-13"/>
        </w:rPr>
        <w:t> </w:t>
      </w:r>
      <w:r>
        <w:rPr/>
        <w:t>10</w:t>
      </w:r>
      <w:r>
        <w:rPr>
          <w:spacing w:val="-10"/>
        </w:rPr>
        <w:t> </w:t>
      </w:r>
      <w:r>
        <w:rPr/>
        <w:t>minutos,</w:t>
      </w:r>
      <w:r>
        <w:rPr>
          <w:spacing w:val="-8"/>
        </w:rPr>
        <w:t> </w:t>
      </w:r>
      <w:r>
        <w:rPr/>
        <w:t>seguidos de 40 ciclos de 95 </w:t>
      </w:r>
      <w:r>
        <w:rPr>
          <w:spacing w:val="-3"/>
        </w:rPr>
        <w:t>°C </w:t>
      </w:r>
      <w:r>
        <w:rPr/>
        <w:t>por 15 segundos y 60 </w:t>
      </w:r>
      <w:r>
        <w:rPr>
          <w:spacing w:val="-3"/>
        </w:rPr>
        <w:t>°C </w:t>
      </w:r>
      <w:r>
        <w:rPr/>
        <w:t>por 1 minuto. Todas </w:t>
      </w:r>
      <w:r>
        <w:rPr>
          <w:spacing w:val="-4"/>
        </w:rPr>
        <w:t>las </w:t>
      </w:r>
      <w:r>
        <w:rPr/>
        <w:t>muestras fueron analizadas por triplicado. La eficiencia de los partidores </w:t>
      </w:r>
      <w:r>
        <w:rPr>
          <w:spacing w:val="-3"/>
        </w:rPr>
        <w:t>fue </w:t>
      </w:r>
      <w:r>
        <w:rPr/>
        <w:t>probada usando diluciones seriadas de un patrón inicial de concentración conocida (10</w:t>
      </w:r>
      <w:r>
        <w:rPr>
          <w:position w:val="9"/>
          <w:sz w:val="16"/>
        </w:rPr>
        <w:t>1</w:t>
      </w:r>
      <w:r>
        <w:rPr/>
        <w:t>-10</w:t>
      </w:r>
      <w:r>
        <w:rPr>
          <w:position w:val="9"/>
          <w:sz w:val="16"/>
        </w:rPr>
        <w:t>10</w:t>
      </w:r>
      <w:r>
        <w:rPr/>
        <w:t>) para producir una curva estándar.</w:t>
      </w:r>
      <w:r>
        <w:rPr>
          <w:spacing w:val="-6"/>
        </w:rPr>
        <w:t> </w:t>
      </w:r>
      <w:r>
        <w:rPr/>
        <w:t>La</w:t>
      </w:r>
      <w:r>
        <w:rPr>
          <w:spacing w:val="-9"/>
        </w:rPr>
        <w:t> </w:t>
      </w:r>
      <w:r>
        <w:rPr/>
        <w:t>cuantificación</w:t>
      </w:r>
      <w:r>
        <w:rPr>
          <w:spacing w:val="-10"/>
        </w:rPr>
        <w:t> </w:t>
      </w:r>
      <w:r>
        <w:rPr/>
        <w:t>relativa</w:t>
      </w:r>
      <w:r>
        <w:rPr>
          <w:spacing w:val="-8"/>
        </w:rPr>
        <w:t> </w:t>
      </w:r>
      <w:r>
        <w:rPr/>
        <w:t>de</w:t>
      </w:r>
      <w:r>
        <w:rPr>
          <w:spacing w:val="-8"/>
        </w:rPr>
        <w:t> </w:t>
      </w:r>
      <w:r>
        <w:rPr/>
        <w:t>los</w:t>
      </w:r>
      <w:r>
        <w:rPr>
          <w:spacing w:val="-10"/>
        </w:rPr>
        <w:t> </w:t>
      </w:r>
      <w:r>
        <w:rPr/>
        <w:t>productos</w:t>
      </w:r>
      <w:r>
        <w:rPr>
          <w:spacing w:val="-10"/>
        </w:rPr>
        <w:t> </w:t>
      </w:r>
      <w:r>
        <w:rPr/>
        <w:t>de</w:t>
      </w:r>
      <w:r>
        <w:rPr>
          <w:spacing w:val="-9"/>
        </w:rPr>
        <w:t> </w:t>
      </w:r>
      <w:r>
        <w:rPr/>
        <w:t>genes</w:t>
      </w:r>
      <w:r>
        <w:rPr>
          <w:spacing w:val="-10"/>
        </w:rPr>
        <w:t> </w:t>
      </w:r>
      <w:r>
        <w:rPr/>
        <w:t>amplificados</w:t>
      </w:r>
      <w:r>
        <w:rPr>
          <w:spacing w:val="-7"/>
        </w:rPr>
        <w:t> </w:t>
      </w:r>
      <w:r>
        <w:rPr/>
        <w:t>fue</w:t>
      </w:r>
      <w:r>
        <w:rPr>
          <w:spacing w:val="-9"/>
        </w:rPr>
        <w:t> </w:t>
      </w:r>
      <w:r>
        <w:rPr/>
        <w:t>calculada</w:t>
      </w:r>
      <w:r>
        <w:rPr>
          <w:spacing w:val="-9"/>
        </w:rPr>
        <w:t> </w:t>
      </w:r>
      <w:r>
        <w:rPr/>
        <w:t>por el método de </w:t>
      </w:r>
      <w:r>
        <w:rPr>
          <w:spacing w:val="-3"/>
        </w:rPr>
        <w:t>Livak </w:t>
      </w:r>
      <w:r>
        <w:rPr/>
        <w:t>y Schmittgen (2001). La concentración de los partidores </w:t>
      </w:r>
      <w:r>
        <w:rPr>
          <w:spacing w:val="-3"/>
        </w:rPr>
        <w:t>fue </w:t>
      </w:r>
      <w:r>
        <w:rPr/>
        <w:t>de 10 </w:t>
      </w:r>
      <w:r>
        <w:rPr>
          <w:spacing w:val="-4"/>
        </w:rPr>
        <w:t>µm.</w:t>
      </w:r>
      <w:r>
        <w:rPr>
          <w:spacing w:val="52"/>
        </w:rPr>
        <w:t> </w:t>
      </w:r>
      <w:r>
        <w:rPr/>
        <w:t>El</w:t>
      </w:r>
      <w:r>
        <w:rPr>
          <w:spacing w:val="-15"/>
        </w:rPr>
        <w:t> </w:t>
      </w:r>
      <w:r>
        <w:rPr/>
        <w:t>gen</w:t>
      </w:r>
      <w:r>
        <w:rPr>
          <w:spacing w:val="-7"/>
        </w:rPr>
        <w:t> </w:t>
      </w:r>
      <w:r>
        <w:rPr/>
        <w:t>factor</w:t>
      </w:r>
      <w:r>
        <w:rPr>
          <w:spacing w:val="-5"/>
        </w:rPr>
        <w:t> </w:t>
      </w:r>
      <w:r>
        <w:rPr/>
        <w:t>de</w:t>
      </w:r>
      <w:r>
        <w:rPr>
          <w:spacing w:val="-12"/>
        </w:rPr>
        <w:t> </w:t>
      </w:r>
      <w:r>
        <w:rPr/>
        <w:t>elongación</w:t>
      </w:r>
      <w:r>
        <w:rPr>
          <w:spacing w:val="-11"/>
        </w:rPr>
        <w:t> </w:t>
      </w:r>
      <w:r>
        <w:rPr/>
        <w:t>alfa</w:t>
      </w:r>
      <w:r>
        <w:rPr>
          <w:spacing w:val="-8"/>
        </w:rPr>
        <w:t> </w:t>
      </w:r>
      <w:r>
        <w:rPr/>
        <w:t>(ELF-1(</w:t>
      </w:r>
      <w:r>
        <w:rPr>
          <w:rFonts w:ascii="Symbol" w:hAnsi="Symbol"/>
        </w:rPr>
        <w:t></w:t>
      </w:r>
      <w:r>
        <w:rPr/>
        <w:t>))</w:t>
      </w:r>
      <w:r>
        <w:rPr>
          <w:spacing w:val="-5"/>
        </w:rPr>
        <w:t> </w:t>
      </w:r>
      <w:r>
        <w:rPr/>
        <w:t>se</w:t>
      </w:r>
      <w:r>
        <w:rPr>
          <w:spacing w:val="-7"/>
        </w:rPr>
        <w:t> </w:t>
      </w:r>
      <w:r>
        <w:rPr/>
        <w:t>utilizó</w:t>
      </w:r>
      <w:r>
        <w:rPr>
          <w:spacing w:val="-7"/>
        </w:rPr>
        <w:t> </w:t>
      </w:r>
      <w:r>
        <w:rPr/>
        <w:t>como</w:t>
      </w:r>
      <w:r>
        <w:rPr>
          <w:spacing w:val="-2"/>
        </w:rPr>
        <w:t> </w:t>
      </w:r>
      <w:r>
        <w:rPr/>
        <w:t>gen</w:t>
      </w:r>
      <w:r>
        <w:rPr>
          <w:spacing w:val="-11"/>
        </w:rPr>
        <w:t> </w:t>
      </w:r>
      <w:r>
        <w:rPr/>
        <w:t>de</w:t>
      </w:r>
      <w:r>
        <w:rPr>
          <w:spacing w:val="-12"/>
        </w:rPr>
        <w:t> </w:t>
      </w:r>
      <w:r>
        <w:rPr/>
        <w:t>referencia</w:t>
      </w:r>
      <w:r>
        <w:rPr>
          <w:spacing w:val="-4"/>
        </w:rPr>
        <w:t> </w:t>
      </w:r>
      <w:r>
        <w:rPr/>
        <w:t>endógeno.</w:t>
      </w:r>
      <w:r>
        <w:rPr>
          <w:spacing w:val="-9"/>
        </w:rPr>
        <w:t> </w:t>
      </w:r>
      <w:r>
        <w:rPr/>
        <w:t>Los datos fueron expresados como veces de </w:t>
      </w:r>
      <w:r>
        <w:rPr>
          <w:spacing w:val="-3"/>
        </w:rPr>
        <w:t>cambio </w:t>
      </w:r>
      <w:r>
        <w:rPr/>
        <w:t>de expresión de mRNA normalizado contra el gen endógeno (ELF-1(</w:t>
      </w:r>
      <w:r>
        <w:rPr>
          <w:rFonts w:ascii="Symbol" w:hAnsi="Symbol"/>
        </w:rPr>
        <w:t></w:t>
      </w:r>
      <w:r>
        <w:rPr/>
        <w:t>)) y relativo a los valores obtenidos en los alevines sin infectar. Las secuencias específicas de los partidores utilizados están documentados en el cuadro</w:t>
      </w:r>
      <w:r>
        <w:rPr>
          <w:spacing w:val="-18"/>
        </w:rPr>
        <w:t> </w:t>
      </w:r>
      <w:r>
        <w:rPr/>
        <w:t>2.</w:t>
      </w:r>
    </w:p>
    <w:p>
      <w:pPr>
        <w:spacing w:after="0" w:line="357" w:lineRule="auto"/>
        <w:jc w:val="both"/>
        <w:sectPr>
          <w:pgSz w:w="12240" w:h="15840"/>
          <w:pgMar w:header="0" w:footer="1382" w:top="1500" w:bottom="1580" w:left="1720" w:right="1420"/>
        </w:sectPr>
      </w:pPr>
    </w:p>
    <w:p>
      <w:pPr>
        <w:pStyle w:val="BodyText"/>
        <w:spacing w:before="7"/>
        <w:rPr>
          <w:sz w:val="25"/>
        </w:rPr>
      </w:pPr>
    </w:p>
    <w:p>
      <w:pPr>
        <w:pStyle w:val="BodyText"/>
        <w:spacing w:line="360" w:lineRule="auto" w:before="70" w:after="17"/>
        <w:ind w:left="152" w:right="130"/>
        <w:jc w:val="both"/>
      </w:pPr>
      <w:r>
        <w:rPr/>
        <w:t>Cuadro 2. Partidores usados para PCR tiempo real (</w:t>
      </w:r>
      <w:r>
        <w:rPr>
          <w:i/>
        </w:rPr>
        <w:t>q</w:t>
      </w:r>
      <w:r>
        <w:rPr/>
        <w:t>RT-PCR) durante el análisis de expresión de mRNA de genes antivirales después de la infección experimental con IPNV a distintas temperaturas (</w:t>
      </w:r>
      <w:r>
        <w:rPr>
          <w:b/>
        </w:rPr>
        <w:t>experimento </w:t>
      </w:r>
      <w:r>
        <w:rPr>
          <w:b/>
          <w:i/>
        </w:rPr>
        <w:t>in vivo</w:t>
      </w:r>
      <w:r>
        <w:rPr/>
        <w:t>).</w:t>
      </w:r>
    </w:p>
    <w:tbl>
      <w:tblPr>
        <w:tblW w:w="0" w:type="auto"/>
        <w:jc w:val="left"/>
        <w:tblInd w:w="1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128"/>
        <w:gridCol w:w="4566"/>
        <w:gridCol w:w="1302"/>
        <w:gridCol w:w="1825"/>
      </w:tblGrid>
      <w:tr>
        <w:trPr>
          <w:trHeight w:val="1119" w:hRule="exact"/>
        </w:trPr>
        <w:tc>
          <w:tcPr>
            <w:tcW w:w="1128" w:type="dxa"/>
            <w:shd w:val="clear" w:color="auto" w:fill="BEBEBE"/>
          </w:tcPr>
          <w:p>
            <w:pPr>
              <w:pStyle w:val="TableParagraph"/>
              <w:spacing w:before="1"/>
              <w:ind w:left="211"/>
              <w:rPr>
                <w:rFonts w:ascii="Calibri"/>
                <w:b/>
                <w:sz w:val="20"/>
              </w:rPr>
            </w:pPr>
            <w:r>
              <w:rPr>
                <w:rFonts w:ascii="Calibri"/>
                <w:b/>
                <w:sz w:val="20"/>
              </w:rPr>
              <w:t>Nombre</w:t>
            </w:r>
          </w:p>
        </w:tc>
        <w:tc>
          <w:tcPr>
            <w:tcW w:w="4566" w:type="dxa"/>
            <w:shd w:val="clear" w:color="auto" w:fill="BEBEBE"/>
          </w:tcPr>
          <w:p>
            <w:pPr>
              <w:pStyle w:val="TableParagraph"/>
              <w:tabs>
                <w:tab w:pos="2928" w:val="left" w:leader="none"/>
              </w:tabs>
              <w:spacing w:before="1"/>
              <w:ind w:left="1455" w:right="1240"/>
              <w:rPr>
                <w:rFonts w:ascii="Calibri" w:hAnsi="Calibri"/>
                <w:b/>
                <w:sz w:val="20"/>
              </w:rPr>
            </w:pPr>
            <w:r>
              <w:rPr>
                <w:rFonts w:ascii="Calibri" w:hAnsi="Calibri"/>
                <w:b/>
                <w:sz w:val="20"/>
              </w:rPr>
              <w:t>Secuencia   </w:t>
            </w:r>
            <w:r>
              <w:rPr>
                <w:rFonts w:ascii="Calibri" w:hAnsi="Calibri"/>
                <w:b/>
                <w:spacing w:val="4"/>
                <w:sz w:val="20"/>
              </w:rPr>
              <w:t> </w:t>
            </w:r>
            <w:r>
              <w:rPr>
                <w:rFonts w:ascii="Calibri" w:hAnsi="Calibri"/>
                <w:b/>
                <w:spacing w:val="-3"/>
                <w:sz w:val="20"/>
              </w:rPr>
              <w:t>5´</w:t>
            </w:r>
            <w:r>
              <w:rPr>
                <w:rFonts w:ascii="Calibri" w:hAnsi="Calibri"/>
                <w:b/>
                <w:spacing w:val="-3"/>
                <w:sz w:val="20"/>
                <w:u w:val="single"/>
              </w:rPr>
              <w:t> </w:t>
              <w:tab/>
            </w:r>
            <w:r>
              <w:rPr>
                <w:rFonts w:ascii="Calibri" w:hAnsi="Calibri"/>
                <w:b/>
                <w:spacing w:val="-3"/>
                <w:sz w:val="20"/>
              </w:rPr>
              <w:t>3´</w:t>
            </w:r>
          </w:p>
        </w:tc>
        <w:tc>
          <w:tcPr>
            <w:tcW w:w="1302" w:type="dxa"/>
            <w:shd w:val="clear" w:color="auto" w:fill="BEBEBE"/>
          </w:tcPr>
          <w:p>
            <w:pPr>
              <w:pStyle w:val="TableParagraph"/>
              <w:spacing w:line="357" w:lineRule="auto" w:before="1"/>
              <w:ind w:left="197" w:right="152"/>
              <w:jc w:val="center"/>
              <w:rPr>
                <w:rFonts w:ascii="Calibri" w:hAnsi="Calibri"/>
                <w:b/>
                <w:sz w:val="13"/>
              </w:rPr>
            </w:pPr>
            <w:r>
              <w:rPr>
                <w:rFonts w:ascii="Calibri" w:hAnsi="Calibri"/>
                <w:b/>
                <w:sz w:val="20"/>
              </w:rPr>
              <w:t>Tamaño de producto (pb)</w:t>
            </w:r>
            <w:r>
              <w:rPr>
                <w:rFonts w:ascii="Calibri" w:hAnsi="Calibri"/>
                <w:b/>
                <w:position w:val="7"/>
                <w:sz w:val="13"/>
              </w:rPr>
              <w:t>a</w:t>
            </w:r>
          </w:p>
        </w:tc>
        <w:tc>
          <w:tcPr>
            <w:tcW w:w="1825" w:type="dxa"/>
            <w:shd w:val="clear" w:color="auto" w:fill="BEBEBE"/>
          </w:tcPr>
          <w:p>
            <w:pPr>
              <w:pStyle w:val="TableParagraph"/>
              <w:spacing w:line="246" w:lineRule="exact"/>
              <w:ind w:left="655" w:right="660"/>
              <w:jc w:val="center"/>
              <w:rPr>
                <w:rFonts w:ascii="Calibri"/>
                <w:b/>
                <w:sz w:val="13"/>
              </w:rPr>
            </w:pPr>
            <w:r>
              <w:rPr>
                <w:rFonts w:ascii="Calibri"/>
                <w:b/>
                <w:sz w:val="20"/>
              </w:rPr>
              <w:t>GAN</w:t>
            </w:r>
            <w:r>
              <w:rPr>
                <w:rFonts w:ascii="Calibri"/>
                <w:b/>
                <w:position w:val="7"/>
                <w:sz w:val="13"/>
              </w:rPr>
              <w:t>b</w:t>
            </w:r>
          </w:p>
        </w:tc>
      </w:tr>
      <w:tr>
        <w:trPr>
          <w:trHeight w:val="749" w:hRule="exact"/>
        </w:trPr>
        <w:tc>
          <w:tcPr>
            <w:tcW w:w="1128" w:type="dxa"/>
          </w:tcPr>
          <w:p>
            <w:pPr>
              <w:pStyle w:val="TableParagraph"/>
              <w:spacing w:before="1"/>
              <w:ind w:left="96"/>
              <w:rPr>
                <w:rFonts w:ascii="Calibri" w:hAnsi="Calibri"/>
                <w:b/>
                <w:sz w:val="20"/>
              </w:rPr>
            </w:pPr>
            <w:r>
              <w:rPr>
                <w:rFonts w:ascii="Calibri" w:hAnsi="Calibri"/>
                <w:b/>
                <w:sz w:val="20"/>
              </w:rPr>
              <w:t>IFN-I(</w:t>
            </w:r>
            <w:r>
              <w:rPr>
                <w:rFonts w:ascii="Calibri" w:hAnsi="Calibri"/>
                <w:b/>
                <w:i/>
                <w:sz w:val="20"/>
              </w:rPr>
              <w:t>α</w:t>
            </w:r>
            <w:r>
              <w:rPr>
                <w:rFonts w:ascii="Calibri" w:hAnsi="Calibri"/>
                <w:b/>
                <w:sz w:val="20"/>
              </w:rPr>
              <w:t>)</w:t>
            </w:r>
          </w:p>
        </w:tc>
        <w:tc>
          <w:tcPr>
            <w:tcW w:w="4566" w:type="dxa"/>
          </w:tcPr>
          <w:p>
            <w:pPr>
              <w:pStyle w:val="TableParagraph"/>
              <w:spacing w:line="357" w:lineRule="auto" w:before="1"/>
              <w:ind w:left="100" w:right="1240"/>
              <w:rPr>
                <w:rFonts w:ascii="Calibri" w:hAnsi="Calibri"/>
                <w:sz w:val="20"/>
              </w:rPr>
            </w:pPr>
            <w:r>
              <w:rPr>
                <w:rFonts w:ascii="Calibri" w:hAnsi="Calibri"/>
                <w:sz w:val="20"/>
              </w:rPr>
              <w:t>F: 5’-CCTGCCATGAAACCTTGAGAAGA-3’ R:5’-TTTCCTGATGAGCTCCCATGC-3’</w:t>
            </w:r>
          </w:p>
        </w:tc>
        <w:tc>
          <w:tcPr>
            <w:tcW w:w="1302" w:type="dxa"/>
          </w:tcPr>
          <w:p>
            <w:pPr>
              <w:pStyle w:val="TableParagraph"/>
              <w:rPr>
                <w:sz w:val="20"/>
              </w:rPr>
            </w:pPr>
          </w:p>
          <w:p>
            <w:pPr>
              <w:pStyle w:val="TableParagraph"/>
              <w:spacing w:before="136"/>
              <w:ind w:right="492"/>
              <w:jc w:val="right"/>
              <w:rPr>
                <w:rFonts w:ascii="Calibri"/>
                <w:sz w:val="20"/>
              </w:rPr>
            </w:pPr>
            <w:r>
              <w:rPr>
                <w:rFonts w:ascii="Calibri"/>
                <w:sz w:val="20"/>
              </w:rPr>
              <w:t>108</w:t>
            </w:r>
          </w:p>
        </w:tc>
        <w:tc>
          <w:tcPr>
            <w:tcW w:w="1825" w:type="dxa"/>
          </w:tcPr>
          <w:p>
            <w:pPr>
              <w:pStyle w:val="TableParagraph"/>
              <w:spacing w:before="1"/>
              <w:ind w:left="96"/>
              <w:rPr>
                <w:rFonts w:ascii="Calibri"/>
                <w:sz w:val="20"/>
              </w:rPr>
            </w:pPr>
            <w:r>
              <w:rPr>
                <w:rFonts w:ascii="Calibri"/>
                <w:sz w:val="20"/>
              </w:rPr>
              <w:t>Fj184371.1</w:t>
            </w:r>
          </w:p>
        </w:tc>
      </w:tr>
      <w:tr>
        <w:trPr>
          <w:trHeight w:val="754" w:hRule="exact"/>
        </w:trPr>
        <w:tc>
          <w:tcPr>
            <w:tcW w:w="1128" w:type="dxa"/>
          </w:tcPr>
          <w:p>
            <w:pPr>
              <w:pStyle w:val="TableParagraph"/>
              <w:spacing w:before="1"/>
              <w:ind w:left="96"/>
              <w:rPr>
                <w:rFonts w:ascii="Calibri" w:hAnsi="Calibri"/>
                <w:b/>
                <w:sz w:val="20"/>
              </w:rPr>
            </w:pPr>
            <w:r>
              <w:rPr>
                <w:rFonts w:ascii="Calibri" w:hAnsi="Calibri"/>
                <w:b/>
                <w:sz w:val="20"/>
              </w:rPr>
              <w:t>STAT-1(</w:t>
            </w:r>
            <w:r>
              <w:rPr>
                <w:rFonts w:ascii="Calibri" w:hAnsi="Calibri"/>
                <w:b/>
                <w:i/>
                <w:sz w:val="20"/>
              </w:rPr>
              <w:t>α</w:t>
            </w:r>
            <w:r>
              <w:rPr>
                <w:rFonts w:ascii="Calibri" w:hAnsi="Calibri"/>
                <w:b/>
                <w:sz w:val="20"/>
              </w:rPr>
              <w:t>)</w:t>
            </w:r>
          </w:p>
        </w:tc>
        <w:tc>
          <w:tcPr>
            <w:tcW w:w="4566" w:type="dxa"/>
          </w:tcPr>
          <w:p>
            <w:pPr>
              <w:pStyle w:val="TableParagraph"/>
              <w:spacing w:line="362" w:lineRule="auto" w:before="1"/>
              <w:ind w:left="100" w:right="1826"/>
              <w:rPr>
                <w:rFonts w:ascii="Calibri" w:hAnsi="Calibri"/>
                <w:sz w:val="20"/>
              </w:rPr>
            </w:pPr>
            <w:r>
              <w:rPr>
                <w:rFonts w:ascii="Calibri" w:hAnsi="Calibri"/>
                <w:sz w:val="20"/>
              </w:rPr>
              <w:t>F: 5’-CGGGCCCTGTCACTGTTC-3’ R: 5’-GGCATACAGGGTGTCTCT-3</w:t>
            </w:r>
          </w:p>
        </w:tc>
        <w:tc>
          <w:tcPr>
            <w:tcW w:w="1302" w:type="dxa"/>
          </w:tcPr>
          <w:p>
            <w:pPr>
              <w:pStyle w:val="TableParagraph"/>
              <w:rPr>
                <w:sz w:val="20"/>
              </w:rPr>
            </w:pPr>
          </w:p>
          <w:p>
            <w:pPr>
              <w:pStyle w:val="TableParagraph"/>
              <w:spacing w:before="141"/>
              <w:ind w:right="540"/>
              <w:jc w:val="right"/>
              <w:rPr>
                <w:rFonts w:ascii="Calibri"/>
                <w:sz w:val="20"/>
              </w:rPr>
            </w:pPr>
            <w:r>
              <w:rPr>
                <w:rFonts w:ascii="Calibri"/>
                <w:sz w:val="20"/>
              </w:rPr>
              <w:t>68</w:t>
            </w:r>
          </w:p>
        </w:tc>
        <w:tc>
          <w:tcPr>
            <w:tcW w:w="1825" w:type="dxa"/>
          </w:tcPr>
          <w:p>
            <w:pPr>
              <w:pStyle w:val="TableParagraph"/>
              <w:spacing w:before="1"/>
              <w:ind w:left="96"/>
              <w:rPr>
                <w:rFonts w:ascii="Calibri"/>
                <w:sz w:val="20"/>
              </w:rPr>
            </w:pPr>
            <w:r>
              <w:rPr>
                <w:rFonts w:ascii="Calibri"/>
                <w:sz w:val="20"/>
              </w:rPr>
              <w:t>NM_001124707.1</w:t>
            </w:r>
          </w:p>
        </w:tc>
      </w:tr>
      <w:tr>
        <w:trPr>
          <w:trHeight w:val="754" w:hRule="exact"/>
        </w:trPr>
        <w:tc>
          <w:tcPr>
            <w:tcW w:w="1128" w:type="dxa"/>
          </w:tcPr>
          <w:p>
            <w:pPr>
              <w:pStyle w:val="TableParagraph"/>
              <w:spacing w:before="2"/>
              <w:ind w:left="96"/>
              <w:rPr>
                <w:rFonts w:ascii="Calibri"/>
                <w:b/>
                <w:sz w:val="20"/>
              </w:rPr>
            </w:pPr>
            <w:r>
              <w:rPr>
                <w:rFonts w:ascii="Calibri"/>
                <w:b/>
                <w:sz w:val="20"/>
              </w:rPr>
              <w:t>Mx-1</w:t>
            </w:r>
          </w:p>
        </w:tc>
        <w:tc>
          <w:tcPr>
            <w:tcW w:w="4566" w:type="dxa"/>
          </w:tcPr>
          <w:p>
            <w:pPr>
              <w:pStyle w:val="TableParagraph"/>
              <w:spacing w:line="362" w:lineRule="auto" w:before="2"/>
              <w:ind w:left="100" w:right="1577"/>
              <w:rPr>
                <w:rFonts w:ascii="Calibri" w:hAnsi="Calibri"/>
                <w:sz w:val="20"/>
              </w:rPr>
            </w:pPr>
            <w:r>
              <w:rPr>
                <w:rFonts w:ascii="Calibri" w:hAnsi="Calibri"/>
                <w:sz w:val="20"/>
              </w:rPr>
              <w:t>F: 5’-AGCTCAAACGCCTGATGAAG-3 R: 5’-ACCCCACTGAAACACACCTG-3’</w:t>
            </w:r>
          </w:p>
        </w:tc>
        <w:tc>
          <w:tcPr>
            <w:tcW w:w="1302" w:type="dxa"/>
          </w:tcPr>
          <w:p>
            <w:pPr>
              <w:pStyle w:val="TableParagraph"/>
              <w:rPr>
                <w:sz w:val="20"/>
              </w:rPr>
            </w:pPr>
          </w:p>
          <w:p>
            <w:pPr>
              <w:pStyle w:val="TableParagraph"/>
              <w:spacing w:before="141"/>
              <w:ind w:right="492"/>
              <w:jc w:val="right"/>
              <w:rPr>
                <w:rFonts w:ascii="Calibri"/>
                <w:sz w:val="20"/>
              </w:rPr>
            </w:pPr>
            <w:r>
              <w:rPr>
                <w:rFonts w:ascii="Calibri"/>
                <w:sz w:val="20"/>
              </w:rPr>
              <w:t>142</w:t>
            </w:r>
          </w:p>
        </w:tc>
        <w:tc>
          <w:tcPr>
            <w:tcW w:w="1825" w:type="dxa"/>
          </w:tcPr>
          <w:p>
            <w:pPr>
              <w:pStyle w:val="TableParagraph"/>
              <w:spacing w:before="2"/>
              <w:ind w:left="144"/>
              <w:rPr>
                <w:rFonts w:ascii="Calibri"/>
                <w:sz w:val="20"/>
              </w:rPr>
            </w:pPr>
            <w:r>
              <w:rPr>
                <w:rFonts w:ascii="Calibri"/>
                <w:sz w:val="20"/>
              </w:rPr>
              <w:t>NM_001171901</w:t>
            </w:r>
          </w:p>
        </w:tc>
      </w:tr>
      <w:tr>
        <w:trPr>
          <w:trHeight w:val="754" w:hRule="exact"/>
        </w:trPr>
        <w:tc>
          <w:tcPr>
            <w:tcW w:w="1128" w:type="dxa"/>
          </w:tcPr>
          <w:p>
            <w:pPr>
              <w:pStyle w:val="TableParagraph"/>
              <w:spacing w:before="1"/>
              <w:ind w:left="96"/>
              <w:rPr>
                <w:rFonts w:ascii="Calibri" w:hAnsi="Calibri"/>
                <w:b/>
                <w:sz w:val="20"/>
              </w:rPr>
            </w:pPr>
            <w:r>
              <w:rPr>
                <w:rFonts w:ascii="Calibri" w:hAnsi="Calibri"/>
                <w:b/>
                <w:sz w:val="20"/>
              </w:rPr>
              <w:t>ELF-1(</w:t>
            </w:r>
            <w:r>
              <w:rPr>
                <w:rFonts w:ascii="Calibri" w:hAnsi="Calibri"/>
                <w:b/>
                <w:i/>
                <w:sz w:val="20"/>
              </w:rPr>
              <w:t>α</w:t>
            </w:r>
            <w:r>
              <w:rPr>
                <w:rFonts w:ascii="Calibri" w:hAnsi="Calibri"/>
                <w:b/>
                <w:sz w:val="20"/>
              </w:rPr>
              <w:t>)</w:t>
            </w:r>
          </w:p>
        </w:tc>
        <w:tc>
          <w:tcPr>
            <w:tcW w:w="4566" w:type="dxa"/>
          </w:tcPr>
          <w:p>
            <w:pPr>
              <w:pStyle w:val="TableParagraph"/>
              <w:spacing w:line="357" w:lineRule="auto" w:before="1"/>
              <w:ind w:left="100" w:right="1592"/>
              <w:rPr>
                <w:rFonts w:ascii="Calibri" w:hAnsi="Calibri"/>
                <w:sz w:val="20"/>
              </w:rPr>
            </w:pPr>
            <w:r>
              <w:rPr>
                <w:rFonts w:ascii="Calibri" w:hAnsi="Calibri"/>
                <w:sz w:val="20"/>
              </w:rPr>
              <w:t>F: 5’-ACCCTCCTCTTGGTCGTTTC-3 R: 5’-TGATGACACCAACAGCAACA-3</w:t>
            </w:r>
          </w:p>
        </w:tc>
        <w:tc>
          <w:tcPr>
            <w:tcW w:w="1302" w:type="dxa"/>
          </w:tcPr>
          <w:p>
            <w:pPr>
              <w:pStyle w:val="TableParagraph"/>
              <w:rPr>
                <w:sz w:val="20"/>
              </w:rPr>
            </w:pPr>
          </w:p>
          <w:p>
            <w:pPr>
              <w:pStyle w:val="TableParagraph"/>
              <w:spacing w:before="136"/>
              <w:ind w:right="540"/>
              <w:jc w:val="right"/>
              <w:rPr>
                <w:rFonts w:ascii="Calibri"/>
                <w:sz w:val="20"/>
              </w:rPr>
            </w:pPr>
            <w:r>
              <w:rPr>
                <w:rFonts w:ascii="Calibri"/>
                <w:sz w:val="20"/>
              </w:rPr>
              <w:t>63</w:t>
            </w:r>
          </w:p>
        </w:tc>
        <w:tc>
          <w:tcPr>
            <w:tcW w:w="1825" w:type="dxa"/>
          </w:tcPr>
          <w:p>
            <w:pPr>
              <w:pStyle w:val="TableParagraph"/>
              <w:spacing w:before="1"/>
              <w:ind w:left="96"/>
              <w:rPr>
                <w:rFonts w:ascii="Calibri"/>
                <w:sz w:val="20"/>
              </w:rPr>
            </w:pPr>
            <w:r>
              <w:rPr>
                <w:rFonts w:ascii="Calibri"/>
                <w:sz w:val="20"/>
              </w:rPr>
              <w:t>NM_001124339.1</w:t>
            </w:r>
          </w:p>
        </w:tc>
      </w:tr>
    </w:tbl>
    <w:p>
      <w:pPr>
        <w:pStyle w:val="BodyText"/>
        <w:spacing w:before="1"/>
        <w:rPr>
          <w:sz w:val="26"/>
        </w:rPr>
      </w:pPr>
    </w:p>
    <w:p>
      <w:pPr>
        <w:pStyle w:val="BodyText"/>
        <w:spacing w:before="80"/>
        <w:ind w:left="152"/>
        <w:jc w:val="both"/>
      </w:pPr>
      <w:r>
        <w:rPr>
          <w:position w:val="9"/>
          <w:sz w:val="16"/>
        </w:rPr>
        <w:t>a  </w:t>
      </w:r>
      <w:r>
        <w:rPr/>
        <w:t>Tamaño de producto de PCR. pb (pares de base).</w:t>
      </w:r>
    </w:p>
    <w:p>
      <w:pPr>
        <w:pStyle w:val="BodyText"/>
        <w:spacing w:line="360" w:lineRule="auto" w:before="121"/>
        <w:ind w:left="152" w:right="126" w:firstLine="38"/>
        <w:jc w:val="both"/>
      </w:pPr>
      <w:r>
        <w:rPr>
          <w:position w:val="9"/>
          <w:sz w:val="16"/>
        </w:rPr>
        <w:t>b</w:t>
      </w:r>
      <w:r>
        <w:rPr/>
        <w:t>Secuencias para forward (F), reverse (R) son dados acuerdo al número de acceso del Gen bank. (GAN).</w:t>
      </w:r>
    </w:p>
    <w:p>
      <w:pPr>
        <w:pStyle w:val="BodyText"/>
      </w:pPr>
    </w:p>
    <w:p>
      <w:pPr>
        <w:pStyle w:val="Heading2"/>
        <w:numPr>
          <w:ilvl w:val="2"/>
          <w:numId w:val="11"/>
        </w:numPr>
        <w:tabs>
          <w:tab w:pos="758" w:val="left" w:leader="none"/>
        </w:tabs>
        <w:spacing w:line="240" w:lineRule="auto" w:before="150" w:after="0"/>
        <w:ind w:left="757" w:right="0" w:hanging="605"/>
        <w:jc w:val="both"/>
        <w:rPr>
          <w:i/>
        </w:rPr>
      </w:pPr>
      <w:bookmarkStart w:name="_bookmark34" w:id="62"/>
      <w:bookmarkEnd w:id="62"/>
      <w:r>
        <w:rPr>
          <w:b w:val="0"/>
          <w:i w:val="0"/>
        </w:rPr>
      </w:r>
      <w:bookmarkStart w:name="_bookmark34" w:id="63"/>
      <w:bookmarkEnd w:id="63"/>
      <w:r>
        <w:rPr>
          <w:i/>
        </w:rPr>
        <w:t>A</w:t>
      </w:r>
      <w:r>
        <w:rPr>
          <w:i/>
        </w:rPr>
        <w:t>nálisis</w:t>
      </w:r>
      <w:r>
        <w:rPr>
          <w:i/>
          <w:spacing w:val="-14"/>
        </w:rPr>
        <w:t> </w:t>
      </w:r>
      <w:r>
        <w:rPr>
          <w:i/>
        </w:rPr>
        <w:t>estadístico</w:t>
      </w:r>
    </w:p>
    <w:p>
      <w:pPr>
        <w:pStyle w:val="BodyText"/>
        <w:spacing w:line="360" w:lineRule="auto" w:before="36"/>
        <w:ind w:left="152" w:right="123" w:firstLine="62"/>
        <w:jc w:val="both"/>
      </w:pPr>
      <w:r>
        <w:rPr/>
        <w:t>La prueba de correlación de Pearson (r) </w:t>
      </w:r>
      <w:r>
        <w:rPr>
          <w:spacing w:val="-3"/>
        </w:rPr>
        <w:t>fue </w:t>
      </w:r>
      <w:r>
        <w:rPr/>
        <w:t>implementada para determinar </w:t>
      </w:r>
      <w:r>
        <w:rPr>
          <w:spacing w:val="-3"/>
        </w:rPr>
        <w:t>la </w:t>
      </w:r>
      <w:r>
        <w:rPr/>
        <w:t>asociación entre</w:t>
      </w:r>
      <w:r>
        <w:rPr>
          <w:spacing w:val="-7"/>
        </w:rPr>
        <w:t> </w:t>
      </w:r>
      <w:r>
        <w:rPr/>
        <w:t>el</w:t>
      </w:r>
      <w:r>
        <w:rPr>
          <w:spacing w:val="-15"/>
        </w:rPr>
        <w:t> </w:t>
      </w:r>
      <w:r>
        <w:rPr/>
        <w:t>titulo</w:t>
      </w:r>
      <w:r>
        <w:rPr>
          <w:spacing w:val="-1"/>
        </w:rPr>
        <w:t> </w:t>
      </w:r>
      <w:r>
        <w:rPr/>
        <w:t>viral</w:t>
      </w:r>
      <w:r>
        <w:rPr>
          <w:spacing w:val="-10"/>
        </w:rPr>
        <w:t> </w:t>
      </w:r>
      <w:r>
        <w:rPr/>
        <w:t>(n=5) y</w:t>
      </w:r>
      <w:r>
        <w:rPr>
          <w:spacing w:val="-11"/>
        </w:rPr>
        <w:t> </w:t>
      </w:r>
      <w:r>
        <w:rPr/>
        <w:t>los</w:t>
      </w:r>
      <w:r>
        <w:rPr>
          <w:spacing w:val="-8"/>
        </w:rPr>
        <w:t> </w:t>
      </w:r>
      <w:r>
        <w:rPr/>
        <w:t>días</w:t>
      </w:r>
      <w:r>
        <w:rPr>
          <w:spacing w:val="-8"/>
        </w:rPr>
        <w:t> </w:t>
      </w:r>
      <w:r>
        <w:rPr/>
        <w:t>post</w:t>
      </w:r>
      <w:r>
        <w:rPr>
          <w:spacing w:val="-5"/>
        </w:rPr>
        <w:t> </w:t>
      </w:r>
      <w:r>
        <w:rPr/>
        <w:t>infección</w:t>
      </w:r>
      <w:r>
        <w:rPr>
          <w:spacing w:val="-11"/>
        </w:rPr>
        <w:t> </w:t>
      </w:r>
      <w:r>
        <w:rPr/>
        <w:t>(dpi) y</w:t>
      </w:r>
      <w:r>
        <w:rPr>
          <w:spacing w:val="-15"/>
        </w:rPr>
        <w:t> </w:t>
      </w:r>
      <w:r>
        <w:rPr/>
        <w:t>entre</w:t>
      </w:r>
      <w:r>
        <w:rPr>
          <w:spacing w:val="-7"/>
        </w:rPr>
        <w:t> </w:t>
      </w:r>
      <w:r>
        <w:rPr/>
        <w:t>el</w:t>
      </w:r>
      <w:r>
        <w:rPr>
          <w:spacing w:val="-15"/>
        </w:rPr>
        <w:t> </w:t>
      </w:r>
      <w:r>
        <w:rPr/>
        <w:t>titulo</w:t>
      </w:r>
      <w:r>
        <w:rPr>
          <w:spacing w:val="-1"/>
        </w:rPr>
        <w:t> </w:t>
      </w:r>
      <w:r>
        <w:rPr/>
        <w:t>viral</w:t>
      </w:r>
      <w:r>
        <w:rPr>
          <w:spacing w:val="-15"/>
        </w:rPr>
        <w:t> </w:t>
      </w:r>
      <w:r>
        <w:rPr/>
        <w:t>con</w:t>
      </w:r>
      <w:r>
        <w:rPr>
          <w:spacing w:val="-6"/>
        </w:rPr>
        <w:t> </w:t>
      </w:r>
      <w:r>
        <w:rPr>
          <w:spacing w:val="-3"/>
        </w:rPr>
        <w:t>la</w:t>
      </w:r>
      <w:r>
        <w:rPr>
          <w:spacing w:val="-7"/>
        </w:rPr>
        <w:t> </w:t>
      </w:r>
      <w:r>
        <w:rPr/>
        <w:t>expresión de genes (veces de cambio). </w:t>
      </w:r>
      <w:r>
        <w:rPr>
          <w:spacing w:val="3"/>
        </w:rPr>
        <w:t>El </w:t>
      </w:r>
      <w:r>
        <w:rPr/>
        <w:t>análisis de </w:t>
      </w:r>
      <w:r>
        <w:rPr>
          <w:spacing w:val="-3"/>
        </w:rPr>
        <w:t>la </w:t>
      </w:r>
      <w:r>
        <w:rPr/>
        <w:t>varianza (one-way Anova) </w:t>
      </w:r>
      <w:r>
        <w:rPr>
          <w:spacing w:val="-3"/>
        </w:rPr>
        <w:t>fue </w:t>
      </w:r>
      <w:r>
        <w:rPr/>
        <w:t>utilizado para evaluar el efecto de </w:t>
      </w:r>
      <w:r>
        <w:rPr>
          <w:spacing w:val="-5"/>
        </w:rPr>
        <w:t>la </w:t>
      </w:r>
      <w:r>
        <w:rPr/>
        <w:t>temperatura sobre </w:t>
      </w:r>
      <w:r>
        <w:rPr>
          <w:spacing w:val="-5"/>
        </w:rPr>
        <w:t>la </w:t>
      </w:r>
      <w:r>
        <w:rPr/>
        <w:t>expresión de cada gen y </w:t>
      </w:r>
      <w:r>
        <w:rPr>
          <w:spacing w:val="-3"/>
        </w:rPr>
        <w:t>la </w:t>
      </w:r>
      <w:r>
        <w:rPr/>
        <w:t>prueba de Tukey para múltiples comparaciones (n=36). Además </w:t>
      </w:r>
      <w:r>
        <w:rPr>
          <w:spacing w:val="-5"/>
        </w:rPr>
        <w:t>la </w:t>
      </w:r>
      <w:r>
        <w:rPr/>
        <w:t>prueba de t-Student </w:t>
      </w:r>
      <w:r>
        <w:rPr>
          <w:spacing w:val="-3"/>
        </w:rPr>
        <w:t>fue </w:t>
      </w:r>
      <w:r>
        <w:rPr/>
        <w:t>llevada a cabo para comparar expresiones entre genes por cada temperatura (entre días) y expresiones por cada gen entre temperaturas (n=6). La prueba de normalidad de Anderson-Darlington se usó para saber</w:t>
      </w:r>
      <w:r>
        <w:rPr>
          <w:spacing w:val="-5"/>
        </w:rPr>
        <w:t> </w:t>
      </w:r>
      <w:r>
        <w:rPr/>
        <w:t>si</w:t>
      </w:r>
      <w:r>
        <w:rPr>
          <w:spacing w:val="-7"/>
        </w:rPr>
        <w:t> </w:t>
      </w:r>
      <w:r>
        <w:rPr/>
        <w:t>las</w:t>
      </w:r>
      <w:r>
        <w:rPr>
          <w:spacing w:val="-5"/>
        </w:rPr>
        <w:t> </w:t>
      </w:r>
      <w:r>
        <w:rPr/>
        <w:t>variables</w:t>
      </w:r>
      <w:r>
        <w:rPr>
          <w:spacing w:val="-5"/>
        </w:rPr>
        <w:t> </w:t>
      </w:r>
      <w:r>
        <w:rPr/>
        <w:t>fueron</w:t>
      </w:r>
      <w:r>
        <w:rPr>
          <w:spacing w:val="-7"/>
        </w:rPr>
        <w:t> </w:t>
      </w:r>
      <w:r>
        <w:rPr/>
        <w:t>normalmente</w:t>
      </w:r>
      <w:r>
        <w:rPr>
          <w:spacing w:val="-8"/>
        </w:rPr>
        <w:t> </w:t>
      </w:r>
      <w:r>
        <w:rPr/>
        <w:t>distribuidas.</w:t>
      </w:r>
      <w:r>
        <w:rPr>
          <w:spacing w:val="-5"/>
        </w:rPr>
        <w:t> </w:t>
      </w:r>
      <w:r>
        <w:rPr/>
        <w:t>Los</w:t>
      </w:r>
      <w:r>
        <w:rPr>
          <w:spacing w:val="-9"/>
        </w:rPr>
        <w:t> </w:t>
      </w:r>
      <w:r>
        <w:rPr/>
        <w:t>análisis</w:t>
      </w:r>
      <w:r>
        <w:rPr>
          <w:spacing w:val="-5"/>
        </w:rPr>
        <w:t> </w:t>
      </w:r>
      <w:r>
        <w:rPr/>
        <w:t>estadísticos</w:t>
      </w:r>
      <w:r>
        <w:rPr>
          <w:spacing w:val="-9"/>
        </w:rPr>
        <w:t> </w:t>
      </w:r>
      <w:r>
        <w:rPr/>
        <w:t>se</w:t>
      </w:r>
      <w:r>
        <w:rPr>
          <w:spacing w:val="-4"/>
        </w:rPr>
        <w:t> </w:t>
      </w:r>
      <w:r>
        <w:rPr/>
        <w:t>llevaron</w:t>
      </w:r>
      <w:r>
        <w:rPr>
          <w:spacing w:val="-12"/>
        </w:rPr>
        <w:t> </w:t>
      </w:r>
      <w:r>
        <w:rPr/>
        <w:t>a cabo mediante el programa GraphPad Prism® (GraphPad 6 Software, Chicago, Inc, </w:t>
      </w:r>
      <w:r>
        <w:rPr>
          <w:spacing w:val="31"/>
        </w:rPr>
        <w:t> </w:t>
      </w:r>
      <w:r>
        <w:rPr/>
        <w:t>USA).</w:t>
      </w:r>
    </w:p>
    <w:p>
      <w:pPr>
        <w:spacing w:after="0" w:line="360" w:lineRule="auto"/>
        <w:jc w:val="both"/>
        <w:sectPr>
          <w:pgSz w:w="12240" w:h="15840"/>
          <w:pgMar w:header="0" w:footer="1382" w:top="1500" w:bottom="1580" w:left="1720" w:right="1400"/>
        </w:sectPr>
      </w:pPr>
    </w:p>
    <w:p>
      <w:pPr>
        <w:pStyle w:val="BodyText"/>
        <w:spacing w:before="7"/>
        <w:rPr>
          <w:sz w:val="25"/>
        </w:rPr>
      </w:pPr>
    </w:p>
    <w:p>
      <w:pPr>
        <w:pStyle w:val="BodyText"/>
        <w:spacing w:line="360" w:lineRule="auto" w:before="70"/>
        <w:ind w:left="152" w:right="109"/>
        <w:jc w:val="both"/>
      </w:pPr>
      <w:r>
        <w:rPr/>
        <w:t>Las diferencias fueron consideradas estadísticamente significativas a valores iguales o menores a </w:t>
      </w:r>
      <w:r>
        <w:rPr>
          <w:i/>
        </w:rPr>
        <w:t>P </w:t>
      </w:r>
      <w:r>
        <w:rPr/>
        <w:t>&lt; 0.05.</w:t>
      </w:r>
    </w:p>
    <w:p>
      <w:pPr>
        <w:pStyle w:val="BodyText"/>
      </w:pPr>
    </w:p>
    <w:p>
      <w:pPr>
        <w:pStyle w:val="Heading2"/>
        <w:numPr>
          <w:ilvl w:val="1"/>
          <w:numId w:val="12"/>
        </w:numPr>
        <w:tabs>
          <w:tab w:pos="576" w:val="left" w:leader="none"/>
        </w:tabs>
        <w:spacing w:line="240" w:lineRule="auto" w:before="150" w:after="0"/>
        <w:ind w:left="575" w:right="0" w:hanging="423"/>
        <w:jc w:val="both"/>
        <w:rPr>
          <w:i/>
        </w:rPr>
      </w:pPr>
      <w:bookmarkStart w:name="_bookmark35" w:id="64"/>
      <w:bookmarkEnd w:id="64"/>
      <w:r>
        <w:rPr>
          <w:b w:val="0"/>
          <w:i w:val="0"/>
        </w:rPr>
      </w:r>
      <w:bookmarkStart w:name="_bookmark35" w:id="65"/>
      <w:bookmarkEnd w:id="65"/>
      <w:r>
        <w:rPr>
          <w:i/>
        </w:rPr>
        <w:t>V</w:t>
      </w:r>
      <w:r>
        <w:rPr>
          <w:i/>
        </w:rPr>
        <w:t>irus y células (experimento in</w:t>
      </w:r>
      <w:r>
        <w:rPr>
          <w:i/>
          <w:spacing w:val="-12"/>
        </w:rPr>
        <w:t> </w:t>
      </w:r>
      <w:r>
        <w:rPr>
          <w:i/>
        </w:rPr>
        <w:t>vitro)</w:t>
      </w:r>
    </w:p>
    <w:p>
      <w:pPr>
        <w:pStyle w:val="BodyText"/>
        <w:spacing w:line="360" w:lineRule="auto" w:before="132"/>
        <w:ind w:left="152" w:right="100"/>
        <w:jc w:val="both"/>
      </w:pPr>
      <w:r>
        <w:rPr/>
        <w:t>Para el estudio se utilizaron dos aislados chilenos de IPNV, un virus genotipo VR-299 considerado avirulento (código de acceso Gen Bank GU072914) y un virus genotipo Sp de media virulencia (código de acceso Gen Bank GU072916) ambos aislados chilenos (Ortega </w:t>
      </w:r>
      <w:r>
        <w:rPr>
          <w:i/>
        </w:rPr>
        <w:t>et al</w:t>
      </w:r>
      <w:r>
        <w:rPr/>
        <w:t>., 2011) los cuales fueron considerados de interés debido a </w:t>
      </w:r>
      <w:r>
        <w:rPr>
          <w:spacing w:val="-4"/>
        </w:rPr>
        <w:t>las </w:t>
      </w:r>
      <w:r>
        <w:rPr/>
        <w:t>diferencias clínico- patológicas en peces afectados y los porcentajes de mortalidad provocados en piscifactorías de salmónidos en el sur de Chile. Ambos virus fueron replicados por inoculación en células </w:t>
      </w:r>
      <w:r>
        <w:rPr>
          <w:i/>
        </w:rPr>
        <w:t>Chinook Salmon Embryo </w:t>
      </w:r>
      <w:r>
        <w:rPr/>
        <w:t>(CHSE-214) con 90% de confluencia y mantenidas en </w:t>
      </w:r>
      <w:r>
        <w:rPr>
          <w:spacing w:val="-3"/>
        </w:rPr>
        <w:t>medio </w:t>
      </w:r>
      <w:r>
        <w:rPr/>
        <w:t>esencial</w:t>
      </w:r>
      <w:r>
        <w:rPr>
          <w:spacing w:val="-11"/>
        </w:rPr>
        <w:t> </w:t>
      </w:r>
      <w:r>
        <w:rPr/>
        <w:t>mínimo</w:t>
      </w:r>
      <w:r>
        <w:rPr>
          <w:spacing w:val="-3"/>
        </w:rPr>
        <w:t> </w:t>
      </w:r>
      <w:r>
        <w:rPr/>
        <w:t>(MEM)</w:t>
      </w:r>
      <w:r>
        <w:rPr>
          <w:spacing w:val="-6"/>
        </w:rPr>
        <w:t> </w:t>
      </w:r>
      <w:r>
        <w:rPr/>
        <w:t>al</w:t>
      </w:r>
      <w:r>
        <w:rPr>
          <w:spacing w:val="-16"/>
        </w:rPr>
        <w:t> </w:t>
      </w:r>
      <w:r>
        <w:rPr/>
        <w:t>2%</w:t>
      </w:r>
      <w:r>
        <w:rPr>
          <w:spacing w:val="-6"/>
        </w:rPr>
        <w:t> </w:t>
      </w:r>
      <w:r>
        <w:rPr/>
        <w:t>de</w:t>
      </w:r>
      <w:r>
        <w:rPr>
          <w:spacing w:val="-13"/>
        </w:rPr>
        <w:t> </w:t>
      </w:r>
      <w:r>
        <w:rPr/>
        <w:t>suero</w:t>
      </w:r>
      <w:r>
        <w:rPr>
          <w:spacing w:val="-8"/>
        </w:rPr>
        <w:t> </w:t>
      </w:r>
      <w:r>
        <w:rPr/>
        <w:t>fetal</w:t>
      </w:r>
      <w:r>
        <w:rPr>
          <w:spacing w:val="-16"/>
        </w:rPr>
        <w:t> </w:t>
      </w:r>
      <w:r>
        <w:rPr/>
        <w:t>bovino</w:t>
      </w:r>
      <w:r>
        <w:rPr>
          <w:spacing w:val="-8"/>
        </w:rPr>
        <w:t> </w:t>
      </w:r>
      <w:r>
        <w:rPr/>
        <w:t>(FBS).</w:t>
      </w:r>
      <w:r>
        <w:rPr>
          <w:spacing w:val="-10"/>
        </w:rPr>
        <w:t> </w:t>
      </w:r>
      <w:r>
        <w:rPr/>
        <w:t>Una</w:t>
      </w:r>
      <w:r>
        <w:rPr>
          <w:spacing w:val="-9"/>
        </w:rPr>
        <w:t> </w:t>
      </w:r>
      <w:r>
        <w:rPr/>
        <w:t>vez</w:t>
      </w:r>
      <w:r>
        <w:rPr>
          <w:spacing w:val="-9"/>
        </w:rPr>
        <w:t> </w:t>
      </w:r>
      <w:r>
        <w:rPr/>
        <w:t>alcanzado</w:t>
      </w:r>
      <w:r>
        <w:rPr>
          <w:spacing w:val="-3"/>
        </w:rPr>
        <w:t> </w:t>
      </w:r>
      <w:r>
        <w:rPr/>
        <w:t>un</w:t>
      </w:r>
      <w:r>
        <w:rPr>
          <w:spacing w:val="-12"/>
        </w:rPr>
        <w:t> </w:t>
      </w:r>
      <w:r>
        <w:rPr/>
        <w:t>extensivo efecto</w:t>
      </w:r>
      <w:r>
        <w:rPr>
          <w:spacing w:val="-2"/>
        </w:rPr>
        <w:t> </w:t>
      </w:r>
      <w:r>
        <w:rPr/>
        <w:t>citopático</w:t>
      </w:r>
      <w:r>
        <w:rPr>
          <w:spacing w:val="-2"/>
        </w:rPr>
        <w:t> </w:t>
      </w:r>
      <w:r>
        <w:rPr/>
        <w:t>(EPC)</w:t>
      </w:r>
      <w:r>
        <w:rPr>
          <w:spacing w:val="-5"/>
        </w:rPr>
        <w:t> </w:t>
      </w:r>
      <w:r>
        <w:rPr/>
        <w:t>los</w:t>
      </w:r>
      <w:r>
        <w:rPr>
          <w:spacing w:val="-9"/>
        </w:rPr>
        <w:t> </w:t>
      </w:r>
      <w:r>
        <w:rPr/>
        <w:t>virus</w:t>
      </w:r>
      <w:r>
        <w:rPr>
          <w:spacing w:val="-9"/>
        </w:rPr>
        <w:t> </w:t>
      </w:r>
      <w:r>
        <w:rPr/>
        <w:t>se</w:t>
      </w:r>
      <w:r>
        <w:rPr>
          <w:spacing w:val="-8"/>
        </w:rPr>
        <w:t> </w:t>
      </w:r>
      <w:r>
        <w:rPr/>
        <w:t>titularon</w:t>
      </w:r>
      <w:r>
        <w:rPr>
          <w:spacing w:val="-11"/>
        </w:rPr>
        <w:t> </w:t>
      </w:r>
      <w:r>
        <w:rPr/>
        <w:t>por</w:t>
      </w:r>
      <w:r>
        <w:rPr>
          <w:spacing w:val="-1"/>
        </w:rPr>
        <w:t> </w:t>
      </w:r>
      <w:r>
        <w:rPr/>
        <w:t>el</w:t>
      </w:r>
      <w:r>
        <w:rPr>
          <w:spacing w:val="-11"/>
        </w:rPr>
        <w:t> </w:t>
      </w:r>
      <w:r>
        <w:rPr/>
        <w:t>método</w:t>
      </w:r>
      <w:r>
        <w:rPr>
          <w:spacing w:val="-2"/>
        </w:rPr>
        <w:t> </w:t>
      </w:r>
      <w:r>
        <w:rPr/>
        <w:t>de</w:t>
      </w:r>
      <w:r>
        <w:rPr>
          <w:spacing w:val="-8"/>
        </w:rPr>
        <w:t> </w:t>
      </w:r>
      <w:r>
        <w:rPr/>
        <w:t>microplacas</w:t>
      </w:r>
      <w:r>
        <w:rPr>
          <w:spacing w:val="-9"/>
        </w:rPr>
        <w:t> </w:t>
      </w:r>
      <w:r>
        <w:rPr/>
        <w:t>(Reed</w:t>
      </w:r>
      <w:r>
        <w:rPr>
          <w:spacing w:val="-2"/>
        </w:rPr>
        <w:t> </w:t>
      </w:r>
      <w:r>
        <w:rPr/>
        <w:t>y</w:t>
      </w:r>
      <w:r>
        <w:rPr>
          <w:spacing w:val="-4"/>
        </w:rPr>
        <w:t> </w:t>
      </w:r>
      <w:r>
        <w:rPr/>
        <w:t>Muench, 1938).  Posteriormente se utilizaron para </w:t>
      </w:r>
      <w:r>
        <w:rPr>
          <w:spacing w:val="-3"/>
        </w:rPr>
        <w:t>las</w:t>
      </w:r>
      <w:r>
        <w:rPr>
          <w:spacing w:val="-15"/>
        </w:rPr>
        <w:t> </w:t>
      </w:r>
      <w:r>
        <w:rPr/>
        <w:t>infecciones.</w:t>
      </w:r>
    </w:p>
    <w:p>
      <w:pPr>
        <w:pStyle w:val="BodyText"/>
      </w:pPr>
    </w:p>
    <w:p>
      <w:pPr>
        <w:pStyle w:val="Heading2"/>
        <w:numPr>
          <w:ilvl w:val="2"/>
          <w:numId w:val="12"/>
        </w:numPr>
        <w:tabs>
          <w:tab w:pos="758" w:val="left" w:leader="none"/>
        </w:tabs>
        <w:spacing w:line="240" w:lineRule="auto" w:before="146" w:after="0"/>
        <w:ind w:left="757" w:right="0" w:hanging="605"/>
        <w:jc w:val="both"/>
        <w:rPr>
          <w:i/>
        </w:rPr>
      </w:pPr>
      <w:bookmarkStart w:name="_bookmark36" w:id="66"/>
      <w:bookmarkEnd w:id="66"/>
      <w:r>
        <w:rPr>
          <w:b w:val="0"/>
          <w:i w:val="0"/>
        </w:rPr>
      </w:r>
      <w:bookmarkStart w:name="_bookmark36" w:id="67"/>
      <w:bookmarkEnd w:id="67"/>
      <w:r>
        <w:rPr>
          <w:i/>
        </w:rPr>
        <w:t>I</w:t>
      </w:r>
      <w:r>
        <w:rPr>
          <w:i/>
        </w:rPr>
        <w:t>nfección</w:t>
      </w:r>
      <w:r>
        <w:rPr>
          <w:i/>
          <w:spacing w:val="-2"/>
        </w:rPr>
        <w:t> </w:t>
      </w:r>
      <w:r>
        <w:rPr>
          <w:i/>
        </w:rPr>
        <w:t>celular</w:t>
      </w:r>
    </w:p>
    <w:p>
      <w:pPr>
        <w:pStyle w:val="BodyText"/>
        <w:spacing w:line="360" w:lineRule="auto" w:before="41"/>
        <w:ind w:left="152" w:right="109"/>
        <w:jc w:val="both"/>
      </w:pPr>
      <w:r>
        <w:rPr/>
        <w:t>Células</w:t>
      </w:r>
      <w:r>
        <w:rPr>
          <w:spacing w:val="-6"/>
        </w:rPr>
        <w:t> </w:t>
      </w:r>
      <w:r>
        <w:rPr/>
        <w:t>de</w:t>
      </w:r>
      <w:r>
        <w:rPr>
          <w:spacing w:val="-5"/>
        </w:rPr>
        <w:t> </w:t>
      </w:r>
      <w:r>
        <w:rPr/>
        <w:t>truchas</w:t>
      </w:r>
      <w:r>
        <w:rPr>
          <w:spacing w:val="-6"/>
        </w:rPr>
        <w:t> </w:t>
      </w:r>
      <w:r>
        <w:rPr/>
        <w:t>de </w:t>
      </w:r>
      <w:r>
        <w:rPr>
          <w:spacing w:val="-3"/>
        </w:rPr>
        <w:t>la</w:t>
      </w:r>
      <w:r>
        <w:rPr/>
        <w:t> </w:t>
      </w:r>
      <w:r>
        <w:rPr>
          <w:spacing w:val="-3"/>
        </w:rPr>
        <w:t>línea</w:t>
      </w:r>
      <w:r>
        <w:rPr>
          <w:spacing w:val="-5"/>
        </w:rPr>
        <w:t> </w:t>
      </w:r>
      <w:r>
        <w:rPr/>
        <w:t>celular</w:t>
      </w:r>
      <w:r>
        <w:rPr>
          <w:spacing w:val="-2"/>
        </w:rPr>
        <w:t> </w:t>
      </w:r>
      <w:r>
        <w:rPr/>
        <w:t>(RTG-2)</w:t>
      </w:r>
      <w:r>
        <w:rPr>
          <w:spacing w:val="-2"/>
        </w:rPr>
        <w:t> </w:t>
      </w:r>
      <w:r>
        <w:rPr/>
        <w:t>en</w:t>
      </w:r>
      <w:r>
        <w:rPr>
          <w:spacing w:val="-9"/>
        </w:rPr>
        <w:t> </w:t>
      </w:r>
      <w:r>
        <w:rPr/>
        <w:t>placas</w:t>
      </w:r>
      <w:r>
        <w:rPr>
          <w:spacing w:val="-6"/>
        </w:rPr>
        <w:t> </w:t>
      </w:r>
      <w:r>
        <w:rPr/>
        <w:t>de</w:t>
      </w:r>
      <w:r>
        <w:rPr>
          <w:spacing w:val="-5"/>
        </w:rPr>
        <w:t> </w:t>
      </w:r>
      <w:r>
        <w:rPr/>
        <w:t>6</w:t>
      </w:r>
      <w:r>
        <w:rPr>
          <w:spacing w:val="-4"/>
        </w:rPr>
        <w:t> </w:t>
      </w:r>
      <w:r>
        <w:rPr/>
        <w:t>pocillos</w:t>
      </w:r>
      <w:r>
        <w:rPr>
          <w:spacing w:val="-6"/>
        </w:rPr>
        <w:t> </w:t>
      </w:r>
      <w:r>
        <w:rPr/>
        <w:t>a</w:t>
      </w:r>
      <w:r>
        <w:rPr>
          <w:spacing w:val="-5"/>
        </w:rPr>
        <w:t> </w:t>
      </w:r>
      <w:r>
        <w:rPr/>
        <w:t>15</w:t>
      </w:r>
      <w:r>
        <w:rPr>
          <w:spacing w:val="-2"/>
        </w:rPr>
        <w:t> </w:t>
      </w:r>
      <w:r>
        <w:rPr>
          <w:spacing w:val="-3"/>
        </w:rPr>
        <w:t>°C</w:t>
      </w:r>
      <w:r>
        <w:rPr>
          <w:spacing w:val="-6"/>
        </w:rPr>
        <w:t> </w:t>
      </w:r>
      <w:r>
        <w:rPr/>
        <w:t>en</w:t>
      </w:r>
      <w:r>
        <w:rPr>
          <w:spacing w:val="-4"/>
        </w:rPr>
        <w:t> </w:t>
      </w:r>
      <w:r>
        <w:rPr>
          <w:spacing w:val="-3"/>
        </w:rPr>
        <w:t>medio</w:t>
      </w:r>
      <w:r>
        <w:rPr>
          <w:spacing w:val="1"/>
        </w:rPr>
        <w:t> </w:t>
      </w:r>
      <w:r>
        <w:rPr/>
        <w:t>L-15 (Gibco, Invitrogen Corp. Carlsbad, California) con 2 % de suero fetal bovino, fueron infectadas por triplicado con ambos serotipos de IPNV  a una multiplicidad de infección</w:t>
      </w:r>
      <w:r>
        <w:rPr>
          <w:spacing w:val="35"/>
        </w:rPr>
        <w:t> </w:t>
      </w:r>
      <w:r>
        <w:rPr/>
        <w:t>de</w:t>
      </w:r>
    </w:p>
    <w:p>
      <w:pPr>
        <w:pStyle w:val="BodyText"/>
        <w:spacing w:line="360" w:lineRule="auto" w:before="4"/>
        <w:ind w:left="152" w:right="105"/>
        <w:jc w:val="both"/>
      </w:pPr>
      <w:r>
        <w:rPr/>
        <w:t>0.1 (MOI:01). Posterior a la infección la incubación continúo a la misma temperatura hasta que se interrumpió a las 4, 8,12, 36 y 60 horas post-infección (hpi) cuando se eliminó el sobrenadante.</w:t>
      </w:r>
    </w:p>
    <w:p>
      <w:pPr>
        <w:pStyle w:val="BodyText"/>
      </w:pPr>
    </w:p>
    <w:p>
      <w:pPr>
        <w:pStyle w:val="Heading2"/>
        <w:numPr>
          <w:ilvl w:val="2"/>
          <w:numId w:val="12"/>
        </w:numPr>
        <w:tabs>
          <w:tab w:pos="758" w:val="left" w:leader="none"/>
        </w:tabs>
        <w:spacing w:line="240" w:lineRule="auto" w:before="146" w:after="0"/>
        <w:ind w:left="757" w:right="0" w:hanging="605"/>
        <w:jc w:val="both"/>
        <w:rPr>
          <w:i/>
        </w:rPr>
      </w:pPr>
      <w:bookmarkStart w:name="_bookmark37" w:id="68"/>
      <w:bookmarkEnd w:id="68"/>
      <w:r>
        <w:rPr>
          <w:b w:val="0"/>
          <w:i w:val="0"/>
        </w:rPr>
      </w:r>
      <w:bookmarkStart w:name="_bookmark37" w:id="69"/>
      <w:bookmarkEnd w:id="69"/>
      <w:r>
        <w:rPr>
          <w:i/>
        </w:rPr>
        <w:t>E</w:t>
      </w:r>
      <w:r>
        <w:rPr>
          <w:i/>
        </w:rPr>
        <w:t>xtracción de RNA y retrotranscripción</w:t>
      </w:r>
      <w:r>
        <w:rPr>
          <w:i/>
          <w:spacing w:val="-17"/>
        </w:rPr>
        <w:t> </w:t>
      </w:r>
      <w:r>
        <w:rPr>
          <w:i/>
        </w:rPr>
        <w:t>(RT)</w:t>
      </w:r>
    </w:p>
    <w:p>
      <w:pPr>
        <w:pStyle w:val="BodyText"/>
        <w:spacing w:line="360" w:lineRule="auto" w:before="20"/>
        <w:ind w:left="152" w:right="107"/>
        <w:jc w:val="both"/>
      </w:pPr>
      <w:r>
        <w:rPr/>
        <w:t>El </w:t>
      </w:r>
      <w:r>
        <w:rPr>
          <w:spacing w:val="-3"/>
        </w:rPr>
        <w:t>ARN </w:t>
      </w:r>
      <w:r>
        <w:rPr/>
        <w:t>total </w:t>
      </w:r>
      <w:r>
        <w:rPr>
          <w:spacing w:val="-3"/>
        </w:rPr>
        <w:t>fue </w:t>
      </w:r>
      <w:r>
        <w:rPr/>
        <w:t>extraído utilizando el kit comercial (EZNA</w:t>
      </w:r>
      <w:r>
        <w:rPr>
          <w:position w:val="9"/>
          <w:sz w:val="16"/>
        </w:rPr>
        <w:t>TM </w:t>
      </w:r>
      <w:r>
        <w:rPr/>
        <w:t>Total RNA </w:t>
      </w:r>
      <w:r>
        <w:rPr>
          <w:spacing w:val="-4"/>
        </w:rPr>
        <w:t>Kit </w:t>
      </w:r>
      <w:r>
        <w:rPr/>
        <w:t>I) (Omega- Biotek)</w:t>
      </w:r>
      <w:r>
        <w:rPr>
          <w:spacing w:val="-18"/>
        </w:rPr>
        <w:t> </w:t>
      </w:r>
      <w:r>
        <w:rPr/>
        <w:t>según</w:t>
      </w:r>
      <w:r>
        <w:rPr>
          <w:spacing w:val="-15"/>
        </w:rPr>
        <w:t> </w:t>
      </w:r>
      <w:r>
        <w:rPr/>
        <w:t>las</w:t>
      </w:r>
      <w:r>
        <w:rPr>
          <w:spacing w:val="-13"/>
        </w:rPr>
        <w:t> </w:t>
      </w:r>
      <w:r>
        <w:rPr/>
        <w:t>instrucciones</w:t>
      </w:r>
      <w:r>
        <w:rPr>
          <w:spacing w:val="-17"/>
        </w:rPr>
        <w:t> </w:t>
      </w:r>
      <w:r>
        <w:rPr/>
        <w:t>del</w:t>
      </w:r>
      <w:r>
        <w:rPr>
          <w:spacing w:val="-19"/>
        </w:rPr>
        <w:t> </w:t>
      </w:r>
      <w:r>
        <w:rPr/>
        <w:t>fabricante.</w:t>
      </w:r>
      <w:r>
        <w:rPr>
          <w:spacing w:val="-13"/>
        </w:rPr>
        <w:t> </w:t>
      </w:r>
      <w:r>
        <w:rPr/>
        <w:t>Luego</w:t>
      </w:r>
      <w:r>
        <w:rPr>
          <w:spacing w:val="-15"/>
        </w:rPr>
        <w:t> </w:t>
      </w:r>
      <w:r>
        <w:rPr/>
        <w:t>9.4</w:t>
      </w:r>
      <w:r>
        <w:rPr>
          <w:spacing w:val="-19"/>
        </w:rPr>
        <w:t> </w:t>
      </w:r>
      <w:r>
        <w:rPr/>
        <w:t>µL</w:t>
      </w:r>
      <w:r>
        <w:rPr>
          <w:spacing w:val="-17"/>
        </w:rPr>
        <w:t> </w:t>
      </w:r>
      <w:r>
        <w:rPr/>
        <w:t>de</w:t>
      </w:r>
      <w:r>
        <w:rPr>
          <w:spacing w:val="-16"/>
        </w:rPr>
        <w:t> </w:t>
      </w:r>
      <w:r>
        <w:rPr/>
        <w:t>RNA</w:t>
      </w:r>
      <w:r>
        <w:rPr>
          <w:spacing w:val="-16"/>
        </w:rPr>
        <w:t> </w:t>
      </w:r>
      <w:r>
        <w:rPr>
          <w:spacing w:val="-3"/>
        </w:rPr>
        <w:t>fue</w:t>
      </w:r>
      <w:r>
        <w:rPr>
          <w:spacing w:val="-16"/>
        </w:rPr>
        <w:t> </w:t>
      </w:r>
      <w:r>
        <w:rPr/>
        <w:t>tratado</w:t>
      </w:r>
      <w:r>
        <w:rPr>
          <w:spacing w:val="-15"/>
        </w:rPr>
        <w:t> </w:t>
      </w:r>
      <w:r>
        <w:rPr/>
        <w:t>con</w:t>
      </w:r>
      <w:r>
        <w:rPr>
          <w:spacing w:val="-19"/>
        </w:rPr>
        <w:t> </w:t>
      </w:r>
      <w:r>
        <w:rPr/>
        <w:t>DNAasa (Promega Cat. # M6101) mezclando 1 μL de RQ1 RNase-Free DNase y 1 µL buffer de reacción RQ1 DNase 10X por muestra incubándose en un termociclador (Labnet ultigene Gradient)</w:t>
      </w:r>
      <w:r>
        <w:rPr>
          <w:spacing w:val="-3"/>
        </w:rPr>
        <w:t> </w:t>
      </w:r>
      <w:r>
        <w:rPr/>
        <w:t>a</w:t>
      </w:r>
      <w:r>
        <w:rPr>
          <w:spacing w:val="-6"/>
        </w:rPr>
        <w:t> </w:t>
      </w:r>
      <w:r>
        <w:rPr/>
        <w:t>37</w:t>
      </w:r>
      <w:r>
        <w:rPr>
          <w:spacing w:val="-3"/>
        </w:rPr>
        <w:t> °C</w:t>
      </w:r>
      <w:r>
        <w:rPr>
          <w:spacing w:val="-7"/>
        </w:rPr>
        <w:t> </w:t>
      </w:r>
      <w:r>
        <w:rPr/>
        <w:t>por</w:t>
      </w:r>
      <w:r>
        <w:rPr>
          <w:spacing w:val="-8"/>
        </w:rPr>
        <w:t> </w:t>
      </w:r>
      <w:r>
        <w:rPr/>
        <w:t>30</w:t>
      </w:r>
      <w:r>
        <w:rPr>
          <w:spacing w:val="-5"/>
        </w:rPr>
        <w:t> </w:t>
      </w:r>
      <w:r>
        <w:rPr/>
        <w:t>minutos.</w:t>
      </w:r>
      <w:r>
        <w:rPr>
          <w:spacing w:val="-7"/>
        </w:rPr>
        <w:t> </w:t>
      </w:r>
      <w:r>
        <w:rPr/>
        <w:t>Después</w:t>
      </w:r>
      <w:r>
        <w:rPr>
          <w:spacing w:val="-7"/>
        </w:rPr>
        <w:t> </w:t>
      </w:r>
      <w:r>
        <w:rPr/>
        <w:t>se</w:t>
      </w:r>
      <w:r>
        <w:rPr>
          <w:spacing w:val="-6"/>
        </w:rPr>
        <w:t> </w:t>
      </w:r>
      <w:r>
        <w:rPr/>
        <w:t>agregó 1</w:t>
      </w:r>
      <w:r>
        <w:rPr>
          <w:spacing w:val="-8"/>
        </w:rPr>
        <w:t> </w:t>
      </w:r>
      <w:r>
        <w:rPr/>
        <w:t>µL</w:t>
      </w:r>
      <w:r>
        <w:rPr>
          <w:spacing w:val="-7"/>
        </w:rPr>
        <w:t> </w:t>
      </w:r>
      <w:r>
        <w:rPr/>
        <w:t>de</w:t>
      </w:r>
      <w:r>
        <w:rPr>
          <w:spacing w:val="-6"/>
        </w:rPr>
        <w:t> </w:t>
      </w:r>
      <w:r>
        <w:rPr/>
        <w:t>stop</w:t>
      </w:r>
      <w:r>
        <w:rPr>
          <w:spacing w:val="-10"/>
        </w:rPr>
        <w:t> </w:t>
      </w:r>
      <w:r>
        <w:rPr/>
        <w:t>solution</w:t>
      </w:r>
      <w:r>
        <w:rPr>
          <w:spacing w:val="-5"/>
        </w:rPr>
        <w:t> </w:t>
      </w:r>
      <w:r>
        <w:rPr/>
        <w:t>y</w:t>
      </w:r>
      <w:r>
        <w:rPr>
          <w:spacing w:val="-10"/>
        </w:rPr>
        <w:t> </w:t>
      </w:r>
      <w:r>
        <w:rPr/>
        <w:t>las</w:t>
      </w:r>
      <w:r>
        <w:rPr>
          <w:spacing w:val="-2"/>
        </w:rPr>
        <w:t> </w:t>
      </w:r>
      <w:r>
        <w:rPr/>
        <w:t>muestras</w:t>
      </w:r>
      <w:r>
        <w:rPr>
          <w:spacing w:val="-7"/>
        </w:rPr>
        <w:t> </w:t>
      </w:r>
      <w:r>
        <w:rPr/>
        <w:t>se incubaron a 65  °C por  10 minutos.  Para iniciar  </w:t>
      </w:r>
      <w:r>
        <w:rPr>
          <w:spacing w:val="-5"/>
        </w:rPr>
        <w:t>la  </w:t>
      </w:r>
      <w:r>
        <w:rPr/>
        <w:t>RT  en células  inmediatamente a   </w:t>
      </w:r>
      <w:r>
        <w:rPr>
          <w:spacing w:val="44"/>
        </w:rPr>
        <w:t> </w:t>
      </w:r>
      <w:r>
        <w:rPr/>
        <w:t>las</w:t>
      </w:r>
    </w:p>
    <w:p>
      <w:pPr>
        <w:spacing w:after="0" w:line="360" w:lineRule="auto"/>
        <w:jc w:val="both"/>
        <w:sectPr>
          <w:pgSz w:w="12240" w:h="15840"/>
          <w:pgMar w:header="0" w:footer="1382" w:top="1500" w:bottom="1580" w:left="1720" w:right="1420"/>
        </w:sectPr>
      </w:pPr>
    </w:p>
    <w:p>
      <w:pPr>
        <w:pStyle w:val="BodyText"/>
        <w:spacing w:before="7"/>
        <w:rPr>
          <w:sz w:val="25"/>
        </w:rPr>
      </w:pPr>
    </w:p>
    <w:p>
      <w:pPr>
        <w:pStyle w:val="BodyText"/>
        <w:spacing w:line="360" w:lineRule="auto" w:before="70"/>
        <w:ind w:left="152" w:right="101"/>
        <w:jc w:val="both"/>
      </w:pPr>
      <w:r>
        <w:rPr/>
        <w:t>muestras se </w:t>
      </w:r>
      <w:r>
        <w:rPr>
          <w:spacing w:val="-3"/>
        </w:rPr>
        <w:t>les </w:t>
      </w:r>
      <w:r>
        <w:rPr/>
        <w:t>agregó una primer mezcla conteniendo 1 μL dNTPs 10 </w:t>
      </w:r>
      <w:r>
        <w:rPr>
          <w:spacing w:val="-5"/>
        </w:rPr>
        <w:t>mM, </w:t>
      </w:r>
      <w:r>
        <w:rPr/>
        <w:t>1.6 μL Oligo dT15mer y se incubaron a 60 </w:t>
      </w:r>
      <w:r>
        <w:rPr>
          <w:spacing w:val="-3"/>
        </w:rPr>
        <w:t>°C </w:t>
      </w:r>
      <w:r>
        <w:rPr/>
        <w:t>por 10 minutos dejándolas en hielo. Seguidamente una segunda mezcla fue añadida conteniendo 4 μL of M-MLV Reverse Transcriptase 5X Reaction Buffer (Promega M531A), 0.5 μL of RNasin 40 U/μL (Promega) and 0.5 μL M- MLV Reverse Transcriptase 200 U/μL (Promega). Para </w:t>
      </w:r>
      <w:r>
        <w:rPr>
          <w:spacing w:val="-5"/>
        </w:rPr>
        <w:t>la </w:t>
      </w:r>
      <w:r>
        <w:rPr/>
        <w:t>RT para IPNV </w:t>
      </w:r>
      <w:r>
        <w:rPr>
          <w:spacing w:val="-3"/>
        </w:rPr>
        <w:t>como </w:t>
      </w:r>
      <w:r>
        <w:rPr/>
        <w:t>sigue: 2 μL dNTPs 10 </w:t>
      </w:r>
      <w:r>
        <w:rPr>
          <w:spacing w:val="-5"/>
        </w:rPr>
        <w:t>mM, </w:t>
      </w:r>
      <w:r>
        <w:rPr/>
        <w:t>1 μL Random primers incubadas a 60 </w:t>
      </w:r>
      <w:r>
        <w:rPr>
          <w:spacing w:val="-3"/>
        </w:rPr>
        <w:t>°C </w:t>
      </w:r>
      <w:r>
        <w:rPr/>
        <w:t>por 10 minutos dejándolas en </w:t>
      </w:r>
      <w:r>
        <w:rPr>
          <w:spacing w:val="-3"/>
        </w:rPr>
        <w:t>frío </w:t>
      </w:r>
      <w:r>
        <w:rPr/>
        <w:t>y una segunda mezcla de 4 μL of M-MLV Reverse Transcriptase 5X Reaction Buffer (Promega M531A), 0.5 μL of RNasin 40 U/μL (Promega) y 0.5 μL M-MLV Reverse Transcriptase</w:t>
      </w:r>
      <w:r>
        <w:rPr>
          <w:spacing w:val="-14"/>
        </w:rPr>
        <w:t> </w:t>
      </w:r>
      <w:r>
        <w:rPr/>
        <w:t>200</w:t>
      </w:r>
      <w:r>
        <w:rPr>
          <w:spacing w:val="-16"/>
        </w:rPr>
        <w:t> </w:t>
      </w:r>
      <w:r>
        <w:rPr/>
        <w:t>U/μL</w:t>
      </w:r>
      <w:r>
        <w:rPr>
          <w:spacing w:val="-14"/>
        </w:rPr>
        <w:t> </w:t>
      </w:r>
      <w:r>
        <w:rPr/>
        <w:t>(Promega).</w:t>
      </w:r>
      <w:r>
        <w:rPr>
          <w:spacing w:val="-12"/>
        </w:rPr>
        <w:t> </w:t>
      </w:r>
      <w:r>
        <w:rPr/>
        <w:t>Las</w:t>
      </w:r>
      <w:r>
        <w:rPr>
          <w:spacing w:val="-15"/>
        </w:rPr>
        <w:t> </w:t>
      </w:r>
      <w:r>
        <w:rPr/>
        <w:t>reacciones</w:t>
      </w:r>
      <w:r>
        <w:rPr>
          <w:spacing w:val="-15"/>
        </w:rPr>
        <w:t> </w:t>
      </w:r>
      <w:r>
        <w:rPr/>
        <w:t>se</w:t>
      </w:r>
      <w:r>
        <w:rPr>
          <w:spacing w:val="-14"/>
        </w:rPr>
        <w:t> </w:t>
      </w:r>
      <w:r>
        <w:rPr/>
        <w:t>realizaron</w:t>
      </w:r>
      <w:r>
        <w:rPr>
          <w:spacing w:val="-17"/>
        </w:rPr>
        <w:t> </w:t>
      </w:r>
      <w:r>
        <w:rPr/>
        <w:t>en</w:t>
      </w:r>
      <w:r>
        <w:rPr>
          <w:spacing w:val="-17"/>
        </w:rPr>
        <w:t> </w:t>
      </w:r>
      <w:r>
        <w:rPr/>
        <w:t>un</w:t>
      </w:r>
      <w:r>
        <w:rPr>
          <w:spacing w:val="-17"/>
        </w:rPr>
        <w:t> </w:t>
      </w:r>
      <w:r>
        <w:rPr/>
        <w:t>termociclador</w:t>
      </w:r>
      <w:r>
        <w:rPr>
          <w:spacing w:val="-16"/>
        </w:rPr>
        <w:t> </w:t>
      </w:r>
      <w:r>
        <w:rPr/>
        <w:t>(Labnet Multigene gradiente) programado para completar 40 ciclos de 42 </w:t>
      </w:r>
      <w:r>
        <w:rPr>
          <w:spacing w:val="-3"/>
        </w:rPr>
        <w:t>°C </w:t>
      </w:r>
      <w:r>
        <w:rPr/>
        <w:t>durante 60 minutos y finalmente a 70 </w:t>
      </w:r>
      <w:r>
        <w:rPr>
          <w:spacing w:val="-3"/>
        </w:rPr>
        <w:t>°C </w:t>
      </w:r>
      <w:r>
        <w:rPr/>
        <w:t>por 10</w:t>
      </w:r>
      <w:r>
        <w:rPr>
          <w:spacing w:val="4"/>
        </w:rPr>
        <w:t> </w:t>
      </w:r>
      <w:r>
        <w:rPr/>
        <w:t>minutos.</w:t>
      </w:r>
    </w:p>
    <w:p>
      <w:pPr>
        <w:pStyle w:val="BodyText"/>
      </w:pPr>
    </w:p>
    <w:p>
      <w:pPr>
        <w:pStyle w:val="Heading2"/>
        <w:numPr>
          <w:ilvl w:val="2"/>
          <w:numId w:val="12"/>
        </w:numPr>
        <w:tabs>
          <w:tab w:pos="758" w:val="left" w:leader="none"/>
        </w:tabs>
        <w:spacing w:line="240" w:lineRule="auto" w:before="150" w:after="0"/>
        <w:ind w:left="757" w:right="0" w:hanging="605"/>
        <w:jc w:val="both"/>
        <w:rPr>
          <w:i/>
        </w:rPr>
      </w:pPr>
      <w:bookmarkStart w:name="_bookmark38" w:id="70"/>
      <w:bookmarkEnd w:id="70"/>
      <w:r>
        <w:rPr>
          <w:b w:val="0"/>
          <w:i w:val="0"/>
        </w:rPr>
      </w:r>
      <w:bookmarkStart w:name="_bookmark38" w:id="71"/>
      <w:bookmarkEnd w:id="71"/>
      <w:r>
        <w:rPr>
          <w:i/>
        </w:rPr>
        <w:t>P</w:t>
      </w:r>
      <w:r>
        <w:rPr>
          <w:i/>
        </w:rPr>
        <w:t>CR en tiempo real</w:t>
      </w:r>
      <w:r>
        <w:rPr>
          <w:i/>
          <w:spacing w:val="-14"/>
        </w:rPr>
        <w:t> </w:t>
      </w:r>
      <w:r>
        <w:rPr>
          <w:i/>
        </w:rPr>
        <w:t>(qRT-PCR)</w:t>
      </w:r>
    </w:p>
    <w:p>
      <w:pPr>
        <w:pStyle w:val="BodyText"/>
        <w:spacing w:line="357" w:lineRule="auto" w:before="36"/>
        <w:ind w:left="152" w:right="101"/>
        <w:jc w:val="both"/>
      </w:pPr>
      <w:r>
        <w:rPr/>
        <w:t>Para determinar </w:t>
      </w:r>
      <w:r>
        <w:rPr>
          <w:spacing w:val="-5"/>
        </w:rPr>
        <w:t>la </w:t>
      </w:r>
      <w:r>
        <w:rPr/>
        <w:t>expresión génica de IFN-I(α), STAT-1(α) y Mx-1, el cDNA se amplificó con un sistema de tiempo real StepOneTM PCR Thermal Cycling bloque (Applied Biosystems) usando el método SYBR®Green, en </w:t>
      </w:r>
      <w:r>
        <w:rPr>
          <w:spacing w:val="-4"/>
        </w:rPr>
        <w:t>una </w:t>
      </w:r>
      <w:r>
        <w:rPr/>
        <w:t>placa óptica de</w:t>
      </w:r>
      <w:r>
        <w:rPr>
          <w:spacing w:val="-44"/>
        </w:rPr>
        <w:t> </w:t>
      </w:r>
      <w:r>
        <w:rPr/>
        <w:t>48 pocillos mezclando 2 μL de cDNA, 1 μL fordward (10μm), 1 μL reverse(10μm), 1 μL agua DEPC y 5 μL de SYBR®Green</w:t>
      </w:r>
      <w:r>
        <w:rPr>
          <w:spacing w:val="-9"/>
        </w:rPr>
        <w:t> </w:t>
      </w:r>
      <w:r>
        <w:rPr/>
        <w:t>PCR</w:t>
      </w:r>
      <w:r>
        <w:rPr>
          <w:spacing w:val="-6"/>
        </w:rPr>
        <w:t> </w:t>
      </w:r>
      <w:r>
        <w:rPr/>
        <w:t>Master</w:t>
      </w:r>
      <w:r>
        <w:rPr>
          <w:spacing w:val="-2"/>
        </w:rPr>
        <w:t> </w:t>
      </w:r>
      <w:r>
        <w:rPr>
          <w:spacing w:val="-3"/>
        </w:rPr>
        <w:t>Mix</w:t>
      </w:r>
      <w:r>
        <w:rPr>
          <w:spacing w:val="-9"/>
        </w:rPr>
        <w:t> </w:t>
      </w:r>
      <w:r>
        <w:rPr/>
        <w:t>(Cat</w:t>
      </w:r>
      <w:r>
        <w:rPr>
          <w:spacing w:val="1"/>
        </w:rPr>
        <w:t> </w:t>
      </w:r>
      <w:r>
        <w:rPr/>
        <w:t>#</w:t>
      </w:r>
      <w:r>
        <w:rPr>
          <w:spacing w:val="-4"/>
        </w:rPr>
        <w:t> </w:t>
      </w:r>
      <w:r>
        <w:rPr/>
        <w:t>4344463)</w:t>
      </w:r>
      <w:r>
        <w:rPr>
          <w:spacing w:val="-2"/>
        </w:rPr>
        <w:t> </w:t>
      </w:r>
      <w:r>
        <w:rPr>
          <w:spacing w:val="-3"/>
        </w:rPr>
        <w:t>en</w:t>
      </w:r>
      <w:r>
        <w:rPr>
          <w:spacing w:val="-9"/>
        </w:rPr>
        <w:t> </w:t>
      </w:r>
      <w:r>
        <w:rPr/>
        <w:t>un</w:t>
      </w:r>
      <w:r>
        <w:rPr>
          <w:spacing w:val="-9"/>
        </w:rPr>
        <w:t> </w:t>
      </w:r>
      <w:r>
        <w:rPr/>
        <w:t>volumen</w:t>
      </w:r>
      <w:r>
        <w:rPr>
          <w:spacing w:val="-4"/>
        </w:rPr>
        <w:t> </w:t>
      </w:r>
      <w:r>
        <w:rPr/>
        <w:t>final</w:t>
      </w:r>
      <w:r>
        <w:rPr>
          <w:spacing w:val="-13"/>
        </w:rPr>
        <w:t> </w:t>
      </w:r>
      <w:r>
        <w:rPr/>
        <w:t>de</w:t>
      </w:r>
      <w:r>
        <w:rPr>
          <w:spacing w:val="-5"/>
        </w:rPr>
        <w:t> </w:t>
      </w:r>
      <w:r>
        <w:rPr/>
        <w:t>10</w:t>
      </w:r>
      <w:r>
        <w:rPr>
          <w:spacing w:val="-1"/>
        </w:rPr>
        <w:t> </w:t>
      </w:r>
      <w:r>
        <w:rPr/>
        <w:t>μL</w:t>
      </w:r>
      <w:r>
        <w:rPr>
          <w:spacing w:val="-7"/>
        </w:rPr>
        <w:t> </w:t>
      </w:r>
      <w:r>
        <w:rPr/>
        <w:t>por</w:t>
      </w:r>
      <w:r>
        <w:rPr>
          <w:spacing w:val="-2"/>
        </w:rPr>
        <w:t> </w:t>
      </w:r>
      <w:r>
        <w:rPr/>
        <w:t>muestra. Las condiciones de ciclos estándar fueron 50 </w:t>
      </w:r>
      <w:r>
        <w:rPr>
          <w:spacing w:val="-3"/>
        </w:rPr>
        <w:t>°C </w:t>
      </w:r>
      <w:r>
        <w:rPr/>
        <w:t>durante 2 minutos y 95 </w:t>
      </w:r>
      <w:r>
        <w:rPr>
          <w:spacing w:val="-3"/>
        </w:rPr>
        <w:t>°C </w:t>
      </w:r>
      <w:r>
        <w:rPr/>
        <w:t>durante 10 minutos, seguido por 40 ciclos de 95 </w:t>
      </w:r>
      <w:r>
        <w:rPr>
          <w:spacing w:val="-3"/>
        </w:rPr>
        <w:t>°C </w:t>
      </w:r>
      <w:r>
        <w:rPr/>
        <w:t>durante 15 segundos y 60 °C durante 1 minuto. Todas </w:t>
      </w:r>
      <w:r>
        <w:rPr>
          <w:spacing w:val="-4"/>
        </w:rPr>
        <w:t>las </w:t>
      </w:r>
      <w:r>
        <w:rPr/>
        <w:t>muestras se analizaron por triplicado. La eficiencia de los partidores se probó usando diluciones seriadas (10</w:t>
      </w:r>
      <w:r>
        <w:rPr>
          <w:position w:val="9"/>
          <w:sz w:val="16"/>
        </w:rPr>
        <w:t>1</w:t>
      </w:r>
      <w:r>
        <w:rPr/>
        <w:t>-10</w:t>
      </w:r>
      <w:r>
        <w:rPr>
          <w:position w:val="9"/>
          <w:sz w:val="16"/>
        </w:rPr>
        <w:t>10</w:t>
      </w:r>
      <w:r>
        <w:rPr/>
        <w:t>) de una solución patrón inicial conocida para generar una curva estándar. La cuantificación relativa de los productos génicos amplificados de células se calculó por el método de 2-</w:t>
      </w:r>
      <w:r>
        <w:rPr>
          <w:position w:val="9"/>
          <w:sz w:val="16"/>
        </w:rPr>
        <w:t>ΔΔCt </w:t>
      </w:r>
      <w:r>
        <w:rPr/>
        <w:t>(Livak y Schmittgen, 2001). Para determinar </w:t>
      </w:r>
      <w:r>
        <w:rPr>
          <w:spacing w:val="-5"/>
        </w:rPr>
        <w:t>la </w:t>
      </w:r>
      <w:r>
        <w:rPr/>
        <w:t>replicación viral (expresión génica del gen VP2), los valores de Cts de VP2 se convirtieron en valores de expresión normalizados contra el factor de elongación (ELF-1(</w:t>
      </w:r>
      <w:r>
        <w:rPr>
          <w:rFonts w:ascii="Symbol" w:hAnsi="Symbol"/>
        </w:rPr>
        <w:t></w:t>
      </w:r>
      <w:r>
        <w:rPr/>
        <w:t>)) utilizando el</w:t>
      </w:r>
      <w:r>
        <w:rPr>
          <w:spacing w:val="-15"/>
        </w:rPr>
        <w:t> </w:t>
      </w:r>
      <w:r>
        <w:rPr/>
        <w:t>método</w:t>
      </w:r>
      <w:r>
        <w:rPr>
          <w:spacing w:val="-5"/>
        </w:rPr>
        <w:t> </w:t>
      </w:r>
      <w:r>
        <w:rPr/>
        <w:t>estadístico</w:t>
      </w:r>
      <w:r>
        <w:rPr>
          <w:spacing w:val="-6"/>
        </w:rPr>
        <w:t> </w:t>
      </w:r>
      <w:r>
        <w:rPr/>
        <w:t>de</w:t>
      </w:r>
      <w:r>
        <w:rPr>
          <w:spacing w:val="-12"/>
        </w:rPr>
        <w:t> </w:t>
      </w:r>
      <w:r>
        <w:rPr/>
        <w:t>curva</w:t>
      </w:r>
      <w:r>
        <w:rPr>
          <w:spacing w:val="-12"/>
        </w:rPr>
        <w:t> </w:t>
      </w:r>
      <w:r>
        <w:rPr/>
        <w:t>estándar</w:t>
      </w:r>
      <w:r>
        <w:rPr>
          <w:spacing w:val="-6"/>
        </w:rPr>
        <w:t> </w:t>
      </w:r>
      <w:r>
        <w:rPr/>
        <w:t>como</w:t>
      </w:r>
      <w:r>
        <w:rPr>
          <w:spacing w:val="-6"/>
        </w:rPr>
        <w:t> </w:t>
      </w:r>
      <w:r>
        <w:rPr/>
        <w:t>se</w:t>
      </w:r>
      <w:r>
        <w:rPr>
          <w:spacing w:val="-12"/>
        </w:rPr>
        <w:t> </w:t>
      </w:r>
      <w:r>
        <w:rPr/>
        <w:t>describe</w:t>
      </w:r>
      <w:r>
        <w:rPr>
          <w:spacing w:val="-12"/>
        </w:rPr>
        <w:t> </w:t>
      </w:r>
      <w:r>
        <w:rPr/>
        <w:t>en</w:t>
      </w:r>
      <w:r>
        <w:rPr>
          <w:spacing w:val="-15"/>
        </w:rPr>
        <w:t> </w:t>
      </w:r>
      <w:r>
        <w:rPr/>
        <w:t>el</w:t>
      </w:r>
      <w:r>
        <w:rPr>
          <w:spacing w:val="-15"/>
        </w:rPr>
        <w:t> </w:t>
      </w:r>
      <w:r>
        <w:rPr/>
        <w:t>Manual</w:t>
      </w:r>
      <w:r>
        <w:rPr>
          <w:spacing w:val="-20"/>
        </w:rPr>
        <w:t> </w:t>
      </w:r>
      <w:r>
        <w:rPr/>
        <w:t>de</w:t>
      </w:r>
      <w:r>
        <w:rPr>
          <w:spacing w:val="-12"/>
        </w:rPr>
        <w:t> </w:t>
      </w:r>
      <w:r>
        <w:rPr/>
        <w:t>usuario</w:t>
      </w:r>
      <w:r>
        <w:rPr>
          <w:spacing w:val="-6"/>
        </w:rPr>
        <w:t> </w:t>
      </w:r>
      <w:r>
        <w:rPr/>
        <w:t>de</w:t>
      </w:r>
      <w:r>
        <w:rPr>
          <w:spacing w:val="-12"/>
        </w:rPr>
        <w:t> </w:t>
      </w:r>
      <w:r>
        <w:rPr/>
        <w:t>Applied Biosystems. La secuencia de partidores específicos se documenta en el cuadro</w:t>
      </w:r>
      <w:r>
        <w:rPr>
          <w:spacing w:val="-19"/>
        </w:rPr>
        <w:t> </w:t>
      </w:r>
      <w:r>
        <w:rPr/>
        <w:t>3.</w:t>
      </w:r>
    </w:p>
    <w:p>
      <w:pPr>
        <w:spacing w:after="0" w:line="357" w:lineRule="auto"/>
        <w:jc w:val="both"/>
        <w:sectPr>
          <w:pgSz w:w="12240" w:h="15840"/>
          <w:pgMar w:header="0" w:footer="1382" w:top="1500" w:bottom="1580" w:left="1720" w:right="1420"/>
        </w:sectPr>
      </w:pPr>
    </w:p>
    <w:p>
      <w:pPr>
        <w:pStyle w:val="BodyText"/>
        <w:spacing w:before="7"/>
        <w:rPr>
          <w:sz w:val="25"/>
        </w:rPr>
      </w:pPr>
    </w:p>
    <w:p>
      <w:pPr>
        <w:pStyle w:val="BodyText"/>
        <w:spacing w:line="360" w:lineRule="auto" w:before="70" w:after="17"/>
        <w:ind w:left="152" w:right="124"/>
        <w:jc w:val="both"/>
      </w:pPr>
      <w:r>
        <w:rPr/>
        <w:t>Cuadro 3. Partidores usados para PCR tiempo real (</w:t>
      </w:r>
      <w:r>
        <w:rPr>
          <w:i/>
        </w:rPr>
        <w:t>q</w:t>
      </w:r>
      <w:r>
        <w:rPr/>
        <w:t>RT-PCR) durante el análisis de expresión de mRNA de genes antivirales y proteína VP2 de IPNV en células RTG-2 infectadas con cepas de distinta virulencia (</w:t>
      </w:r>
      <w:r>
        <w:rPr>
          <w:b/>
        </w:rPr>
        <w:t>experimento </w:t>
      </w:r>
      <w:r>
        <w:rPr>
          <w:b/>
          <w:i/>
        </w:rPr>
        <w:t>in vitro</w:t>
      </w:r>
      <w:r>
        <w:rPr/>
        <w:t>)</w:t>
      </w:r>
    </w:p>
    <w:tbl>
      <w:tblPr>
        <w:tblW w:w="0" w:type="auto"/>
        <w:jc w:val="left"/>
        <w:tblInd w:w="1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128"/>
        <w:gridCol w:w="4566"/>
        <w:gridCol w:w="1302"/>
        <w:gridCol w:w="1825"/>
      </w:tblGrid>
      <w:tr>
        <w:trPr>
          <w:trHeight w:val="1119" w:hRule="exact"/>
        </w:trPr>
        <w:tc>
          <w:tcPr>
            <w:tcW w:w="1128" w:type="dxa"/>
            <w:shd w:val="clear" w:color="auto" w:fill="BEBEBE"/>
          </w:tcPr>
          <w:p>
            <w:pPr>
              <w:pStyle w:val="TableParagraph"/>
              <w:spacing w:before="1"/>
              <w:ind w:left="211"/>
              <w:rPr>
                <w:rFonts w:ascii="Calibri"/>
                <w:b/>
                <w:sz w:val="20"/>
              </w:rPr>
            </w:pPr>
            <w:r>
              <w:rPr>
                <w:rFonts w:ascii="Calibri"/>
                <w:b/>
                <w:sz w:val="20"/>
              </w:rPr>
              <w:t>Nombre</w:t>
            </w:r>
          </w:p>
        </w:tc>
        <w:tc>
          <w:tcPr>
            <w:tcW w:w="4566" w:type="dxa"/>
            <w:shd w:val="clear" w:color="auto" w:fill="BEBEBE"/>
          </w:tcPr>
          <w:p>
            <w:pPr>
              <w:pStyle w:val="TableParagraph"/>
              <w:tabs>
                <w:tab w:pos="2928" w:val="left" w:leader="none"/>
              </w:tabs>
              <w:spacing w:before="1"/>
              <w:ind w:left="1455" w:right="1240"/>
              <w:rPr>
                <w:rFonts w:ascii="Calibri" w:hAnsi="Calibri"/>
                <w:b/>
                <w:sz w:val="20"/>
              </w:rPr>
            </w:pPr>
            <w:r>
              <w:rPr>
                <w:rFonts w:ascii="Calibri" w:hAnsi="Calibri"/>
                <w:b/>
                <w:sz w:val="20"/>
              </w:rPr>
              <w:t>Secuencia   </w:t>
            </w:r>
            <w:r>
              <w:rPr>
                <w:rFonts w:ascii="Calibri" w:hAnsi="Calibri"/>
                <w:b/>
                <w:spacing w:val="4"/>
                <w:sz w:val="20"/>
              </w:rPr>
              <w:t> </w:t>
            </w:r>
            <w:r>
              <w:rPr>
                <w:rFonts w:ascii="Calibri" w:hAnsi="Calibri"/>
                <w:b/>
                <w:spacing w:val="-3"/>
                <w:sz w:val="20"/>
              </w:rPr>
              <w:t>5´</w:t>
            </w:r>
            <w:r>
              <w:rPr>
                <w:rFonts w:ascii="Calibri" w:hAnsi="Calibri"/>
                <w:b/>
                <w:spacing w:val="-3"/>
                <w:sz w:val="20"/>
                <w:u w:val="single"/>
              </w:rPr>
              <w:t> </w:t>
              <w:tab/>
            </w:r>
            <w:r>
              <w:rPr>
                <w:rFonts w:ascii="Calibri" w:hAnsi="Calibri"/>
                <w:b/>
                <w:spacing w:val="-3"/>
                <w:sz w:val="20"/>
              </w:rPr>
              <w:t>3´</w:t>
            </w:r>
          </w:p>
        </w:tc>
        <w:tc>
          <w:tcPr>
            <w:tcW w:w="1302" w:type="dxa"/>
            <w:shd w:val="clear" w:color="auto" w:fill="BEBEBE"/>
          </w:tcPr>
          <w:p>
            <w:pPr>
              <w:pStyle w:val="TableParagraph"/>
              <w:spacing w:line="357" w:lineRule="auto" w:before="1"/>
              <w:ind w:left="197" w:right="152"/>
              <w:jc w:val="center"/>
              <w:rPr>
                <w:rFonts w:ascii="Calibri" w:hAnsi="Calibri"/>
                <w:b/>
                <w:sz w:val="13"/>
              </w:rPr>
            </w:pPr>
            <w:r>
              <w:rPr>
                <w:rFonts w:ascii="Calibri" w:hAnsi="Calibri"/>
                <w:b/>
                <w:sz w:val="20"/>
              </w:rPr>
              <w:t>Tamaño de producto (pb)</w:t>
            </w:r>
            <w:r>
              <w:rPr>
                <w:rFonts w:ascii="Calibri" w:hAnsi="Calibri"/>
                <w:b/>
                <w:position w:val="7"/>
                <w:sz w:val="13"/>
              </w:rPr>
              <w:t>a</w:t>
            </w:r>
          </w:p>
        </w:tc>
        <w:tc>
          <w:tcPr>
            <w:tcW w:w="1825" w:type="dxa"/>
            <w:shd w:val="clear" w:color="auto" w:fill="BEBEBE"/>
          </w:tcPr>
          <w:p>
            <w:pPr>
              <w:pStyle w:val="TableParagraph"/>
              <w:spacing w:line="246" w:lineRule="exact"/>
              <w:ind w:left="144"/>
              <w:rPr>
                <w:rFonts w:ascii="Calibri"/>
                <w:b/>
                <w:sz w:val="20"/>
              </w:rPr>
            </w:pPr>
            <w:r>
              <w:rPr>
                <w:rFonts w:ascii="Calibri"/>
                <w:b/>
                <w:sz w:val="20"/>
              </w:rPr>
              <w:t>GAN</w:t>
            </w:r>
            <w:r>
              <w:rPr>
                <w:rFonts w:ascii="Calibri"/>
                <w:b/>
                <w:position w:val="7"/>
                <w:sz w:val="13"/>
              </w:rPr>
              <w:t>b  </w:t>
            </w:r>
            <w:r>
              <w:rPr>
                <w:rFonts w:ascii="Calibri"/>
                <w:b/>
                <w:sz w:val="20"/>
              </w:rPr>
              <w:t>/Referencia</w:t>
            </w:r>
          </w:p>
        </w:tc>
      </w:tr>
      <w:tr>
        <w:trPr>
          <w:trHeight w:val="749" w:hRule="exact"/>
        </w:trPr>
        <w:tc>
          <w:tcPr>
            <w:tcW w:w="1128" w:type="dxa"/>
          </w:tcPr>
          <w:p>
            <w:pPr>
              <w:pStyle w:val="TableParagraph"/>
              <w:spacing w:before="1"/>
              <w:ind w:left="96"/>
              <w:rPr>
                <w:rFonts w:ascii="Calibri" w:hAnsi="Calibri"/>
                <w:b/>
                <w:sz w:val="20"/>
              </w:rPr>
            </w:pPr>
            <w:r>
              <w:rPr>
                <w:rFonts w:ascii="Calibri" w:hAnsi="Calibri"/>
                <w:b/>
                <w:sz w:val="20"/>
              </w:rPr>
              <w:t>IFN-I(</w:t>
            </w:r>
            <w:r>
              <w:rPr>
                <w:rFonts w:ascii="Calibri" w:hAnsi="Calibri"/>
                <w:b/>
                <w:i/>
                <w:sz w:val="20"/>
              </w:rPr>
              <w:t>α</w:t>
            </w:r>
            <w:r>
              <w:rPr>
                <w:rFonts w:ascii="Calibri" w:hAnsi="Calibri"/>
                <w:b/>
                <w:sz w:val="20"/>
              </w:rPr>
              <w:t>)</w:t>
            </w:r>
          </w:p>
        </w:tc>
        <w:tc>
          <w:tcPr>
            <w:tcW w:w="4566" w:type="dxa"/>
          </w:tcPr>
          <w:p>
            <w:pPr>
              <w:pStyle w:val="TableParagraph"/>
              <w:spacing w:line="357" w:lineRule="auto" w:before="1"/>
              <w:ind w:left="100" w:right="1240"/>
              <w:rPr>
                <w:rFonts w:ascii="Calibri" w:hAnsi="Calibri"/>
                <w:sz w:val="20"/>
              </w:rPr>
            </w:pPr>
            <w:r>
              <w:rPr>
                <w:rFonts w:ascii="Calibri" w:hAnsi="Calibri"/>
                <w:sz w:val="20"/>
              </w:rPr>
              <w:t>F: 5’-CCTGCCATGAAACCTTGAGAAGA-3’ R:5’-TTTCCTGATGAGCTCCCATGC-3’</w:t>
            </w:r>
          </w:p>
        </w:tc>
        <w:tc>
          <w:tcPr>
            <w:tcW w:w="1302" w:type="dxa"/>
          </w:tcPr>
          <w:p>
            <w:pPr>
              <w:pStyle w:val="TableParagraph"/>
              <w:rPr>
                <w:sz w:val="20"/>
              </w:rPr>
            </w:pPr>
          </w:p>
          <w:p>
            <w:pPr>
              <w:pStyle w:val="TableParagraph"/>
              <w:spacing w:before="136"/>
              <w:ind w:right="492"/>
              <w:jc w:val="right"/>
              <w:rPr>
                <w:rFonts w:ascii="Calibri"/>
                <w:sz w:val="20"/>
              </w:rPr>
            </w:pPr>
            <w:r>
              <w:rPr>
                <w:rFonts w:ascii="Calibri"/>
                <w:sz w:val="20"/>
              </w:rPr>
              <w:t>108</w:t>
            </w:r>
          </w:p>
        </w:tc>
        <w:tc>
          <w:tcPr>
            <w:tcW w:w="1825" w:type="dxa"/>
          </w:tcPr>
          <w:p>
            <w:pPr>
              <w:pStyle w:val="TableParagraph"/>
              <w:spacing w:before="1"/>
              <w:ind w:left="96"/>
              <w:rPr>
                <w:rFonts w:ascii="Calibri"/>
                <w:sz w:val="20"/>
              </w:rPr>
            </w:pPr>
            <w:r>
              <w:rPr>
                <w:rFonts w:ascii="Calibri"/>
                <w:sz w:val="20"/>
              </w:rPr>
              <w:t>Fj184371.1</w:t>
            </w:r>
          </w:p>
        </w:tc>
      </w:tr>
      <w:tr>
        <w:trPr>
          <w:trHeight w:val="754" w:hRule="exact"/>
        </w:trPr>
        <w:tc>
          <w:tcPr>
            <w:tcW w:w="1128" w:type="dxa"/>
          </w:tcPr>
          <w:p>
            <w:pPr>
              <w:pStyle w:val="TableParagraph"/>
              <w:spacing w:before="1"/>
              <w:ind w:left="96"/>
              <w:rPr>
                <w:rFonts w:ascii="Calibri"/>
                <w:b/>
                <w:sz w:val="20"/>
              </w:rPr>
            </w:pPr>
            <w:r>
              <w:rPr>
                <w:rFonts w:ascii="Calibri"/>
                <w:b/>
                <w:sz w:val="20"/>
              </w:rPr>
              <w:t>STAT-1</w:t>
            </w:r>
          </w:p>
        </w:tc>
        <w:tc>
          <w:tcPr>
            <w:tcW w:w="4566" w:type="dxa"/>
          </w:tcPr>
          <w:p>
            <w:pPr>
              <w:pStyle w:val="TableParagraph"/>
              <w:spacing w:line="362" w:lineRule="auto" w:before="1"/>
              <w:ind w:left="100" w:right="1826"/>
              <w:rPr>
                <w:rFonts w:ascii="Calibri" w:hAnsi="Calibri"/>
                <w:sz w:val="20"/>
              </w:rPr>
            </w:pPr>
            <w:r>
              <w:rPr>
                <w:rFonts w:ascii="Calibri" w:hAnsi="Calibri"/>
                <w:sz w:val="20"/>
              </w:rPr>
              <w:t>F: 5’-CGGGCCCTGTCACTGTTC-3’ R: 5’-GGCATACAGGGTGTCTCT-3</w:t>
            </w:r>
          </w:p>
        </w:tc>
        <w:tc>
          <w:tcPr>
            <w:tcW w:w="1302" w:type="dxa"/>
          </w:tcPr>
          <w:p>
            <w:pPr>
              <w:pStyle w:val="TableParagraph"/>
              <w:rPr>
                <w:sz w:val="20"/>
              </w:rPr>
            </w:pPr>
          </w:p>
          <w:p>
            <w:pPr>
              <w:pStyle w:val="TableParagraph"/>
              <w:spacing w:before="141"/>
              <w:ind w:right="540"/>
              <w:jc w:val="right"/>
              <w:rPr>
                <w:rFonts w:ascii="Calibri"/>
                <w:sz w:val="20"/>
              </w:rPr>
            </w:pPr>
            <w:r>
              <w:rPr>
                <w:rFonts w:ascii="Calibri"/>
                <w:sz w:val="20"/>
              </w:rPr>
              <w:t>68</w:t>
            </w:r>
          </w:p>
        </w:tc>
        <w:tc>
          <w:tcPr>
            <w:tcW w:w="1825" w:type="dxa"/>
          </w:tcPr>
          <w:p>
            <w:pPr>
              <w:pStyle w:val="TableParagraph"/>
              <w:spacing w:before="1"/>
              <w:ind w:left="96"/>
              <w:rPr>
                <w:rFonts w:ascii="Calibri"/>
                <w:sz w:val="20"/>
              </w:rPr>
            </w:pPr>
            <w:r>
              <w:rPr>
                <w:rFonts w:ascii="Calibri"/>
                <w:sz w:val="20"/>
              </w:rPr>
              <w:t>NM_001124707.1</w:t>
            </w:r>
          </w:p>
        </w:tc>
      </w:tr>
      <w:tr>
        <w:trPr>
          <w:trHeight w:val="754" w:hRule="exact"/>
        </w:trPr>
        <w:tc>
          <w:tcPr>
            <w:tcW w:w="1128" w:type="dxa"/>
          </w:tcPr>
          <w:p>
            <w:pPr>
              <w:pStyle w:val="TableParagraph"/>
              <w:spacing w:before="2"/>
              <w:ind w:left="96"/>
              <w:rPr>
                <w:rFonts w:ascii="Calibri"/>
                <w:b/>
                <w:sz w:val="20"/>
              </w:rPr>
            </w:pPr>
            <w:r>
              <w:rPr>
                <w:rFonts w:ascii="Calibri"/>
                <w:b/>
                <w:sz w:val="20"/>
              </w:rPr>
              <w:t>Mx-1</w:t>
            </w:r>
          </w:p>
        </w:tc>
        <w:tc>
          <w:tcPr>
            <w:tcW w:w="4566" w:type="dxa"/>
          </w:tcPr>
          <w:p>
            <w:pPr>
              <w:pStyle w:val="TableParagraph"/>
              <w:spacing w:line="362" w:lineRule="auto" w:before="2"/>
              <w:ind w:left="100" w:right="1577"/>
              <w:rPr>
                <w:rFonts w:ascii="Calibri" w:hAnsi="Calibri"/>
                <w:sz w:val="20"/>
              </w:rPr>
            </w:pPr>
            <w:r>
              <w:rPr>
                <w:rFonts w:ascii="Calibri" w:hAnsi="Calibri"/>
                <w:sz w:val="20"/>
              </w:rPr>
              <w:t>F: 5’-AGCTCAAACGCCTGATGAAG-3 R: 5’-ACCCCACTGAAACACACCTG-3’</w:t>
            </w:r>
          </w:p>
        </w:tc>
        <w:tc>
          <w:tcPr>
            <w:tcW w:w="1302" w:type="dxa"/>
          </w:tcPr>
          <w:p>
            <w:pPr>
              <w:pStyle w:val="TableParagraph"/>
              <w:rPr>
                <w:sz w:val="20"/>
              </w:rPr>
            </w:pPr>
          </w:p>
          <w:p>
            <w:pPr>
              <w:pStyle w:val="TableParagraph"/>
              <w:spacing w:before="141"/>
              <w:ind w:right="492"/>
              <w:jc w:val="right"/>
              <w:rPr>
                <w:rFonts w:ascii="Calibri"/>
                <w:sz w:val="20"/>
              </w:rPr>
            </w:pPr>
            <w:r>
              <w:rPr>
                <w:rFonts w:ascii="Calibri"/>
                <w:sz w:val="20"/>
              </w:rPr>
              <w:t>142</w:t>
            </w:r>
          </w:p>
        </w:tc>
        <w:tc>
          <w:tcPr>
            <w:tcW w:w="1825" w:type="dxa"/>
          </w:tcPr>
          <w:p>
            <w:pPr>
              <w:pStyle w:val="TableParagraph"/>
              <w:spacing w:before="2"/>
              <w:ind w:left="144"/>
              <w:rPr>
                <w:rFonts w:ascii="Calibri"/>
                <w:sz w:val="20"/>
              </w:rPr>
            </w:pPr>
            <w:r>
              <w:rPr>
                <w:rFonts w:ascii="Calibri"/>
                <w:sz w:val="20"/>
              </w:rPr>
              <w:t>NM_001171901</w:t>
            </w:r>
          </w:p>
        </w:tc>
      </w:tr>
      <w:tr>
        <w:trPr>
          <w:trHeight w:val="754" w:hRule="exact"/>
        </w:trPr>
        <w:tc>
          <w:tcPr>
            <w:tcW w:w="1128" w:type="dxa"/>
          </w:tcPr>
          <w:p>
            <w:pPr>
              <w:pStyle w:val="TableParagraph"/>
              <w:spacing w:before="1"/>
              <w:ind w:left="96"/>
              <w:rPr>
                <w:rFonts w:ascii="Calibri" w:hAnsi="Calibri"/>
                <w:b/>
                <w:sz w:val="20"/>
              </w:rPr>
            </w:pPr>
            <w:r>
              <w:rPr>
                <w:rFonts w:ascii="Calibri" w:hAnsi="Calibri"/>
                <w:b/>
                <w:sz w:val="20"/>
              </w:rPr>
              <w:t>ELF-1(</w:t>
            </w:r>
            <w:r>
              <w:rPr>
                <w:rFonts w:ascii="Calibri" w:hAnsi="Calibri"/>
                <w:b/>
                <w:i/>
                <w:sz w:val="20"/>
              </w:rPr>
              <w:t>α</w:t>
            </w:r>
            <w:r>
              <w:rPr>
                <w:rFonts w:ascii="Calibri" w:hAnsi="Calibri"/>
                <w:b/>
                <w:sz w:val="20"/>
              </w:rPr>
              <w:t>)</w:t>
            </w:r>
          </w:p>
        </w:tc>
        <w:tc>
          <w:tcPr>
            <w:tcW w:w="4566" w:type="dxa"/>
          </w:tcPr>
          <w:p>
            <w:pPr>
              <w:pStyle w:val="TableParagraph"/>
              <w:spacing w:line="357" w:lineRule="auto" w:before="1"/>
              <w:ind w:left="100" w:right="1592"/>
              <w:rPr>
                <w:rFonts w:ascii="Calibri" w:hAnsi="Calibri"/>
                <w:sz w:val="20"/>
              </w:rPr>
            </w:pPr>
            <w:r>
              <w:rPr>
                <w:rFonts w:ascii="Calibri" w:hAnsi="Calibri"/>
                <w:sz w:val="20"/>
              </w:rPr>
              <w:t>F: 5’-ACCCTCCTCTTGGTCGTTTC-3 R: 5’-TGATGACACCAACAGCAACA-3</w:t>
            </w:r>
          </w:p>
        </w:tc>
        <w:tc>
          <w:tcPr>
            <w:tcW w:w="1302" w:type="dxa"/>
          </w:tcPr>
          <w:p>
            <w:pPr>
              <w:pStyle w:val="TableParagraph"/>
              <w:rPr>
                <w:sz w:val="20"/>
              </w:rPr>
            </w:pPr>
          </w:p>
          <w:p>
            <w:pPr>
              <w:pStyle w:val="TableParagraph"/>
              <w:spacing w:before="136"/>
              <w:ind w:right="540"/>
              <w:jc w:val="right"/>
              <w:rPr>
                <w:rFonts w:ascii="Calibri"/>
                <w:sz w:val="20"/>
              </w:rPr>
            </w:pPr>
            <w:r>
              <w:rPr>
                <w:rFonts w:ascii="Calibri"/>
                <w:sz w:val="20"/>
              </w:rPr>
              <w:t>63</w:t>
            </w:r>
          </w:p>
        </w:tc>
        <w:tc>
          <w:tcPr>
            <w:tcW w:w="1825" w:type="dxa"/>
          </w:tcPr>
          <w:p>
            <w:pPr>
              <w:pStyle w:val="TableParagraph"/>
              <w:spacing w:before="1"/>
              <w:ind w:left="96"/>
              <w:rPr>
                <w:rFonts w:ascii="Calibri"/>
                <w:sz w:val="20"/>
              </w:rPr>
            </w:pPr>
            <w:r>
              <w:rPr>
                <w:rFonts w:ascii="Calibri"/>
                <w:sz w:val="20"/>
              </w:rPr>
              <w:t>NM_001124339.1</w:t>
            </w:r>
          </w:p>
        </w:tc>
      </w:tr>
      <w:tr>
        <w:trPr>
          <w:trHeight w:val="1119" w:hRule="exact"/>
        </w:trPr>
        <w:tc>
          <w:tcPr>
            <w:tcW w:w="1128" w:type="dxa"/>
          </w:tcPr>
          <w:p>
            <w:pPr>
              <w:pStyle w:val="TableParagraph"/>
              <w:spacing w:before="1"/>
              <w:ind w:left="96"/>
              <w:rPr>
                <w:rFonts w:ascii="Calibri"/>
                <w:b/>
                <w:sz w:val="20"/>
              </w:rPr>
            </w:pPr>
            <w:r>
              <w:rPr>
                <w:rFonts w:ascii="Calibri"/>
                <w:b/>
                <w:sz w:val="20"/>
              </w:rPr>
              <w:t>VP2</w:t>
            </w:r>
          </w:p>
        </w:tc>
        <w:tc>
          <w:tcPr>
            <w:tcW w:w="4566" w:type="dxa"/>
          </w:tcPr>
          <w:p>
            <w:pPr>
              <w:pStyle w:val="TableParagraph"/>
              <w:spacing w:line="360" w:lineRule="auto" w:before="1"/>
              <w:ind w:left="148" w:right="940" w:hanging="48"/>
              <w:rPr>
                <w:rFonts w:ascii="Calibri"/>
                <w:sz w:val="20"/>
              </w:rPr>
            </w:pPr>
            <w:r>
              <w:rPr>
                <w:rFonts w:ascii="Calibri"/>
                <w:sz w:val="20"/>
              </w:rPr>
              <w:t>WB1-CCGCAACTTACTTGAGATCCATTATGC WB2-CGTCTGGTTCAGATTCCACCTGTAGTG</w:t>
            </w:r>
          </w:p>
        </w:tc>
        <w:tc>
          <w:tcPr>
            <w:tcW w:w="1302" w:type="dxa"/>
          </w:tcPr>
          <w:p>
            <w:pPr>
              <w:pStyle w:val="TableParagraph"/>
              <w:rPr>
                <w:sz w:val="20"/>
              </w:rPr>
            </w:pPr>
          </w:p>
          <w:p>
            <w:pPr>
              <w:pStyle w:val="TableParagraph"/>
              <w:spacing w:before="136"/>
              <w:ind w:right="492"/>
              <w:jc w:val="right"/>
              <w:rPr>
                <w:rFonts w:ascii="Calibri"/>
                <w:sz w:val="20"/>
              </w:rPr>
            </w:pPr>
            <w:r>
              <w:rPr>
                <w:rFonts w:ascii="Calibri"/>
                <w:sz w:val="20"/>
              </w:rPr>
              <w:t>206</w:t>
            </w:r>
          </w:p>
        </w:tc>
        <w:tc>
          <w:tcPr>
            <w:tcW w:w="1825" w:type="dxa"/>
          </w:tcPr>
          <w:p>
            <w:pPr>
              <w:pStyle w:val="TableParagraph"/>
              <w:rPr>
                <w:sz w:val="20"/>
              </w:rPr>
            </w:pPr>
          </w:p>
          <w:p>
            <w:pPr>
              <w:pStyle w:val="TableParagraph"/>
              <w:tabs>
                <w:tab w:pos="1069" w:val="left" w:leader="none"/>
                <w:tab w:pos="1515" w:val="left" w:leader="none"/>
              </w:tabs>
              <w:spacing w:line="357" w:lineRule="auto" w:before="136"/>
              <w:ind w:left="96" w:right="98"/>
              <w:rPr>
                <w:rFonts w:ascii="Calibri"/>
                <w:sz w:val="20"/>
              </w:rPr>
            </w:pPr>
            <w:r>
              <w:rPr>
                <w:rFonts w:ascii="Calibri"/>
                <w:sz w:val="20"/>
              </w:rPr>
              <w:t>Williams</w:t>
              <w:tab/>
              <w:t>et</w:t>
              <w:tab/>
            </w:r>
            <w:r>
              <w:rPr>
                <w:rFonts w:ascii="Calibri"/>
                <w:spacing w:val="-1"/>
                <w:sz w:val="20"/>
              </w:rPr>
              <w:t>al. </w:t>
            </w:r>
            <w:r>
              <w:rPr>
                <w:rFonts w:ascii="Calibri"/>
                <w:sz w:val="20"/>
              </w:rPr>
              <w:t>(1999)</w:t>
            </w:r>
          </w:p>
        </w:tc>
      </w:tr>
    </w:tbl>
    <w:p>
      <w:pPr>
        <w:pStyle w:val="BodyText"/>
        <w:spacing w:before="11"/>
        <w:rPr>
          <w:sz w:val="26"/>
        </w:rPr>
      </w:pPr>
    </w:p>
    <w:p>
      <w:pPr>
        <w:pStyle w:val="BodyText"/>
        <w:spacing w:before="79"/>
        <w:ind w:left="152"/>
        <w:jc w:val="both"/>
      </w:pPr>
      <w:r>
        <w:rPr>
          <w:position w:val="9"/>
          <w:sz w:val="16"/>
        </w:rPr>
        <w:t>a </w:t>
      </w:r>
      <w:r>
        <w:rPr/>
        <w:t>Tamaño de producto de PCR. bp (pares de base)</w:t>
      </w:r>
    </w:p>
    <w:p>
      <w:pPr>
        <w:pStyle w:val="BodyText"/>
        <w:spacing w:line="362" w:lineRule="auto" w:before="122"/>
        <w:ind w:left="152" w:right="125"/>
        <w:jc w:val="both"/>
      </w:pPr>
      <w:r>
        <w:rPr>
          <w:position w:val="9"/>
          <w:sz w:val="16"/>
        </w:rPr>
        <w:t>b</w:t>
      </w:r>
      <w:r>
        <w:rPr/>
        <w:t>Secuencias para forward (F), reverse (R) son dados acuerdo al número de acceso del Gen bank ( GAN) o referencia.</w:t>
      </w:r>
    </w:p>
    <w:p>
      <w:pPr>
        <w:pStyle w:val="BodyText"/>
      </w:pPr>
    </w:p>
    <w:p>
      <w:pPr>
        <w:pStyle w:val="Heading2"/>
        <w:numPr>
          <w:ilvl w:val="2"/>
          <w:numId w:val="12"/>
        </w:numPr>
        <w:tabs>
          <w:tab w:pos="758" w:val="left" w:leader="none"/>
        </w:tabs>
        <w:spacing w:line="240" w:lineRule="auto" w:before="143" w:after="0"/>
        <w:ind w:left="757" w:right="0" w:hanging="605"/>
        <w:jc w:val="both"/>
        <w:rPr>
          <w:i/>
        </w:rPr>
      </w:pPr>
      <w:bookmarkStart w:name="_bookmark39" w:id="72"/>
      <w:bookmarkEnd w:id="72"/>
      <w:r>
        <w:rPr>
          <w:b w:val="0"/>
          <w:i w:val="0"/>
        </w:rPr>
      </w:r>
      <w:bookmarkStart w:name="_bookmark39" w:id="73"/>
      <w:bookmarkEnd w:id="73"/>
      <w:r>
        <w:rPr>
          <w:i/>
        </w:rPr>
        <w:t>I</w:t>
      </w:r>
      <w:r>
        <w:rPr>
          <w:i/>
        </w:rPr>
        <w:t>nmunotransferencia para fosforilación de Y701-STAT1</w:t>
      </w:r>
      <w:r>
        <w:rPr>
          <w:i/>
          <w:spacing w:val="-25"/>
        </w:rPr>
        <w:t> </w:t>
      </w:r>
      <w:r>
        <w:rPr>
          <w:i/>
        </w:rPr>
        <w:t>(α/β)</w:t>
      </w:r>
    </w:p>
    <w:p>
      <w:pPr>
        <w:pStyle w:val="BodyText"/>
        <w:spacing w:line="360" w:lineRule="auto" w:before="36"/>
        <w:ind w:left="152" w:right="120"/>
        <w:jc w:val="both"/>
      </w:pPr>
      <w:r>
        <w:rPr/>
        <w:t>Las</w:t>
      </w:r>
      <w:r>
        <w:rPr>
          <w:spacing w:val="-11"/>
        </w:rPr>
        <w:t> </w:t>
      </w:r>
      <w:r>
        <w:rPr/>
        <w:t>células</w:t>
      </w:r>
      <w:r>
        <w:rPr>
          <w:spacing w:val="-10"/>
        </w:rPr>
        <w:t> </w:t>
      </w:r>
      <w:r>
        <w:rPr/>
        <w:t>(RTG-2)</w:t>
      </w:r>
      <w:r>
        <w:rPr>
          <w:spacing w:val="-7"/>
        </w:rPr>
        <w:t> </w:t>
      </w:r>
      <w:r>
        <w:rPr/>
        <w:t>fueron</w:t>
      </w:r>
      <w:r>
        <w:rPr>
          <w:spacing w:val="-13"/>
        </w:rPr>
        <w:t> </w:t>
      </w:r>
      <w:r>
        <w:rPr/>
        <w:t>cultivadas</w:t>
      </w:r>
      <w:r>
        <w:rPr>
          <w:spacing w:val="-11"/>
        </w:rPr>
        <w:t> </w:t>
      </w:r>
      <w:r>
        <w:rPr/>
        <w:t>a</w:t>
      </w:r>
      <w:r>
        <w:rPr>
          <w:spacing w:val="-10"/>
        </w:rPr>
        <w:t> </w:t>
      </w:r>
      <w:r>
        <w:rPr/>
        <w:t>15</w:t>
      </w:r>
      <w:r>
        <w:rPr>
          <w:spacing w:val="-2"/>
        </w:rPr>
        <w:t> </w:t>
      </w:r>
      <w:r>
        <w:rPr>
          <w:spacing w:val="-3"/>
        </w:rPr>
        <w:t>°C</w:t>
      </w:r>
      <w:r>
        <w:rPr>
          <w:spacing w:val="-10"/>
        </w:rPr>
        <w:t> </w:t>
      </w:r>
      <w:r>
        <w:rPr/>
        <w:t>en</w:t>
      </w:r>
      <w:r>
        <w:rPr>
          <w:spacing w:val="-13"/>
        </w:rPr>
        <w:t> </w:t>
      </w:r>
      <w:r>
        <w:rPr/>
        <w:t>placas</w:t>
      </w:r>
      <w:r>
        <w:rPr>
          <w:spacing w:val="-11"/>
        </w:rPr>
        <w:t> </w:t>
      </w:r>
      <w:r>
        <w:rPr/>
        <w:t>de</w:t>
      </w:r>
      <w:r>
        <w:rPr>
          <w:spacing w:val="-10"/>
        </w:rPr>
        <w:t> </w:t>
      </w:r>
      <w:r>
        <w:rPr/>
        <w:t>6</w:t>
      </w:r>
      <w:r>
        <w:rPr>
          <w:spacing w:val="-9"/>
        </w:rPr>
        <w:t> </w:t>
      </w:r>
      <w:r>
        <w:rPr/>
        <w:t>pocillos</w:t>
      </w:r>
      <w:r>
        <w:rPr>
          <w:spacing w:val="-11"/>
        </w:rPr>
        <w:t> </w:t>
      </w:r>
      <w:r>
        <w:rPr/>
        <w:t>en</w:t>
      </w:r>
      <w:r>
        <w:rPr>
          <w:spacing w:val="-9"/>
        </w:rPr>
        <w:t> </w:t>
      </w:r>
      <w:r>
        <w:rPr>
          <w:spacing w:val="-3"/>
        </w:rPr>
        <w:t>medio</w:t>
      </w:r>
      <w:r>
        <w:rPr>
          <w:spacing w:val="-4"/>
        </w:rPr>
        <w:t> </w:t>
      </w:r>
      <w:r>
        <w:rPr/>
        <w:t>L-15</w:t>
      </w:r>
      <w:r>
        <w:rPr>
          <w:spacing w:val="-9"/>
        </w:rPr>
        <w:t> </w:t>
      </w:r>
      <w:r>
        <w:rPr>
          <w:color w:val="202020"/>
        </w:rPr>
        <w:t>(Gibco, Invitrogen Corp. Carlsbad, California) </w:t>
      </w:r>
      <w:r>
        <w:rPr/>
        <w:t>con 10 % </w:t>
      </w:r>
      <w:r>
        <w:rPr>
          <w:spacing w:val="-3"/>
        </w:rPr>
        <w:t>de </w:t>
      </w:r>
      <w:r>
        <w:rPr/>
        <w:t>FBS</w:t>
      </w:r>
      <w:r>
        <w:rPr>
          <w:color w:val="202020"/>
        </w:rPr>
        <w:t>. Previo al experimento, </w:t>
      </w:r>
      <w:r>
        <w:rPr>
          <w:color w:val="202020"/>
          <w:spacing w:val="-4"/>
        </w:rPr>
        <w:t>las </w:t>
      </w:r>
      <w:r>
        <w:rPr>
          <w:color w:val="202020"/>
        </w:rPr>
        <w:t>células fueron inactivadas durante </w:t>
      </w:r>
      <w:r>
        <w:rPr>
          <w:color w:val="202020"/>
          <w:spacing w:val="-5"/>
        </w:rPr>
        <w:t>la </w:t>
      </w:r>
      <w:r>
        <w:rPr>
          <w:color w:val="202020"/>
        </w:rPr>
        <w:t>noche en L-15 con </w:t>
      </w:r>
      <w:r>
        <w:rPr>
          <w:color w:val="202020"/>
          <w:spacing w:val="-2"/>
        </w:rPr>
        <w:t>FBS </w:t>
      </w:r>
      <w:r>
        <w:rPr>
          <w:color w:val="202020"/>
        </w:rPr>
        <w:t>al 2% con el </w:t>
      </w:r>
      <w:r>
        <w:rPr>
          <w:color w:val="202020"/>
          <w:spacing w:val="-3"/>
        </w:rPr>
        <w:t>fin </w:t>
      </w:r>
      <w:r>
        <w:rPr>
          <w:color w:val="202020"/>
        </w:rPr>
        <w:t>de alcanzar un nivel basal de fosforilación de proteínas. Posteriormente se infectaron por triplicado (MOI=0.1). Después de </w:t>
      </w:r>
      <w:r>
        <w:rPr>
          <w:color w:val="202020"/>
          <w:spacing w:val="-3"/>
        </w:rPr>
        <w:t>la </w:t>
      </w:r>
      <w:r>
        <w:rPr>
          <w:color w:val="202020"/>
        </w:rPr>
        <w:t>infección se continuó </w:t>
      </w:r>
      <w:r>
        <w:rPr>
          <w:color w:val="202020"/>
          <w:spacing w:val="-5"/>
        </w:rPr>
        <w:t>la </w:t>
      </w:r>
      <w:r>
        <w:rPr>
          <w:color w:val="202020"/>
        </w:rPr>
        <w:t>incubación a </w:t>
      </w:r>
      <w:r>
        <w:rPr>
          <w:color w:val="202020"/>
          <w:spacing w:val="-3"/>
        </w:rPr>
        <w:t>la misma </w:t>
      </w:r>
      <w:r>
        <w:rPr>
          <w:color w:val="202020"/>
        </w:rPr>
        <w:t>temperatura hasta que fue interrumpida</w:t>
      </w:r>
      <w:r>
        <w:rPr>
          <w:color w:val="202020"/>
          <w:spacing w:val="-16"/>
        </w:rPr>
        <w:t> </w:t>
      </w:r>
      <w:r>
        <w:rPr>
          <w:color w:val="202020"/>
        </w:rPr>
        <w:t>a</w:t>
      </w:r>
      <w:r>
        <w:rPr>
          <w:color w:val="202020"/>
          <w:spacing w:val="-12"/>
        </w:rPr>
        <w:t> </w:t>
      </w:r>
      <w:r>
        <w:rPr>
          <w:color w:val="202020"/>
        </w:rPr>
        <w:t>los</w:t>
      </w:r>
      <w:r>
        <w:rPr>
          <w:color w:val="202020"/>
          <w:spacing w:val="-18"/>
        </w:rPr>
        <w:t> </w:t>
      </w:r>
      <w:r>
        <w:rPr>
          <w:color w:val="202020"/>
        </w:rPr>
        <w:t>0</w:t>
      </w:r>
      <w:r>
        <w:rPr>
          <w:color w:val="202020"/>
          <w:spacing w:val="-11"/>
        </w:rPr>
        <w:t> </w:t>
      </w:r>
      <w:r>
        <w:rPr>
          <w:color w:val="202020"/>
        </w:rPr>
        <w:t>minutos,</w:t>
      </w:r>
      <w:r>
        <w:rPr>
          <w:color w:val="202020"/>
          <w:spacing w:val="-13"/>
        </w:rPr>
        <w:t> </w:t>
      </w:r>
      <w:r>
        <w:rPr>
          <w:color w:val="202020"/>
          <w:spacing w:val="-3"/>
        </w:rPr>
        <w:t>1,</w:t>
      </w:r>
      <w:r>
        <w:rPr>
          <w:color w:val="202020"/>
          <w:spacing w:val="-13"/>
        </w:rPr>
        <w:t> </w:t>
      </w:r>
      <w:r>
        <w:rPr>
          <w:color w:val="202020"/>
          <w:spacing w:val="-3"/>
        </w:rPr>
        <w:t>4,</w:t>
      </w:r>
      <w:r>
        <w:rPr>
          <w:color w:val="202020"/>
          <w:spacing w:val="-13"/>
        </w:rPr>
        <w:t> </w:t>
      </w:r>
      <w:r>
        <w:rPr>
          <w:color w:val="202020"/>
          <w:spacing w:val="-3"/>
        </w:rPr>
        <w:t>8,</w:t>
      </w:r>
      <w:r>
        <w:rPr>
          <w:color w:val="202020"/>
          <w:spacing w:val="-13"/>
        </w:rPr>
        <w:t> </w:t>
      </w:r>
      <w:r>
        <w:rPr>
          <w:color w:val="202020"/>
        </w:rPr>
        <w:t>12</w:t>
      </w:r>
      <w:r>
        <w:rPr>
          <w:color w:val="202020"/>
          <w:spacing w:val="-20"/>
        </w:rPr>
        <w:t> </w:t>
      </w:r>
      <w:r>
        <w:rPr>
          <w:color w:val="202020"/>
        </w:rPr>
        <w:t>y</w:t>
      </w:r>
      <w:r>
        <w:rPr>
          <w:color w:val="202020"/>
          <w:spacing w:val="-25"/>
        </w:rPr>
        <w:t> </w:t>
      </w:r>
      <w:r>
        <w:rPr>
          <w:color w:val="202020"/>
        </w:rPr>
        <w:t>24</w:t>
      </w:r>
      <w:r>
        <w:rPr>
          <w:color w:val="202020"/>
          <w:spacing w:val="-14"/>
        </w:rPr>
        <w:t> </w:t>
      </w:r>
      <w:r>
        <w:rPr>
          <w:color w:val="202020"/>
        </w:rPr>
        <w:t>horas</w:t>
      </w:r>
      <w:r>
        <w:rPr>
          <w:color w:val="202020"/>
          <w:spacing w:val="-18"/>
        </w:rPr>
        <w:t> </w:t>
      </w:r>
      <w:r>
        <w:rPr>
          <w:color w:val="202020"/>
        </w:rPr>
        <w:t>(hpi).</w:t>
      </w:r>
      <w:r>
        <w:rPr>
          <w:color w:val="202020"/>
          <w:spacing w:val="-13"/>
        </w:rPr>
        <w:t> </w:t>
      </w:r>
      <w:r>
        <w:rPr>
          <w:color w:val="202020"/>
        </w:rPr>
        <w:t>Posteriormente,</w:t>
      </w:r>
      <w:r>
        <w:rPr>
          <w:color w:val="202020"/>
          <w:spacing w:val="-13"/>
        </w:rPr>
        <w:t> </w:t>
      </w:r>
      <w:r>
        <w:rPr>
          <w:color w:val="202020"/>
          <w:spacing w:val="-3"/>
        </w:rPr>
        <w:t>las</w:t>
      </w:r>
      <w:r>
        <w:rPr>
          <w:color w:val="202020"/>
          <w:spacing w:val="-17"/>
        </w:rPr>
        <w:t> </w:t>
      </w:r>
      <w:r>
        <w:rPr>
          <w:color w:val="202020"/>
        </w:rPr>
        <w:t>células</w:t>
      </w:r>
      <w:r>
        <w:rPr>
          <w:color w:val="202020"/>
          <w:spacing w:val="-17"/>
        </w:rPr>
        <w:t> </w:t>
      </w:r>
      <w:r>
        <w:rPr>
          <w:color w:val="202020"/>
        </w:rPr>
        <w:t>se</w:t>
      </w:r>
      <w:r>
        <w:rPr>
          <w:color w:val="202020"/>
          <w:spacing w:val="-12"/>
        </w:rPr>
        <w:t> </w:t>
      </w:r>
      <w:r>
        <w:rPr>
          <w:color w:val="202020"/>
        </w:rPr>
        <w:t>lisaron usando 300 µL / </w:t>
      </w:r>
      <w:r>
        <w:rPr>
          <w:color w:val="202020"/>
          <w:spacing w:val="-3"/>
        </w:rPr>
        <w:t>pocillo </w:t>
      </w:r>
      <w:r>
        <w:rPr>
          <w:color w:val="202020"/>
        </w:rPr>
        <w:t>de buffer de lisis (500 </w:t>
      </w:r>
      <w:r>
        <w:rPr>
          <w:color w:val="202020"/>
          <w:spacing w:val="-3"/>
        </w:rPr>
        <w:t>mM </w:t>
      </w:r>
      <w:r>
        <w:rPr>
          <w:color w:val="202020"/>
        </w:rPr>
        <w:t>Tris-HCl pH 7.5, 150 </w:t>
      </w:r>
      <w:r>
        <w:rPr>
          <w:color w:val="202020"/>
          <w:spacing w:val="-3"/>
        </w:rPr>
        <w:t>mM </w:t>
      </w:r>
      <w:r>
        <w:rPr>
          <w:color w:val="202020"/>
        </w:rPr>
        <w:t>NaCl, 1 </w:t>
      </w:r>
      <w:r>
        <w:rPr>
          <w:color w:val="202020"/>
          <w:spacing w:val="-3"/>
        </w:rPr>
        <w:t>mM </w:t>
      </w:r>
      <w:r>
        <w:rPr>
          <w:color w:val="202020"/>
        </w:rPr>
        <w:t>EDTA,  1  </w:t>
      </w:r>
      <w:r>
        <w:rPr>
          <w:color w:val="202020"/>
          <w:spacing w:val="-3"/>
        </w:rPr>
        <w:t>mM  </w:t>
      </w:r>
      <w:r>
        <w:rPr>
          <w:color w:val="202020"/>
        </w:rPr>
        <w:t>de  EGTA,  0.25  %  de  desoxicolato  de  sodio,  1  </w:t>
      </w:r>
      <w:r>
        <w:rPr>
          <w:color w:val="202020"/>
          <w:spacing w:val="-5"/>
        </w:rPr>
        <w:t>mM  </w:t>
      </w:r>
      <w:r>
        <w:rPr>
          <w:color w:val="202020"/>
        </w:rPr>
        <w:t>PMSF,  1  </w:t>
      </w:r>
      <w:r>
        <w:rPr>
          <w:color w:val="202020"/>
          <w:spacing w:val="-5"/>
        </w:rPr>
        <w:t>mM </w:t>
      </w:r>
      <w:r>
        <w:rPr>
          <w:color w:val="202020"/>
          <w:spacing w:val="-3"/>
        </w:rPr>
        <w:t> </w:t>
      </w:r>
      <w:r>
        <w:rPr>
          <w:color w:val="202020"/>
          <w:spacing w:val="5"/>
        </w:rPr>
        <w:t>p-</w:t>
      </w:r>
    </w:p>
    <w:p>
      <w:pPr>
        <w:spacing w:after="0" w:line="360" w:lineRule="auto"/>
        <w:jc w:val="both"/>
        <w:sectPr>
          <w:pgSz w:w="12240" w:h="15840"/>
          <w:pgMar w:header="0" w:footer="1382" w:top="1500" w:bottom="1580" w:left="1720" w:right="1400"/>
        </w:sectPr>
      </w:pPr>
    </w:p>
    <w:p>
      <w:pPr>
        <w:pStyle w:val="BodyText"/>
        <w:spacing w:before="7"/>
        <w:rPr>
          <w:sz w:val="25"/>
        </w:rPr>
      </w:pPr>
    </w:p>
    <w:p>
      <w:pPr>
        <w:pStyle w:val="BodyText"/>
        <w:spacing w:line="360" w:lineRule="auto" w:before="70"/>
        <w:ind w:left="152" w:right="102"/>
        <w:jc w:val="both"/>
      </w:pPr>
      <w:r>
        <w:rPr>
          <w:color w:val="202020"/>
        </w:rPr>
        <w:t>nitrofenilfosfato,</w:t>
      </w:r>
      <w:r>
        <w:rPr>
          <w:color w:val="202020"/>
          <w:spacing w:val="-3"/>
        </w:rPr>
        <w:t> </w:t>
      </w:r>
      <w:r>
        <w:rPr>
          <w:color w:val="202020"/>
        </w:rPr>
        <w:t>NP-40</w:t>
      </w:r>
      <w:r>
        <w:rPr>
          <w:color w:val="202020"/>
          <w:spacing w:val="-10"/>
        </w:rPr>
        <w:t> </w:t>
      </w:r>
      <w:r>
        <w:rPr>
          <w:color w:val="202020"/>
        </w:rPr>
        <w:t>al</w:t>
      </w:r>
      <w:r>
        <w:rPr>
          <w:color w:val="202020"/>
          <w:spacing w:val="-14"/>
        </w:rPr>
        <w:t> </w:t>
      </w:r>
      <w:r>
        <w:rPr>
          <w:color w:val="202020"/>
        </w:rPr>
        <w:t>1</w:t>
      </w:r>
      <w:r>
        <w:rPr>
          <w:color w:val="202020"/>
          <w:spacing w:val="-4"/>
        </w:rPr>
        <w:t> </w:t>
      </w:r>
      <w:r>
        <w:rPr>
          <w:color w:val="202020"/>
        </w:rPr>
        <w:t>%,</w:t>
      </w:r>
      <w:r>
        <w:rPr>
          <w:color w:val="202020"/>
          <w:spacing w:val="3"/>
        </w:rPr>
        <w:t> </w:t>
      </w:r>
      <w:r>
        <w:rPr>
          <w:color w:val="202020"/>
        </w:rPr>
        <w:t>y</w:t>
      </w:r>
      <w:r>
        <w:rPr>
          <w:color w:val="202020"/>
          <w:spacing w:val="-14"/>
        </w:rPr>
        <w:t> </w:t>
      </w:r>
      <w:r>
        <w:rPr>
          <w:color w:val="202020"/>
        </w:rPr>
        <w:t>una</w:t>
      </w:r>
      <w:r>
        <w:rPr>
          <w:color w:val="202020"/>
          <w:spacing w:val="-1"/>
        </w:rPr>
        <w:t> </w:t>
      </w:r>
      <w:r>
        <w:rPr>
          <w:color w:val="202020"/>
        </w:rPr>
        <w:t>mezcla</w:t>
      </w:r>
      <w:r>
        <w:rPr>
          <w:color w:val="202020"/>
          <w:spacing w:val="-6"/>
        </w:rPr>
        <w:t> </w:t>
      </w:r>
      <w:r>
        <w:rPr>
          <w:color w:val="202020"/>
        </w:rPr>
        <w:t>de</w:t>
      </w:r>
      <w:r>
        <w:rPr>
          <w:color w:val="202020"/>
          <w:spacing w:val="-1"/>
        </w:rPr>
        <w:t> </w:t>
      </w:r>
      <w:r>
        <w:rPr>
          <w:color w:val="202020"/>
        </w:rPr>
        <w:t>inhibidor</w:t>
      </w:r>
      <w:r>
        <w:rPr>
          <w:color w:val="202020"/>
          <w:spacing w:val="-3"/>
        </w:rPr>
        <w:t> </w:t>
      </w:r>
      <w:r>
        <w:rPr>
          <w:color w:val="202020"/>
        </w:rPr>
        <w:t>de</w:t>
      </w:r>
      <w:r>
        <w:rPr>
          <w:color w:val="202020"/>
          <w:spacing w:val="-6"/>
        </w:rPr>
        <w:t> </w:t>
      </w:r>
      <w:r>
        <w:rPr>
          <w:color w:val="202020"/>
        </w:rPr>
        <w:t>proteasa</w:t>
      </w:r>
      <w:r>
        <w:rPr>
          <w:color w:val="202020"/>
          <w:spacing w:val="-2"/>
        </w:rPr>
        <w:t> </w:t>
      </w:r>
      <w:r>
        <w:rPr>
          <w:color w:val="202020"/>
        </w:rPr>
        <w:t>y</w:t>
      </w:r>
      <w:r>
        <w:rPr>
          <w:color w:val="202020"/>
          <w:spacing w:val="-10"/>
        </w:rPr>
        <w:t> </w:t>
      </w:r>
      <w:r>
        <w:rPr>
          <w:color w:val="202020"/>
        </w:rPr>
        <w:t>fosfatasa</w:t>
      </w:r>
      <w:r>
        <w:rPr>
          <w:color w:val="202020"/>
          <w:spacing w:val="-6"/>
        </w:rPr>
        <w:t> </w:t>
      </w:r>
      <w:r>
        <w:rPr>
          <w:color w:val="202020"/>
        </w:rPr>
        <w:t>al</w:t>
      </w:r>
      <w:r>
        <w:rPr>
          <w:color w:val="202020"/>
          <w:spacing w:val="-14"/>
        </w:rPr>
        <w:t> </w:t>
      </w:r>
      <w:r>
        <w:rPr>
          <w:color w:val="202020"/>
        </w:rPr>
        <w:t>1</w:t>
      </w:r>
      <w:r>
        <w:rPr>
          <w:color w:val="202020"/>
          <w:spacing w:val="-3"/>
        </w:rPr>
        <w:t> </w:t>
      </w:r>
      <w:r>
        <w:rPr>
          <w:color w:val="202020"/>
        </w:rPr>
        <w:t>%),</w:t>
      </w:r>
      <w:r>
        <w:rPr>
          <w:color w:val="202020"/>
          <w:spacing w:val="-2"/>
        </w:rPr>
        <w:t> </w:t>
      </w:r>
      <w:r>
        <w:rPr>
          <w:color w:val="202020"/>
        </w:rPr>
        <w:t>se incubaron en </w:t>
      </w:r>
      <w:r>
        <w:rPr>
          <w:color w:val="202020"/>
          <w:spacing w:val="-3"/>
        </w:rPr>
        <w:t>hielo </w:t>
      </w:r>
      <w:r>
        <w:rPr>
          <w:color w:val="202020"/>
        </w:rPr>
        <w:t>durante 5 minutos y se extrajeron mediante un raspado. Las proteínas resultantes fueron centrifugadas a 14.000 × g durante 10 minutos a 4 </w:t>
      </w:r>
      <w:r>
        <w:rPr>
          <w:color w:val="202020"/>
          <w:spacing w:val="-3"/>
        </w:rPr>
        <w:t>°C </w:t>
      </w:r>
      <w:r>
        <w:rPr>
          <w:color w:val="202020"/>
        </w:rPr>
        <w:t>y se cuantificaron mediante el método de Bradford utilizando BSA como estándar (concentración 20 mg/mL). Una medida de 100 µg de proteína se resolvió en 12 % de SDS-PAGE y se transfirió a una membrana de nitrocelulosa durante 2 </w:t>
      </w:r>
      <w:r>
        <w:rPr>
          <w:color w:val="202020"/>
          <w:spacing w:val="-3"/>
        </w:rPr>
        <w:t>h, </w:t>
      </w:r>
      <w:r>
        <w:rPr>
          <w:color w:val="202020"/>
        </w:rPr>
        <w:t>a 200 mA. Posteriormente, </w:t>
      </w:r>
      <w:r>
        <w:rPr>
          <w:color w:val="202020"/>
          <w:spacing w:val="-5"/>
        </w:rPr>
        <w:t>la </w:t>
      </w:r>
      <w:r>
        <w:rPr>
          <w:color w:val="202020"/>
        </w:rPr>
        <w:t>membrana se incubó en buffer de bloqueo (1 x TBS, 0,1 % Tween-20 y 5 % de leche en polvo libre de grasa) durante 2 horas a temperatura ambiente, se </w:t>
      </w:r>
      <w:r>
        <w:rPr>
          <w:color w:val="202020"/>
          <w:spacing w:val="-3"/>
        </w:rPr>
        <w:t>lavó </w:t>
      </w:r>
      <w:r>
        <w:rPr>
          <w:color w:val="202020"/>
        </w:rPr>
        <w:t>y se </w:t>
      </w:r>
      <w:r>
        <w:rPr>
          <w:color w:val="202020"/>
          <w:spacing w:val="-2"/>
        </w:rPr>
        <w:t>incubó </w:t>
      </w:r>
      <w:r>
        <w:rPr>
          <w:color w:val="202020"/>
        </w:rPr>
        <w:t>durante </w:t>
      </w:r>
      <w:r>
        <w:rPr>
          <w:color w:val="202020"/>
          <w:spacing w:val="-5"/>
        </w:rPr>
        <w:t>la </w:t>
      </w:r>
      <w:r>
        <w:rPr/>
        <w:t>noche a 4 </w:t>
      </w:r>
      <w:r>
        <w:rPr>
          <w:spacing w:val="-3"/>
        </w:rPr>
        <w:t>°C </w:t>
      </w:r>
      <w:r>
        <w:rPr/>
        <w:t>con un anticuerpo monoclonal (anti-fosfo-STAT1(α/β)) a una dilución de 1: 500 (Cell signaling, Beverly,</w:t>
      </w:r>
      <w:r>
        <w:rPr>
          <w:spacing w:val="-11"/>
        </w:rPr>
        <w:t> </w:t>
      </w:r>
      <w:r>
        <w:rPr/>
        <w:t>MA,</w:t>
      </w:r>
      <w:r>
        <w:rPr>
          <w:spacing w:val="-11"/>
        </w:rPr>
        <w:t> </w:t>
      </w:r>
      <w:r>
        <w:rPr/>
        <w:t>USA,</w:t>
      </w:r>
      <w:r>
        <w:rPr>
          <w:spacing w:val="-9"/>
        </w:rPr>
        <w:t> </w:t>
      </w:r>
      <w:r>
        <w:rPr/>
        <w:t>cat</w:t>
      </w:r>
      <w:r>
        <w:rPr>
          <w:spacing w:val="-12"/>
        </w:rPr>
        <w:t> </w:t>
      </w:r>
      <w:r>
        <w:rPr/>
        <w:t>#</w:t>
      </w:r>
      <w:r>
        <w:rPr>
          <w:spacing w:val="-13"/>
        </w:rPr>
        <w:t> </w:t>
      </w:r>
      <w:r>
        <w:rPr/>
        <w:t>7649).</w:t>
      </w:r>
      <w:r>
        <w:rPr>
          <w:spacing w:val="-14"/>
        </w:rPr>
        <w:t> </w:t>
      </w:r>
      <w:r>
        <w:rPr/>
        <w:t>La</w:t>
      </w:r>
      <w:r>
        <w:rPr>
          <w:spacing w:val="-13"/>
        </w:rPr>
        <w:t> </w:t>
      </w:r>
      <w:r>
        <w:rPr/>
        <w:t>membrana</w:t>
      </w:r>
      <w:r>
        <w:rPr>
          <w:spacing w:val="-14"/>
        </w:rPr>
        <w:t> </w:t>
      </w:r>
      <w:r>
        <w:rPr/>
        <w:t>se</w:t>
      </w:r>
      <w:r>
        <w:rPr>
          <w:spacing w:val="-9"/>
        </w:rPr>
        <w:t> </w:t>
      </w:r>
      <w:r>
        <w:rPr/>
        <w:t>lavó</w:t>
      </w:r>
      <w:r>
        <w:rPr>
          <w:spacing w:val="-3"/>
        </w:rPr>
        <w:t> </w:t>
      </w:r>
      <w:r>
        <w:rPr/>
        <w:t>y</w:t>
      </w:r>
      <w:r>
        <w:rPr>
          <w:spacing w:val="-21"/>
        </w:rPr>
        <w:t> </w:t>
      </w:r>
      <w:r>
        <w:rPr/>
        <w:t>después</w:t>
      </w:r>
      <w:r>
        <w:rPr>
          <w:spacing w:val="-14"/>
        </w:rPr>
        <w:t> </w:t>
      </w:r>
      <w:r>
        <w:rPr/>
        <w:t>se</w:t>
      </w:r>
      <w:r>
        <w:rPr>
          <w:spacing w:val="-9"/>
        </w:rPr>
        <w:t> </w:t>
      </w:r>
      <w:r>
        <w:rPr/>
        <w:t>incubó</w:t>
      </w:r>
      <w:r>
        <w:rPr>
          <w:spacing w:val="-8"/>
        </w:rPr>
        <w:t> </w:t>
      </w:r>
      <w:r>
        <w:rPr/>
        <w:t>con</w:t>
      </w:r>
      <w:r>
        <w:rPr>
          <w:spacing w:val="-16"/>
        </w:rPr>
        <w:t> </w:t>
      </w:r>
      <w:r>
        <w:rPr/>
        <w:t>un</w:t>
      </w:r>
      <w:r>
        <w:rPr>
          <w:spacing w:val="-16"/>
        </w:rPr>
        <w:t> </w:t>
      </w:r>
      <w:r>
        <w:rPr/>
        <w:t>anticuerpo secundario </w:t>
      </w:r>
      <w:r>
        <w:rPr>
          <w:color w:val="202020"/>
        </w:rPr>
        <w:t>de cabra anti-IgG de conejo-conjugado-HRP a una dilución 1:2000 (Santa Cruz Biotechnology, Santa Cruz, </w:t>
      </w:r>
      <w:r>
        <w:rPr>
          <w:color w:val="202020"/>
          <w:spacing w:val="-3"/>
        </w:rPr>
        <w:t>CA, </w:t>
      </w:r>
      <w:r>
        <w:rPr>
          <w:color w:val="202020"/>
        </w:rPr>
        <w:t>EE.UU) durante 2 </w:t>
      </w:r>
      <w:r>
        <w:rPr>
          <w:color w:val="202020"/>
          <w:spacing w:val="-3"/>
        </w:rPr>
        <w:t>h, </w:t>
      </w:r>
      <w:r>
        <w:rPr>
          <w:color w:val="202020"/>
        </w:rPr>
        <w:t>y se visualizaron usando un reactivo de quimioluminiscencia (ECL) (Perkin-Elmer, EE.UU). El peso molecular de </w:t>
      </w:r>
      <w:r>
        <w:rPr>
          <w:color w:val="202020"/>
          <w:spacing w:val="-5"/>
        </w:rPr>
        <w:t>la </w:t>
      </w:r>
      <w:r>
        <w:rPr>
          <w:color w:val="202020"/>
        </w:rPr>
        <w:t>fosfoproteína se determinó basándose en estándares pre-coloreados de peso molecular conocido. Para detectar actina en </w:t>
      </w:r>
      <w:r>
        <w:rPr>
          <w:color w:val="202020"/>
          <w:spacing w:val="-5"/>
        </w:rPr>
        <w:t>la </w:t>
      </w:r>
      <w:r>
        <w:rPr>
          <w:color w:val="202020"/>
        </w:rPr>
        <w:t>misma membrana, el anticuerpo primario se retiró por incubación en solución de extracción (100 </w:t>
      </w:r>
      <w:r>
        <w:rPr>
          <w:color w:val="202020"/>
          <w:spacing w:val="-5"/>
        </w:rPr>
        <w:t>mM </w:t>
      </w:r>
      <w:r>
        <w:rPr>
          <w:color w:val="202020"/>
        </w:rPr>
        <w:t>2-mercaptoetanol; SDS al 2 %; 62.5 </w:t>
      </w:r>
      <w:r>
        <w:rPr>
          <w:color w:val="202020"/>
          <w:spacing w:val="-3"/>
        </w:rPr>
        <w:t>mM </w:t>
      </w:r>
      <w:r>
        <w:rPr>
          <w:color w:val="202020"/>
        </w:rPr>
        <w:t>Tris-HCl , pH 6,7 ) durante 30 minutos a 50 </w:t>
      </w:r>
      <w:r>
        <w:rPr>
          <w:color w:val="202020"/>
          <w:spacing w:val="-3"/>
        </w:rPr>
        <w:t>°C </w:t>
      </w:r>
      <w:r>
        <w:rPr>
          <w:color w:val="202020"/>
        </w:rPr>
        <w:t>en agitación, seguido de varios lavados con TBS-Tween</w:t>
      </w:r>
      <w:r>
        <w:rPr>
          <w:color w:val="202020"/>
          <w:spacing w:val="-10"/>
        </w:rPr>
        <w:t> </w:t>
      </w:r>
      <w:r>
        <w:rPr>
          <w:color w:val="202020"/>
        </w:rPr>
        <w:t>0,1</w:t>
      </w:r>
      <w:r>
        <w:rPr>
          <w:color w:val="202020"/>
          <w:spacing w:val="-5"/>
        </w:rPr>
        <w:t> </w:t>
      </w:r>
      <w:r>
        <w:rPr>
          <w:color w:val="202020"/>
        </w:rPr>
        <w:t>%</w:t>
      </w:r>
      <w:r>
        <w:rPr>
          <w:color w:val="202020"/>
          <w:spacing w:val="-2"/>
        </w:rPr>
        <w:t> </w:t>
      </w:r>
      <w:r>
        <w:rPr>
          <w:color w:val="202020"/>
        </w:rPr>
        <w:t>y</w:t>
      </w:r>
      <w:r>
        <w:rPr>
          <w:color w:val="202020"/>
          <w:spacing w:val="-10"/>
        </w:rPr>
        <w:t> </w:t>
      </w:r>
      <w:r>
        <w:rPr>
          <w:color w:val="202020"/>
        </w:rPr>
        <w:t>cada</w:t>
      </w:r>
      <w:r>
        <w:rPr>
          <w:color w:val="202020"/>
          <w:spacing w:val="-1"/>
        </w:rPr>
        <w:t> </w:t>
      </w:r>
      <w:r>
        <w:rPr>
          <w:color w:val="202020"/>
        </w:rPr>
        <w:t>membrana</w:t>
      </w:r>
      <w:r>
        <w:rPr>
          <w:color w:val="202020"/>
          <w:spacing w:val="-6"/>
        </w:rPr>
        <w:t> </w:t>
      </w:r>
      <w:r>
        <w:rPr>
          <w:color w:val="202020"/>
        </w:rPr>
        <w:t>se</w:t>
      </w:r>
      <w:r>
        <w:rPr>
          <w:color w:val="202020"/>
          <w:spacing w:val="-1"/>
        </w:rPr>
        <w:t> </w:t>
      </w:r>
      <w:r>
        <w:rPr>
          <w:color w:val="202020"/>
        </w:rPr>
        <w:t>volvió</w:t>
      </w:r>
      <w:r>
        <w:rPr>
          <w:color w:val="202020"/>
          <w:spacing w:val="-1"/>
        </w:rPr>
        <w:t> </w:t>
      </w:r>
      <w:r>
        <w:rPr>
          <w:color w:val="202020"/>
        </w:rPr>
        <w:t>a</w:t>
      </w:r>
      <w:r>
        <w:rPr>
          <w:color w:val="202020"/>
          <w:spacing w:val="-1"/>
        </w:rPr>
        <w:t> </w:t>
      </w:r>
      <w:r>
        <w:rPr>
          <w:color w:val="202020"/>
        </w:rPr>
        <w:t>sondear</w:t>
      </w:r>
      <w:r>
        <w:rPr>
          <w:color w:val="202020"/>
          <w:spacing w:val="-3"/>
        </w:rPr>
        <w:t> </w:t>
      </w:r>
      <w:r>
        <w:rPr>
          <w:color w:val="202020"/>
        </w:rPr>
        <w:t>con</w:t>
      </w:r>
      <w:r>
        <w:rPr>
          <w:color w:val="202020"/>
          <w:spacing w:val="-10"/>
        </w:rPr>
        <w:t> </w:t>
      </w:r>
      <w:r>
        <w:rPr>
          <w:color w:val="202020"/>
        </w:rPr>
        <w:t>un</w:t>
      </w:r>
      <w:r>
        <w:rPr>
          <w:color w:val="202020"/>
          <w:spacing w:val="-10"/>
        </w:rPr>
        <w:t> </w:t>
      </w:r>
      <w:r>
        <w:rPr>
          <w:color w:val="202020"/>
        </w:rPr>
        <w:t>anticuerpo</w:t>
      </w:r>
      <w:r>
        <w:rPr>
          <w:color w:val="202020"/>
          <w:spacing w:val="-1"/>
        </w:rPr>
        <w:t> </w:t>
      </w:r>
      <w:r>
        <w:rPr>
          <w:color w:val="202020"/>
        </w:rPr>
        <w:t>anti-actina</w:t>
      </w:r>
      <w:r>
        <w:rPr>
          <w:color w:val="202020"/>
          <w:spacing w:val="-6"/>
        </w:rPr>
        <w:t> </w:t>
      </w:r>
      <w:r>
        <w:rPr>
          <w:color w:val="202020"/>
        </w:rPr>
        <w:t>a</w:t>
      </w:r>
      <w:r>
        <w:rPr>
          <w:color w:val="202020"/>
          <w:spacing w:val="-6"/>
        </w:rPr>
        <w:t> </w:t>
      </w:r>
      <w:r>
        <w:rPr>
          <w:color w:val="202020"/>
        </w:rPr>
        <w:t>una dilución de 1:1000 (Sigma-Aldrich, EE.UU., </w:t>
      </w:r>
      <w:r>
        <w:rPr>
          <w:color w:val="202020"/>
          <w:spacing w:val="-3"/>
        </w:rPr>
        <w:t>cat </w:t>
      </w:r>
      <w:r>
        <w:rPr>
          <w:color w:val="202020"/>
        </w:rPr>
        <w:t># A4700) usando un procedimiento similar al descrito anteriormente, pero como anticuerpo secundario se utilizó cabra anti-ratón-IgG (H+L) conjugado con HRP (Thermo Scientific Pierce) a una dilución de 1:2000. La intensidad de cada banda de pY-701 se analizó usando el software Image J y se normalizó con</w:t>
      </w:r>
      <w:r>
        <w:rPr>
          <w:color w:val="202020"/>
          <w:spacing w:val="-8"/>
        </w:rPr>
        <w:t> </w:t>
      </w:r>
      <w:r>
        <w:rPr>
          <w:color w:val="202020"/>
        </w:rPr>
        <w:t>actina.</w:t>
      </w:r>
    </w:p>
    <w:p>
      <w:pPr>
        <w:pStyle w:val="BodyText"/>
      </w:pPr>
    </w:p>
    <w:p>
      <w:pPr>
        <w:pStyle w:val="Heading2"/>
        <w:numPr>
          <w:ilvl w:val="2"/>
          <w:numId w:val="12"/>
        </w:numPr>
        <w:tabs>
          <w:tab w:pos="758" w:val="left" w:leader="none"/>
        </w:tabs>
        <w:spacing w:line="240" w:lineRule="auto" w:before="150" w:after="0"/>
        <w:ind w:left="757" w:right="0" w:hanging="605"/>
        <w:jc w:val="both"/>
        <w:rPr>
          <w:i/>
        </w:rPr>
      </w:pPr>
      <w:bookmarkStart w:name="_bookmark40" w:id="74"/>
      <w:bookmarkEnd w:id="74"/>
      <w:r>
        <w:rPr>
          <w:b w:val="0"/>
          <w:i w:val="0"/>
        </w:rPr>
      </w:r>
      <w:bookmarkStart w:name="_bookmark40" w:id="75"/>
      <w:bookmarkEnd w:id="75"/>
      <w:r>
        <w:rPr>
          <w:i/>
        </w:rPr>
        <w:t>A</w:t>
      </w:r>
      <w:r>
        <w:rPr>
          <w:i/>
        </w:rPr>
        <w:t>nálisis</w:t>
      </w:r>
      <w:r>
        <w:rPr>
          <w:i/>
          <w:spacing w:val="-14"/>
        </w:rPr>
        <w:t> </w:t>
      </w:r>
      <w:r>
        <w:rPr>
          <w:i/>
        </w:rPr>
        <w:t>estadístico</w:t>
      </w:r>
    </w:p>
    <w:p>
      <w:pPr>
        <w:pStyle w:val="BodyText"/>
        <w:spacing w:line="360" w:lineRule="auto" w:before="36"/>
        <w:ind w:left="152" w:right="108"/>
        <w:jc w:val="both"/>
      </w:pPr>
      <w:r>
        <w:rPr>
          <w:color w:val="202020"/>
        </w:rPr>
        <w:t>La medias de expresión génica y las tasas de fosforilación resultantes de las infecciones fueron comparadas entre serotipos por la prueba de t -Student para cada tiempo. Además, se implementaron comparaciones de las tasas de fosforilación con respecto al grupo control (células sin infectar). Se realizó el análisis de correlación de Pearson (r) para determinar   la</w:t>
      </w:r>
    </w:p>
    <w:p>
      <w:pPr>
        <w:spacing w:after="0" w:line="360" w:lineRule="auto"/>
        <w:jc w:val="both"/>
        <w:sectPr>
          <w:pgSz w:w="12240" w:h="15840"/>
          <w:pgMar w:header="0" w:footer="1382" w:top="1500" w:bottom="1580" w:left="1720" w:right="1420"/>
        </w:sectPr>
      </w:pPr>
    </w:p>
    <w:p>
      <w:pPr>
        <w:pStyle w:val="BodyText"/>
        <w:spacing w:before="7"/>
        <w:rPr>
          <w:sz w:val="25"/>
        </w:rPr>
      </w:pPr>
    </w:p>
    <w:p>
      <w:pPr>
        <w:pStyle w:val="BodyText"/>
        <w:spacing w:line="360" w:lineRule="auto" w:before="70"/>
        <w:ind w:left="152" w:right="105"/>
        <w:jc w:val="both"/>
      </w:pPr>
      <w:r>
        <w:rPr>
          <w:color w:val="202020"/>
        </w:rPr>
        <w:t>fuerza de asociación entre expresiones de genes. Se utilizó la prueba de normalidad de Anderson-Darlington para conocer si las variables se distribuyeron normalmente. Los análisis estadísticos se realizaron utilizando GraphPad Prism® (GraphPad 6 Software, Chicago, Inc, EE.UU). Las principales diferencias entre grupos se consideraron estadísticamente significativas si el valor de p fue ≤ 0.05.</w:t>
      </w:r>
    </w:p>
    <w:p>
      <w:pPr>
        <w:spacing w:after="0" w:line="360" w:lineRule="auto"/>
        <w:jc w:val="both"/>
        <w:sectPr>
          <w:pgSz w:w="12240" w:h="15840"/>
          <w:pgMar w:header="0" w:footer="1382" w:top="1500" w:bottom="1580" w:left="1720" w:right="1420"/>
        </w:sectPr>
      </w:pPr>
    </w:p>
    <w:p>
      <w:pPr>
        <w:pStyle w:val="BodyText"/>
        <w:spacing w:before="1"/>
        <w:rPr>
          <w:sz w:val="26"/>
        </w:rPr>
      </w:pPr>
    </w:p>
    <w:p>
      <w:pPr>
        <w:pStyle w:val="Heading1"/>
        <w:numPr>
          <w:ilvl w:val="0"/>
          <w:numId w:val="9"/>
        </w:numPr>
        <w:tabs>
          <w:tab w:pos="4239" w:val="left" w:leader="none"/>
        </w:tabs>
        <w:spacing w:line="240" w:lineRule="auto" w:before="69" w:after="0"/>
        <w:ind w:left="4238" w:right="0" w:hanging="480"/>
        <w:jc w:val="left"/>
      </w:pPr>
      <w:bookmarkStart w:name="_bookmark41" w:id="76"/>
      <w:bookmarkEnd w:id="76"/>
      <w:r>
        <w:rPr>
          <w:b w:val="0"/>
        </w:rPr>
      </w:r>
      <w:bookmarkStart w:name="_bookmark41" w:id="77"/>
      <w:bookmarkEnd w:id="77"/>
      <w:r>
        <w:rPr/>
        <w:t>R</w:t>
      </w:r>
      <w:r>
        <w:rPr/>
        <w:t>ESULTADOS</w:t>
      </w:r>
    </w:p>
    <w:p>
      <w:pPr>
        <w:pStyle w:val="Heading2"/>
        <w:numPr>
          <w:ilvl w:val="1"/>
          <w:numId w:val="13"/>
        </w:numPr>
        <w:tabs>
          <w:tab w:pos="758" w:val="left" w:leader="none"/>
        </w:tabs>
        <w:spacing w:line="360" w:lineRule="auto" w:before="137" w:after="0"/>
        <w:ind w:left="392" w:right="970" w:firstLine="0"/>
        <w:jc w:val="left"/>
      </w:pPr>
      <w:bookmarkStart w:name="_bookmark42" w:id="78"/>
      <w:bookmarkEnd w:id="78"/>
      <w:r>
        <w:rPr>
          <w:b w:val="0"/>
          <w:i w:val="0"/>
        </w:rPr>
      </w:r>
      <w:bookmarkStart w:name="_bookmark42" w:id="79"/>
      <w:bookmarkEnd w:id="79"/>
      <w:r>
        <w:rPr>
          <w:i/>
        </w:rPr>
        <w:t>A</w:t>
      </w:r>
      <w:r>
        <w:rPr>
          <w:i/>
        </w:rPr>
        <w:t>rtículo Publicado en International Journal of Tropical Biology and</w:t>
      </w:r>
      <w:r>
        <w:rPr>
          <w:i/>
          <w:spacing w:val="-27"/>
        </w:rPr>
        <w:t> </w:t>
      </w:r>
      <w:r>
        <w:rPr>
          <w:i/>
        </w:rPr>
        <w:t>Conservation, </w:t>
      </w:r>
      <w:r>
        <w:rPr/>
        <w:t>Volumen 63: (2) Jun</w:t>
      </w:r>
      <w:r>
        <w:rPr>
          <w:spacing w:val="-2"/>
        </w:rPr>
        <w:t> </w:t>
      </w:r>
      <w:r>
        <w:rPr/>
        <w:t>2015.</w:t>
      </w:r>
    </w:p>
    <w:p>
      <w:pPr>
        <w:pStyle w:val="BodyText"/>
        <w:spacing w:line="360" w:lineRule="auto" w:before="4"/>
        <w:ind w:left="392" w:right="742"/>
        <w:jc w:val="both"/>
      </w:pPr>
      <w:r>
        <w:rPr/>
        <w:t>En este artículo se describe el tercer objetivo específico de mi proyecto de investigación, en el cual se establece el efecto de la temperatura en la expresión de transcrito de IFN-I(α), STAT-1(α) y Mx-1 en peces infectados con IPNV.</w:t>
      </w:r>
    </w:p>
    <w:p>
      <w:pPr>
        <w:pStyle w:val="BodyText"/>
        <w:spacing w:before="4"/>
        <w:rPr>
          <w:sz w:val="28"/>
        </w:rPr>
      </w:pPr>
      <w:r>
        <w:rPr/>
        <w:drawing>
          <wp:anchor distT="0" distB="0" distL="0" distR="0" allowOverlap="1" layoutInCell="1" locked="0" behindDoc="0" simplePos="0" relativeHeight="1168">
            <wp:simplePos x="0" y="0"/>
            <wp:positionH relativeFrom="page">
              <wp:posOffset>1008888</wp:posOffset>
            </wp:positionH>
            <wp:positionV relativeFrom="paragraph">
              <wp:posOffset>232280</wp:posOffset>
            </wp:positionV>
            <wp:extent cx="6191002" cy="5121592"/>
            <wp:effectExtent l="0" t="0" r="0" b="0"/>
            <wp:wrapTopAndBottom/>
            <wp:docPr id="19" name="image9.jpeg" descr=""/>
            <wp:cNvGraphicFramePr>
              <a:graphicFrameLocks noChangeAspect="1"/>
            </wp:cNvGraphicFramePr>
            <a:graphic>
              <a:graphicData uri="http://schemas.openxmlformats.org/drawingml/2006/picture">
                <pic:pic>
                  <pic:nvPicPr>
                    <pic:cNvPr id="20" name="image9.jpeg"/>
                    <pic:cNvPicPr/>
                  </pic:nvPicPr>
                  <pic:blipFill>
                    <a:blip r:embed="rId22" cstate="print"/>
                    <a:stretch>
                      <a:fillRect/>
                    </a:stretch>
                  </pic:blipFill>
                  <pic:spPr>
                    <a:xfrm>
                      <a:off x="0" y="0"/>
                      <a:ext cx="6191002" cy="5121592"/>
                    </a:xfrm>
                    <a:prstGeom prst="rect">
                      <a:avLst/>
                    </a:prstGeom>
                  </pic:spPr>
                </pic:pic>
              </a:graphicData>
            </a:graphic>
          </wp:anchor>
        </w:drawing>
      </w:r>
    </w:p>
    <w:p>
      <w:pPr>
        <w:spacing w:after="0"/>
        <w:rPr>
          <w:sz w:val="28"/>
        </w:rPr>
        <w:sectPr>
          <w:pgSz w:w="12240" w:h="15840"/>
          <w:pgMar w:header="0" w:footer="1382" w:top="1500" w:bottom="1580" w:left="1480" w:right="780"/>
        </w:sectPr>
      </w:pPr>
    </w:p>
    <w:p>
      <w:pPr>
        <w:pStyle w:val="BodyText"/>
        <w:ind w:left="120"/>
        <w:rPr>
          <w:sz w:val="20"/>
        </w:rPr>
      </w:pPr>
      <w:r>
        <w:rPr>
          <w:sz w:val="20"/>
        </w:rPr>
        <w:drawing>
          <wp:inline distT="0" distB="0" distL="0" distR="0">
            <wp:extent cx="6399004" cy="7366730"/>
            <wp:effectExtent l="0" t="0" r="0" b="0"/>
            <wp:docPr id="21" name="image10.jpeg" descr=""/>
            <wp:cNvGraphicFramePr>
              <a:graphicFrameLocks noChangeAspect="1"/>
            </wp:cNvGraphicFramePr>
            <a:graphic>
              <a:graphicData uri="http://schemas.openxmlformats.org/drawingml/2006/picture">
                <pic:pic>
                  <pic:nvPicPr>
                    <pic:cNvPr id="22" name="image10.jpeg"/>
                    <pic:cNvPicPr/>
                  </pic:nvPicPr>
                  <pic:blipFill>
                    <a:blip r:embed="rId24" cstate="print"/>
                    <a:stretch>
                      <a:fillRect/>
                    </a:stretch>
                  </pic:blipFill>
                  <pic:spPr>
                    <a:xfrm>
                      <a:off x="0" y="0"/>
                      <a:ext cx="6399004" cy="7366730"/>
                    </a:xfrm>
                    <a:prstGeom prst="rect">
                      <a:avLst/>
                    </a:prstGeom>
                  </pic:spPr>
                </pic:pic>
              </a:graphicData>
            </a:graphic>
          </wp:inline>
        </w:drawing>
      </w:r>
      <w:r>
        <w:rPr>
          <w:sz w:val="20"/>
        </w:rPr>
      </w:r>
    </w:p>
    <w:p>
      <w:pPr>
        <w:spacing w:after="0"/>
        <w:rPr>
          <w:sz w:val="20"/>
        </w:rPr>
        <w:sectPr>
          <w:footerReference w:type="default" r:id="rId23"/>
          <w:pgSz w:w="12240" w:h="15840"/>
          <w:pgMar w:footer="1322" w:header="0" w:top="1380" w:bottom="1520" w:left="840" w:right="1000"/>
        </w:sectPr>
      </w:pPr>
    </w:p>
    <w:p>
      <w:pPr>
        <w:pStyle w:val="BodyText"/>
        <w:ind w:left="111"/>
        <w:rPr>
          <w:sz w:val="20"/>
        </w:rPr>
      </w:pPr>
      <w:r>
        <w:rPr>
          <w:sz w:val="20"/>
        </w:rPr>
        <w:drawing>
          <wp:inline distT="0" distB="0" distL="0" distR="0">
            <wp:extent cx="6581582" cy="7347775"/>
            <wp:effectExtent l="0" t="0" r="0" b="0"/>
            <wp:docPr id="23" name="image11.jpeg" descr=""/>
            <wp:cNvGraphicFramePr>
              <a:graphicFrameLocks noChangeAspect="1"/>
            </wp:cNvGraphicFramePr>
            <a:graphic>
              <a:graphicData uri="http://schemas.openxmlformats.org/drawingml/2006/picture">
                <pic:pic>
                  <pic:nvPicPr>
                    <pic:cNvPr id="24" name="image11.jpeg"/>
                    <pic:cNvPicPr/>
                  </pic:nvPicPr>
                  <pic:blipFill>
                    <a:blip r:embed="rId26" cstate="print"/>
                    <a:stretch>
                      <a:fillRect/>
                    </a:stretch>
                  </pic:blipFill>
                  <pic:spPr>
                    <a:xfrm>
                      <a:off x="0" y="0"/>
                      <a:ext cx="6581582" cy="7347775"/>
                    </a:xfrm>
                    <a:prstGeom prst="rect">
                      <a:avLst/>
                    </a:prstGeom>
                  </pic:spPr>
                </pic:pic>
              </a:graphicData>
            </a:graphic>
          </wp:inline>
        </w:drawing>
      </w:r>
      <w:r>
        <w:rPr>
          <w:sz w:val="20"/>
        </w:rPr>
      </w:r>
    </w:p>
    <w:p>
      <w:pPr>
        <w:spacing w:after="0"/>
        <w:rPr>
          <w:sz w:val="20"/>
        </w:rPr>
        <w:sectPr>
          <w:footerReference w:type="default" r:id="rId25"/>
          <w:pgSz w:w="12240" w:h="15840"/>
          <w:pgMar w:footer="1322" w:header="0" w:top="1240" w:bottom="1520" w:left="820" w:right="700"/>
          <w:pgNumType w:start="41"/>
        </w:sectPr>
      </w:pPr>
    </w:p>
    <w:p>
      <w:pPr>
        <w:pStyle w:val="BodyText"/>
        <w:ind w:left="116"/>
        <w:rPr>
          <w:sz w:val="20"/>
        </w:rPr>
      </w:pPr>
      <w:r>
        <w:rPr>
          <w:sz w:val="20"/>
        </w:rPr>
        <w:drawing>
          <wp:inline distT="0" distB="0" distL="0" distR="0">
            <wp:extent cx="6355497" cy="7384923"/>
            <wp:effectExtent l="0" t="0" r="0" b="0"/>
            <wp:docPr id="25" name="image12.jpeg" descr=""/>
            <wp:cNvGraphicFramePr>
              <a:graphicFrameLocks noChangeAspect="1"/>
            </wp:cNvGraphicFramePr>
            <a:graphic>
              <a:graphicData uri="http://schemas.openxmlformats.org/drawingml/2006/picture">
                <pic:pic>
                  <pic:nvPicPr>
                    <pic:cNvPr id="26" name="image12.jpeg"/>
                    <pic:cNvPicPr/>
                  </pic:nvPicPr>
                  <pic:blipFill>
                    <a:blip r:embed="rId27" cstate="print"/>
                    <a:stretch>
                      <a:fillRect/>
                    </a:stretch>
                  </pic:blipFill>
                  <pic:spPr>
                    <a:xfrm>
                      <a:off x="0" y="0"/>
                      <a:ext cx="6355497" cy="7384923"/>
                    </a:xfrm>
                    <a:prstGeom prst="rect">
                      <a:avLst/>
                    </a:prstGeom>
                  </pic:spPr>
                </pic:pic>
              </a:graphicData>
            </a:graphic>
          </wp:inline>
        </w:drawing>
      </w:r>
      <w:r>
        <w:rPr>
          <w:sz w:val="20"/>
        </w:rPr>
      </w:r>
    </w:p>
    <w:p>
      <w:pPr>
        <w:spacing w:after="0"/>
        <w:rPr>
          <w:sz w:val="20"/>
        </w:rPr>
        <w:sectPr>
          <w:pgSz w:w="12240" w:h="15840"/>
          <w:pgMar w:header="0" w:footer="1322" w:top="1000" w:bottom="1520" w:left="1060" w:right="880"/>
        </w:sectPr>
      </w:pPr>
    </w:p>
    <w:p>
      <w:pPr>
        <w:pStyle w:val="BodyText"/>
        <w:ind w:left="106"/>
        <w:rPr>
          <w:sz w:val="20"/>
        </w:rPr>
      </w:pPr>
      <w:r>
        <w:rPr>
          <w:sz w:val="20"/>
        </w:rPr>
        <w:drawing>
          <wp:inline distT="0" distB="0" distL="0" distR="0">
            <wp:extent cx="6381627" cy="7363586"/>
            <wp:effectExtent l="0" t="0" r="0" b="0"/>
            <wp:docPr id="27" name="image13.jpeg" descr=""/>
            <wp:cNvGraphicFramePr>
              <a:graphicFrameLocks noChangeAspect="1"/>
            </wp:cNvGraphicFramePr>
            <a:graphic>
              <a:graphicData uri="http://schemas.openxmlformats.org/drawingml/2006/picture">
                <pic:pic>
                  <pic:nvPicPr>
                    <pic:cNvPr id="28" name="image13.jpeg"/>
                    <pic:cNvPicPr/>
                  </pic:nvPicPr>
                  <pic:blipFill>
                    <a:blip r:embed="rId28" cstate="print"/>
                    <a:stretch>
                      <a:fillRect/>
                    </a:stretch>
                  </pic:blipFill>
                  <pic:spPr>
                    <a:xfrm>
                      <a:off x="0" y="0"/>
                      <a:ext cx="6381627" cy="7363586"/>
                    </a:xfrm>
                    <a:prstGeom prst="rect">
                      <a:avLst/>
                    </a:prstGeom>
                  </pic:spPr>
                </pic:pic>
              </a:graphicData>
            </a:graphic>
          </wp:inline>
        </w:drawing>
      </w:r>
      <w:r>
        <w:rPr>
          <w:sz w:val="20"/>
        </w:rPr>
      </w:r>
    </w:p>
    <w:p>
      <w:pPr>
        <w:spacing w:after="0"/>
        <w:rPr>
          <w:sz w:val="20"/>
        </w:rPr>
        <w:sectPr>
          <w:pgSz w:w="12240" w:h="15840"/>
          <w:pgMar w:header="0" w:footer="1322" w:top="1180" w:bottom="1520" w:left="940" w:right="940"/>
        </w:sectPr>
      </w:pPr>
    </w:p>
    <w:p>
      <w:pPr>
        <w:pStyle w:val="BodyText"/>
        <w:ind w:left="101"/>
        <w:rPr>
          <w:sz w:val="20"/>
        </w:rPr>
      </w:pPr>
      <w:r>
        <w:rPr>
          <w:sz w:val="20"/>
        </w:rPr>
        <w:drawing>
          <wp:inline distT="0" distB="0" distL="0" distR="0">
            <wp:extent cx="6696129" cy="7377493"/>
            <wp:effectExtent l="0" t="0" r="0" b="0"/>
            <wp:docPr id="29" name="image14.jpeg" descr=""/>
            <wp:cNvGraphicFramePr>
              <a:graphicFrameLocks noChangeAspect="1"/>
            </wp:cNvGraphicFramePr>
            <a:graphic>
              <a:graphicData uri="http://schemas.openxmlformats.org/drawingml/2006/picture">
                <pic:pic>
                  <pic:nvPicPr>
                    <pic:cNvPr id="30" name="image14.jpeg"/>
                    <pic:cNvPicPr/>
                  </pic:nvPicPr>
                  <pic:blipFill>
                    <a:blip r:embed="rId29" cstate="print"/>
                    <a:stretch>
                      <a:fillRect/>
                    </a:stretch>
                  </pic:blipFill>
                  <pic:spPr>
                    <a:xfrm>
                      <a:off x="0" y="0"/>
                      <a:ext cx="6696129" cy="7377493"/>
                    </a:xfrm>
                    <a:prstGeom prst="rect">
                      <a:avLst/>
                    </a:prstGeom>
                  </pic:spPr>
                </pic:pic>
              </a:graphicData>
            </a:graphic>
          </wp:inline>
        </w:drawing>
      </w:r>
      <w:r>
        <w:rPr>
          <w:sz w:val="20"/>
        </w:rPr>
      </w:r>
    </w:p>
    <w:p>
      <w:pPr>
        <w:spacing w:after="0"/>
        <w:rPr>
          <w:sz w:val="20"/>
        </w:rPr>
        <w:sectPr>
          <w:pgSz w:w="12240" w:h="15840"/>
          <w:pgMar w:header="0" w:footer="1322" w:top="960" w:bottom="1520" w:left="820" w:right="580"/>
        </w:sectPr>
      </w:pPr>
    </w:p>
    <w:p>
      <w:pPr>
        <w:pStyle w:val="BodyText"/>
        <w:ind w:left="113"/>
        <w:rPr>
          <w:sz w:val="20"/>
        </w:rPr>
      </w:pPr>
      <w:r>
        <w:rPr>
          <w:sz w:val="20"/>
        </w:rPr>
        <w:drawing>
          <wp:inline distT="0" distB="0" distL="0" distR="0">
            <wp:extent cx="6526428" cy="7392924"/>
            <wp:effectExtent l="0" t="0" r="0" b="0"/>
            <wp:docPr id="31" name="image15.jpeg" descr=""/>
            <wp:cNvGraphicFramePr>
              <a:graphicFrameLocks noChangeAspect="1"/>
            </wp:cNvGraphicFramePr>
            <a:graphic>
              <a:graphicData uri="http://schemas.openxmlformats.org/drawingml/2006/picture">
                <pic:pic>
                  <pic:nvPicPr>
                    <pic:cNvPr id="32" name="image15.jpeg"/>
                    <pic:cNvPicPr/>
                  </pic:nvPicPr>
                  <pic:blipFill>
                    <a:blip r:embed="rId30" cstate="print"/>
                    <a:stretch>
                      <a:fillRect/>
                    </a:stretch>
                  </pic:blipFill>
                  <pic:spPr>
                    <a:xfrm>
                      <a:off x="0" y="0"/>
                      <a:ext cx="6526428" cy="7392924"/>
                    </a:xfrm>
                    <a:prstGeom prst="rect">
                      <a:avLst/>
                    </a:prstGeom>
                  </pic:spPr>
                </pic:pic>
              </a:graphicData>
            </a:graphic>
          </wp:inline>
        </w:drawing>
      </w:r>
      <w:r>
        <w:rPr>
          <w:sz w:val="20"/>
        </w:rPr>
      </w:r>
    </w:p>
    <w:p>
      <w:pPr>
        <w:spacing w:after="0"/>
        <w:rPr>
          <w:sz w:val="20"/>
        </w:rPr>
        <w:sectPr>
          <w:pgSz w:w="12240" w:h="15840"/>
          <w:pgMar w:header="0" w:footer="1322" w:top="1160" w:bottom="1520" w:left="1000" w:right="680"/>
        </w:sectPr>
      </w:pPr>
    </w:p>
    <w:p>
      <w:pPr>
        <w:pStyle w:val="BodyText"/>
        <w:ind w:left="116"/>
        <w:rPr>
          <w:sz w:val="20"/>
        </w:rPr>
      </w:pPr>
      <w:r>
        <w:rPr>
          <w:sz w:val="20"/>
        </w:rPr>
        <w:drawing>
          <wp:inline distT="0" distB="0" distL="0" distR="0">
            <wp:extent cx="6491286" cy="7391019"/>
            <wp:effectExtent l="0" t="0" r="0" b="0"/>
            <wp:docPr id="33" name="image16.jpeg" descr=""/>
            <wp:cNvGraphicFramePr>
              <a:graphicFrameLocks noChangeAspect="1"/>
            </wp:cNvGraphicFramePr>
            <a:graphic>
              <a:graphicData uri="http://schemas.openxmlformats.org/drawingml/2006/picture">
                <pic:pic>
                  <pic:nvPicPr>
                    <pic:cNvPr id="34" name="image16.jpeg"/>
                    <pic:cNvPicPr/>
                  </pic:nvPicPr>
                  <pic:blipFill>
                    <a:blip r:embed="rId31" cstate="print"/>
                    <a:stretch>
                      <a:fillRect/>
                    </a:stretch>
                  </pic:blipFill>
                  <pic:spPr>
                    <a:xfrm>
                      <a:off x="0" y="0"/>
                      <a:ext cx="6491286" cy="7391019"/>
                    </a:xfrm>
                    <a:prstGeom prst="rect">
                      <a:avLst/>
                    </a:prstGeom>
                  </pic:spPr>
                </pic:pic>
              </a:graphicData>
            </a:graphic>
          </wp:inline>
        </w:drawing>
      </w:r>
      <w:r>
        <w:rPr>
          <w:sz w:val="20"/>
        </w:rPr>
      </w:r>
    </w:p>
    <w:p>
      <w:pPr>
        <w:spacing w:after="0"/>
        <w:rPr>
          <w:sz w:val="20"/>
        </w:rPr>
        <w:sectPr>
          <w:pgSz w:w="12240" w:h="15840"/>
          <w:pgMar w:header="0" w:footer="1322" w:top="980" w:bottom="1520" w:left="1040" w:right="680"/>
        </w:sectPr>
      </w:pPr>
    </w:p>
    <w:p>
      <w:pPr>
        <w:pStyle w:val="BodyText"/>
        <w:ind w:left="102"/>
        <w:rPr>
          <w:sz w:val="20"/>
        </w:rPr>
      </w:pPr>
      <w:r>
        <w:rPr>
          <w:sz w:val="20"/>
        </w:rPr>
        <w:drawing>
          <wp:inline distT="0" distB="0" distL="0" distR="0">
            <wp:extent cx="6314019" cy="7399782"/>
            <wp:effectExtent l="0" t="0" r="0" b="0"/>
            <wp:docPr id="35" name="image17.jpeg" descr=""/>
            <wp:cNvGraphicFramePr>
              <a:graphicFrameLocks noChangeAspect="1"/>
            </wp:cNvGraphicFramePr>
            <a:graphic>
              <a:graphicData uri="http://schemas.openxmlformats.org/drawingml/2006/picture">
                <pic:pic>
                  <pic:nvPicPr>
                    <pic:cNvPr id="36" name="image17.jpeg"/>
                    <pic:cNvPicPr/>
                  </pic:nvPicPr>
                  <pic:blipFill>
                    <a:blip r:embed="rId32" cstate="print"/>
                    <a:stretch>
                      <a:fillRect/>
                    </a:stretch>
                  </pic:blipFill>
                  <pic:spPr>
                    <a:xfrm>
                      <a:off x="0" y="0"/>
                      <a:ext cx="6314019" cy="7399782"/>
                    </a:xfrm>
                    <a:prstGeom prst="rect">
                      <a:avLst/>
                    </a:prstGeom>
                  </pic:spPr>
                </pic:pic>
              </a:graphicData>
            </a:graphic>
          </wp:inline>
        </w:drawing>
      </w:r>
      <w:r>
        <w:rPr>
          <w:sz w:val="20"/>
        </w:rPr>
      </w:r>
    </w:p>
    <w:p>
      <w:pPr>
        <w:spacing w:after="0"/>
        <w:rPr>
          <w:sz w:val="20"/>
        </w:rPr>
        <w:sectPr>
          <w:pgSz w:w="12240" w:h="15840"/>
          <w:pgMar w:header="0" w:footer="1322" w:top="1180" w:bottom="1520" w:left="1160" w:right="880"/>
        </w:sectPr>
      </w:pPr>
    </w:p>
    <w:p>
      <w:pPr>
        <w:pStyle w:val="BodyText"/>
        <w:ind w:left="116"/>
        <w:rPr>
          <w:sz w:val="20"/>
        </w:rPr>
      </w:pPr>
      <w:r>
        <w:rPr>
          <w:sz w:val="20"/>
        </w:rPr>
        <w:drawing>
          <wp:inline distT="0" distB="0" distL="0" distR="0">
            <wp:extent cx="6371141" cy="7392923"/>
            <wp:effectExtent l="0" t="0" r="0" b="0"/>
            <wp:docPr id="37" name="image18.jpeg" descr=""/>
            <wp:cNvGraphicFramePr>
              <a:graphicFrameLocks noChangeAspect="1"/>
            </wp:cNvGraphicFramePr>
            <a:graphic>
              <a:graphicData uri="http://schemas.openxmlformats.org/drawingml/2006/picture">
                <pic:pic>
                  <pic:nvPicPr>
                    <pic:cNvPr id="38" name="image18.jpeg"/>
                    <pic:cNvPicPr/>
                  </pic:nvPicPr>
                  <pic:blipFill>
                    <a:blip r:embed="rId33" cstate="print"/>
                    <a:stretch>
                      <a:fillRect/>
                    </a:stretch>
                  </pic:blipFill>
                  <pic:spPr>
                    <a:xfrm>
                      <a:off x="0" y="0"/>
                      <a:ext cx="6371141" cy="7392923"/>
                    </a:xfrm>
                    <a:prstGeom prst="rect">
                      <a:avLst/>
                    </a:prstGeom>
                  </pic:spPr>
                </pic:pic>
              </a:graphicData>
            </a:graphic>
          </wp:inline>
        </w:drawing>
      </w:r>
      <w:r>
        <w:rPr>
          <w:sz w:val="20"/>
        </w:rPr>
      </w:r>
    </w:p>
    <w:p>
      <w:pPr>
        <w:spacing w:after="0"/>
        <w:rPr>
          <w:sz w:val="20"/>
        </w:rPr>
        <w:sectPr>
          <w:pgSz w:w="12240" w:h="15840"/>
          <w:pgMar w:header="0" w:footer="1322" w:top="620" w:bottom="1520" w:left="1060" w:right="860"/>
        </w:sectPr>
      </w:pPr>
    </w:p>
    <w:p>
      <w:pPr>
        <w:pStyle w:val="BodyText"/>
        <w:ind w:left="102"/>
        <w:rPr>
          <w:sz w:val="20"/>
        </w:rPr>
      </w:pPr>
      <w:r>
        <w:rPr>
          <w:sz w:val="20"/>
        </w:rPr>
        <w:drawing>
          <wp:inline distT="0" distB="0" distL="0" distR="0">
            <wp:extent cx="6568599" cy="7389304"/>
            <wp:effectExtent l="0" t="0" r="0" b="0"/>
            <wp:docPr id="39" name="image19.jpeg" descr=""/>
            <wp:cNvGraphicFramePr>
              <a:graphicFrameLocks noChangeAspect="1"/>
            </wp:cNvGraphicFramePr>
            <a:graphic>
              <a:graphicData uri="http://schemas.openxmlformats.org/drawingml/2006/picture">
                <pic:pic>
                  <pic:nvPicPr>
                    <pic:cNvPr id="40" name="image19.jpeg"/>
                    <pic:cNvPicPr/>
                  </pic:nvPicPr>
                  <pic:blipFill>
                    <a:blip r:embed="rId34" cstate="print"/>
                    <a:stretch>
                      <a:fillRect/>
                    </a:stretch>
                  </pic:blipFill>
                  <pic:spPr>
                    <a:xfrm>
                      <a:off x="0" y="0"/>
                      <a:ext cx="6568599" cy="7389304"/>
                    </a:xfrm>
                    <a:prstGeom prst="rect">
                      <a:avLst/>
                    </a:prstGeom>
                  </pic:spPr>
                </pic:pic>
              </a:graphicData>
            </a:graphic>
          </wp:inline>
        </w:drawing>
      </w:r>
      <w:r>
        <w:rPr>
          <w:sz w:val="20"/>
        </w:rPr>
      </w:r>
    </w:p>
    <w:p>
      <w:pPr>
        <w:spacing w:after="0"/>
        <w:rPr>
          <w:sz w:val="20"/>
        </w:rPr>
        <w:sectPr>
          <w:pgSz w:w="12240" w:h="15840"/>
          <w:pgMar w:header="0" w:footer="1322" w:top="1220" w:bottom="1520" w:left="920" w:right="700"/>
        </w:sectPr>
      </w:pPr>
    </w:p>
    <w:p>
      <w:pPr>
        <w:pStyle w:val="BodyText"/>
        <w:ind w:left="108"/>
        <w:rPr>
          <w:sz w:val="20"/>
        </w:rPr>
      </w:pPr>
      <w:r>
        <w:rPr>
          <w:sz w:val="20"/>
        </w:rPr>
        <w:drawing>
          <wp:inline distT="0" distB="0" distL="0" distR="0">
            <wp:extent cx="6533554" cy="7378255"/>
            <wp:effectExtent l="0" t="0" r="0" b="0"/>
            <wp:docPr id="41" name="image20.jpeg" descr=""/>
            <wp:cNvGraphicFramePr>
              <a:graphicFrameLocks noChangeAspect="1"/>
            </wp:cNvGraphicFramePr>
            <a:graphic>
              <a:graphicData uri="http://schemas.openxmlformats.org/drawingml/2006/picture">
                <pic:pic>
                  <pic:nvPicPr>
                    <pic:cNvPr id="42" name="image20.jpeg"/>
                    <pic:cNvPicPr/>
                  </pic:nvPicPr>
                  <pic:blipFill>
                    <a:blip r:embed="rId36" cstate="print"/>
                    <a:stretch>
                      <a:fillRect/>
                    </a:stretch>
                  </pic:blipFill>
                  <pic:spPr>
                    <a:xfrm>
                      <a:off x="0" y="0"/>
                      <a:ext cx="6533554" cy="7378255"/>
                    </a:xfrm>
                    <a:prstGeom prst="rect">
                      <a:avLst/>
                    </a:prstGeom>
                  </pic:spPr>
                </pic:pic>
              </a:graphicData>
            </a:graphic>
          </wp:inline>
        </w:drawing>
      </w:r>
      <w:r>
        <w:rPr>
          <w:sz w:val="20"/>
        </w:rPr>
      </w:r>
    </w:p>
    <w:p>
      <w:pPr>
        <w:spacing w:after="0"/>
        <w:rPr>
          <w:sz w:val="20"/>
        </w:rPr>
        <w:sectPr>
          <w:footerReference w:type="default" r:id="rId35"/>
          <w:pgSz w:w="12240" w:h="15840"/>
          <w:pgMar w:footer="1322" w:header="0" w:top="1240" w:bottom="1520" w:left="1000" w:right="660"/>
        </w:sectPr>
      </w:pPr>
    </w:p>
    <w:p>
      <w:pPr>
        <w:pStyle w:val="BodyText"/>
        <w:spacing w:before="1"/>
        <w:rPr>
          <w:sz w:val="26"/>
        </w:rPr>
      </w:pPr>
    </w:p>
    <w:p>
      <w:pPr>
        <w:pStyle w:val="Heading2"/>
        <w:numPr>
          <w:ilvl w:val="1"/>
          <w:numId w:val="13"/>
        </w:numPr>
        <w:tabs>
          <w:tab w:pos="518" w:val="left" w:leader="none"/>
        </w:tabs>
        <w:spacing w:line="240" w:lineRule="auto" w:before="69" w:after="0"/>
        <w:ind w:left="517" w:right="0" w:hanging="365"/>
        <w:jc w:val="both"/>
        <w:rPr>
          <w:i/>
        </w:rPr>
      </w:pPr>
      <w:bookmarkStart w:name="_bookmark43" w:id="80"/>
      <w:bookmarkEnd w:id="80"/>
      <w:r>
        <w:rPr>
          <w:b w:val="0"/>
          <w:i w:val="0"/>
        </w:rPr>
      </w:r>
      <w:bookmarkStart w:name="_bookmark43" w:id="81"/>
      <w:bookmarkEnd w:id="81"/>
      <w:r>
        <w:rPr>
          <w:i/>
        </w:rPr>
        <w:t>A</w:t>
      </w:r>
      <w:r>
        <w:rPr>
          <w:i/>
        </w:rPr>
        <w:t>rtículo enviado a Journal of Aquatic Animal</w:t>
      </w:r>
      <w:r>
        <w:rPr>
          <w:i/>
          <w:spacing w:val="-21"/>
        </w:rPr>
        <w:t> </w:t>
      </w:r>
      <w:r>
        <w:rPr>
          <w:i/>
        </w:rPr>
        <w:t>Health.</w:t>
      </w:r>
    </w:p>
    <w:p>
      <w:pPr>
        <w:pStyle w:val="BodyText"/>
        <w:spacing w:line="360" w:lineRule="auto" w:before="132"/>
        <w:ind w:left="152" w:right="108"/>
        <w:jc w:val="both"/>
      </w:pPr>
      <w:r>
        <w:rPr/>
        <w:t>En este artículo se aborda el primero y segundo objetivo específico de mi proyecto de investigación, evaluando el efecto de 2 cepas de IPNV de distinta virulencia (serotipo Sp y VR-299) sobre la expresión génica de IFN-I(α), STAT-1(α) y Mx-1 mediante qPCR, y la activación de STAT1(α/β) mediante la técnica de Western Blot.</w:t>
      </w:r>
    </w:p>
    <w:p>
      <w:pPr>
        <w:pStyle w:val="BodyText"/>
        <w:spacing w:before="3"/>
        <w:rPr>
          <w:sz w:val="30"/>
        </w:rPr>
      </w:pPr>
    </w:p>
    <w:p>
      <w:pPr>
        <w:spacing w:before="1"/>
        <w:ind w:left="205" w:right="0" w:firstLine="0"/>
        <w:jc w:val="both"/>
        <w:rPr>
          <w:sz w:val="20"/>
        </w:rPr>
      </w:pPr>
      <w:r>
        <w:rPr>
          <w:sz w:val="20"/>
        </w:rPr>
        <w:t>Date: Mon, 1 Jun 2015 14:55:22 -0400</w:t>
      </w:r>
    </w:p>
    <w:p>
      <w:pPr>
        <w:spacing w:before="115"/>
        <w:ind w:left="205" w:right="0" w:firstLine="0"/>
        <w:jc w:val="both"/>
        <w:rPr>
          <w:sz w:val="20"/>
        </w:rPr>
      </w:pPr>
      <w:r>
        <w:rPr>
          <w:sz w:val="20"/>
        </w:rPr>
        <w:t>From: </w:t>
      </w:r>
      <w:hyperlink r:id="rId38">
        <w:r>
          <w:rPr>
            <w:sz w:val="20"/>
          </w:rPr>
          <w:t>journals@fisheries.org</w:t>
        </w:r>
      </w:hyperlink>
    </w:p>
    <w:p>
      <w:pPr>
        <w:spacing w:line="355" w:lineRule="auto" w:before="115"/>
        <w:ind w:left="205" w:right="4807" w:firstLine="0"/>
        <w:jc w:val="left"/>
        <w:rPr>
          <w:sz w:val="20"/>
        </w:rPr>
      </w:pPr>
      <w:r>
        <w:rPr>
          <w:sz w:val="20"/>
        </w:rPr>
        <w:t>To: cos_mx@hotmail.com; </w:t>
      </w:r>
      <w:hyperlink r:id="rId39">
        <w:r>
          <w:rPr>
            <w:sz w:val="20"/>
          </w:rPr>
          <w:t>cortegas@uaemex.mx</w:t>
        </w:r>
      </w:hyperlink>
      <w:r>
        <w:rPr>
          <w:sz w:val="20"/>
        </w:rPr>
        <w:t> CC: cos_mx@hotmail.com; </w:t>
      </w:r>
      <w:hyperlink r:id="rId39">
        <w:r>
          <w:rPr>
            <w:sz w:val="20"/>
          </w:rPr>
          <w:t>cortegas@uaemex.mx</w:t>
        </w:r>
      </w:hyperlink>
    </w:p>
    <w:p>
      <w:pPr>
        <w:spacing w:line="722" w:lineRule="auto" w:before="10"/>
        <w:ind w:left="152" w:right="430" w:firstLine="52"/>
        <w:jc w:val="left"/>
        <w:rPr>
          <w:sz w:val="20"/>
        </w:rPr>
      </w:pPr>
      <w:r>
        <w:rPr>
          <w:sz w:val="20"/>
        </w:rPr>
        <w:t>Subject: Journal of Aquatic Animal Health - Manuscript ID UAAH-2015-0027 has been submitted online 01-Jun-2015</w:t>
      </w:r>
    </w:p>
    <w:p>
      <w:pPr>
        <w:spacing w:before="16"/>
        <w:ind w:left="152" w:right="0" w:firstLine="0"/>
        <w:jc w:val="both"/>
        <w:rPr>
          <w:sz w:val="20"/>
        </w:rPr>
      </w:pPr>
      <w:r>
        <w:rPr>
          <w:sz w:val="20"/>
        </w:rPr>
        <w:t>Dear Dr. ORTEGA:</w:t>
      </w:r>
    </w:p>
    <w:p>
      <w:pPr>
        <w:spacing w:line="357" w:lineRule="auto" w:before="116"/>
        <w:ind w:left="152" w:right="107" w:firstLine="0"/>
        <w:jc w:val="both"/>
        <w:rPr>
          <w:sz w:val="20"/>
        </w:rPr>
      </w:pPr>
      <w:r>
        <w:rPr>
          <w:sz w:val="20"/>
        </w:rPr>
        <w:t>Your manuscript entitled "Necrosis Pancreatic Infectious Virus does not block 701-STAT1 (α/β) tyrosine in rainbow trout" has been successfully submitted online and is presently being given full consideration for publication in Journal of Aquatic Animal Health.</w:t>
      </w:r>
    </w:p>
    <w:p>
      <w:pPr>
        <w:pStyle w:val="BodyText"/>
        <w:rPr>
          <w:sz w:val="20"/>
        </w:rPr>
      </w:pPr>
    </w:p>
    <w:p>
      <w:pPr>
        <w:spacing w:before="122"/>
        <w:ind w:left="205" w:right="0" w:firstLine="0"/>
        <w:jc w:val="both"/>
        <w:rPr>
          <w:sz w:val="20"/>
        </w:rPr>
      </w:pPr>
      <w:r>
        <w:rPr>
          <w:sz w:val="20"/>
        </w:rPr>
        <w:t>Your manuscript ID is UAAH-2015-0027.</w:t>
      </w:r>
    </w:p>
    <w:p>
      <w:pPr>
        <w:pStyle w:val="BodyText"/>
        <w:rPr>
          <w:sz w:val="20"/>
        </w:rPr>
      </w:pPr>
    </w:p>
    <w:p>
      <w:pPr>
        <w:pStyle w:val="BodyText"/>
        <w:spacing w:before="1"/>
        <w:rPr>
          <w:sz w:val="20"/>
        </w:rPr>
      </w:pPr>
    </w:p>
    <w:p>
      <w:pPr>
        <w:spacing w:line="360" w:lineRule="auto" w:before="0"/>
        <w:ind w:left="152" w:right="105" w:firstLine="0"/>
        <w:jc w:val="both"/>
        <w:rPr>
          <w:sz w:val="20"/>
        </w:rPr>
      </w:pPr>
      <w:r>
        <w:rPr>
          <w:sz w:val="20"/>
        </w:rPr>
        <w:t>Please mention the above manuscript ID in all future correspondence or when calling the office for questions. If there are any changes in your street address or e-mail address, please log in to Scholar One Manuscripts at https://mc.manuscriptcentral.com/jaah and edit your user information as appropriate.</w:t>
      </w:r>
    </w:p>
    <w:p>
      <w:pPr>
        <w:pStyle w:val="BodyText"/>
        <w:rPr>
          <w:sz w:val="20"/>
        </w:rPr>
      </w:pPr>
    </w:p>
    <w:p>
      <w:pPr>
        <w:spacing w:line="360" w:lineRule="auto" w:before="116"/>
        <w:ind w:left="152" w:right="101" w:firstLine="52"/>
        <w:jc w:val="left"/>
        <w:rPr>
          <w:sz w:val="20"/>
        </w:rPr>
      </w:pPr>
      <w:r>
        <w:rPr>
          <w:sz w:val="20"/>
        </w:rPr>
        <w:t>You can also view the status of your manuscript at any time by checking your Author Center after logging in to https://mc.manuscriptcentral.com/jaah.</w:t>
      </w:r>
    </w:p>
    <w:p>
      <w:pPr>
        <w:pStyle w:val="BodyText"/>
        <w:rPr>
          <w:sz w:val="20"/>
        </w:rPr>
      </w:pPr>
    </w:p>
    <w:p>
      <w:pPr>
        <w:spacing w:before="120"/>
        <w:ind w:left="205" w:right="0" w:firstLine="0"/>
        <w:jc w:val="both"/>
        <w:rPr>
          <w:sz w:val="20"/>
        </w:rPr>
      </w:pPr>
      <w:r>
        <w:rPr>
          <w:sz w:val="20"/>
        </w:rPr>
        <w:t>Thank you for submitting your manuscript to Journal of Aquatic Animal Health.</w:t>
      </w:r>
    </w:p>
    <w:p>
      <w:pPr>
        <w:pStyle w:val="BodyText"/>
        <w:rPr>
          <w:sz w:val="20"/>
        </w:rPr>
      </w:pPr>
    </w:p>
    <w:p>
      <w:pPr>
        <w:pStyle w:val="BodyText"/>
        <w:spacing w:before="1"/>
        <w:rPr>
          <w:sz w:val="20"/>
        </w:rPr>
      </w:pPr>
    </w:p>
    <w:p>
      <w:pPr>
        <w:spacing w:before="0"/>
        <w:ind w:left="205" w:right="0" w:firstLine="0"/>
        <w:jc w:val="both"/>
        <w:rPr>
          <w:sz w:val="20"/>
        </w:rPr>
      </w:pPr>
      <w:r>
        <w:rPr>
          <w:sz w:val="20"/>
        </w:rPr>
        <w:t>Sincerely,</w:t>
      </w:r>
    </w:p>
    <w:p>
      <w:pPr>
        <w:spacing w:before="115"/>
        <w:ind w:left="205" w:right="0" w:firstLine="0"/>
        <w:jc w:val="both"/>
        <w:rPr>
          <w:sz w:val="20"/>
        </w:rPr>
      </w:pPr>
      <w:r>
        <w:rPr>
          <w:sz w:val="20"/>
        </w:rPr>
        <w:t>Journal of Aquatic Animal Health Editorial Office</w:t>
      </w:r>
    </w:p>
    <w:p>
      <w:pPr>
        <w:spacing w:after="0"/>
        <w:jc w:val="both"/>
        <w:rPr>
          <w:sz w:val="20"/>
        </w:rPr>
        <w:sectPr>
          <w:footerReference w:type="default" r:id="rId37"/>
          <w:pgSz w:w="12240" w:h="15840"/>
          <w:pgMar w:footer="1322" w:header="0" w:top="1500" w:bottom="1520" w:left="1720" w:right="1420"/>
          <w:pgNumType w:start="51"/>
        </w:sectPr>
      </w:pPr>
    </w:p>
    <w:p>
      <w:pPr>
        <w:pStyle w:val="BodyText"/>
        <w:spacing w:before="1"/>
        <w:rPr>
          <w:sz w:val="26"/>
        </w:rPr>
      </w:pPr>
    </w:p>
    <w:p>
      <w:pPr>
        <w:pStyle w:val="Heading1"/>
        <w:spacing w:line="360" w:lineRule="auto"/>
        <w:ind w:left="3826" w:right="412" w:hanging="3352"/>
      </w:pPr>
      <w:r>
        <w:rPr/>
        <w:t>Necrosis Pancreatic Infectious Virus does not block 701-STAT1 (α/β) tyrosine in rainbow trout.</w:t>
      </w:r>
    </w:p>
    <w:p>
      <w:pPr>
        <w:pStyle w:val="BodyText"/>
        <w:rPr>
          <w:b/>
        </w:rPr>
      </w:pPr>
    </w:p>
    <w:p>
      <w:pPr>
        <w:spacing w:before="145"/>
        <w:ind w:left="152" w:right="0" w:firstLine="0"/>
        <w:jc w:val="both"/>
        <w:rPr>
          <w:b/>
          <w:sz w:val="24"/>
        </w:rPr>
      </w:pPr>
      <w:r>
        <w:rPr>
          <w:b/>
          <w:sz w:val="24"/>
        </w:rPr>
        <w:t>ARTICLE</w:t>
      </w:r>
    </w:p>
    <w:p>
      <w:pPr>
        <w:pStyle w:val="BodyText"/>
        <w:rPr>
          <w:b/>
        </w:rPr>
      </w:pPr>
    </w:p>
    <w:p>
      <w:pPr>
        <w:pStyle w:val="BodyText"/>
        <w:spacing w:before="5"/>
        <w:rPr>
          <w:b/>
          <w:sz w:val="22"/>
        </w:rPr>
      </w:pPr>
    </w:p>
    <w:p>
      <w:pPr>
        <w:spacing w:line="345" w:lineRule="auto" w:before="0"/>
        <w:ind w:left="152" w:right="105" w:firstLine="0"/>
        <w:jc w:val="both"/>
        <w:rPr>
          <w:b/>
          <w:sz w:val="16"/>
        </w:rPr>
      </w:pPr>
      <w:r>
        <w:rPr>
          <w:b/>
          <w:sz w:val="24"/>
        </w:rPr>
        <w:t>Donald Arguedas Cortés </w:t>
      </w:r>
      <w:r>
        <w:rPr>
          <w:b/>
          <w:position w:val="9"/>
          <w:sz w:val="16"/>
        </w:rPr>
        <w:t>af</w:t>
      </w:r>
      <w:r>
        <w:rPr>
          <w:b/>
          <w:sz w:val="24"/>
        </w:rPr>
        <w:t>, Alex P. Romero Zuñiga</w:t>
      </w:r>
      <w:r>
        <w:rPr>
          <w:b/>
          <w:position w:val="9"/>
          <w:sz w:val="16"/>
        </w:rPr>
        <w:t>bc</w:t>
      </w:r>
      <w:r>
        <w:rPr>
          <w:b/>
          <w:sz w:val="24"/>
        </w:rPr>
        <w:t>, Ricardo Enriquez Sais </w:t>
      </w:r>
      <w:r>
        <w:rPr>
          <w:b/>
          <w:position w:val="9"/>
          <w:sz w:val="16"/>
        </w:rPr>
        <w:t>b</w:t>
      </w:r>
      <w:r>
        <w:rPr>
          <w:b/>
          <w:sz w:val="24"/>
        </w:rPr>
        <w:t>, José S. Martínez Castañeda</w:t>
      </w:r>
      <w:r>
        <w:rPr>
          <w:b/>
          <w:position w:val="9"/>
          <w:sz w:val="16"/>
        </w:rPr>
        <w:t>a</w:t>
      </w:r>
      <w:r>
        <w:rPr>
          <w:b/>
          <w:sz w:val="24"/>
        </w:rPr>
        <w:t>, Jaqueline Mena Huertas</w:t>
      </w:r>
      <w:r>
        <w:rPr>
          <w:b/>
          <w:position w:val="9"/>
          <w:sz w:val="16"/>
        </w:rPr>
        <w:t>d</w:t>
      </w:r>
      <w:r>
        <w:rPr>
          <w:b/>
          <w:sz w:val="24"/>
        </w:rPr>
        <w:t>, María Angélica Hidalgo</w:t>
      </w:r>
      <w:r>
        <w:rPr>
          <w:b/>
          <w:position w:val="9"/>
          <w:sz w:val="16"/>
        </w:rPr>
        <w:t>d</w:t>
      </w:r>
      <w:r>
        <w:rPr>
          <w:b/>
          <w:sz w:val="24"/>
        </w:rPr>
        <w:t>, Ángel Astroza Constanzo</w:t>
      </w:r>
      <w:r>
        <w:rPr>
          <w:b/>
          <w:position w:val="9"/>
          <w:sz w:val="16"/>
        </w:rPr>
        <w:t>e  </w:t>
      </w:r>
      <w:r>
        <w:rPr>
          <w:b/>
          <w:sz w:val="24"/>
        </w:rPr>
        <w:t>&amp; César Ortega Santana.*</w:t>
      </w:r>
      <w:r>
        <w:rPr>
          <w:b/>
          <w:position w:val="9"/>
          <w:sz w:val="16"/>
        </w:rPr>
        <w:t>a</w:t>
      </w:r>
    </w:p>
    <w:p>
      <w:pPr>
        <w:spacing w:line="360" w:lineRule="auto" w:before="0"/>
        <w:ind w:left="152" w:right="101" w:firstLine="0"/>
        <w:jc w:val="both"/>
        <w:rPr>
          <w:i/>
          <w:sz w:val="24"/>
        </w:rPr>
      </w:pPr>
      <w:r>
        <w:rPr>
          <w:i/>
          <w:position w:val="9"/>
          <w:sz w:val="16"/>
        </w:rPr>
        <w:t>a </w:t>
      </w:r>
      <w:r>
        <w:rPr>
          <w:i/>
          <w:sz w:val="24"/>
        </w:rPr>
        <w:t>Autonomous University </w:t>
      </w:r>
      <w:r>
        <w:rPr>
          <w:i/>
          <w:spacing w:val="-3"/>
          <w:sz w:val="24"/>
        </w:rPr>
        <w:t>of </w:t>
      </w:r>
      <w:r>
        <w:rPr>
          <w:i/>
          <w:sz w:val="24"/>
        </w:rPr>
        <w:t>the State </w:t>
      </w:r>
      <w:r>
        <w:rPr>
          <w:i/>
          <w:spacing w:val="-3"/>
          <w:sz w:val="24"/>
        </w:rPr>
        <w:t>of </w:t>
      </w:r>
      <w:r>
        <w:rPr>
          <w:i/>
          <w:sz w:val="24"/>
        </w:rPr>
        <w:t>Mexico, Faculty </w:t>
      </w:r>
      <w:r>
        <w:rPr>
          <w:i/>
          <w:spacing w:val="-3"/>
          <w:sz w:val="24"/>
        </w:rPr>
        <w:t>of </w:t>
      </w:r>
      <w:r>
        <w:rPr>
          <w:i/>
          <w:sz w:val="24"/>
        </w:rPr>
        <w:t>Veterinary Medicine and Animal </w:t>
      </w:r>
      <w:r>
        <w:rPr>
          <w:i/>
          <w:sz w:val="24"/>
        </w:rPr>
        <w:t>Husbandry,</w:t>
      </w:r>
      <w:r>
        <w:rPr>
          <w:i/>
          <w:spacing w:val="-4"/>
          <w:sz w:val="24"/>
        </w:rPr>
        <w:t> </w:t>
      </w:r>
      <w:r>
        <w:rPr>
          <w:i/>
          <w:sz w:val="24"/>
        </w:rPr>
        <w:t>Advanced</w:t>
      </w:r>
      <w:r>
        <w:rPr>
          <w:i/>
          <w:spacing w:val="-6"/>
          <w:sz w:val="24"/>
        </w:rPr>
        <w:t> </w:t>
      </w:r>
      <w:r>
        <w:rPr>
          <w:i/>
          <w:sz w:val="24"/>
        </w:rPr>
        <w:t>Animal</w:t>
      </w:r>
      <w:r>
        <w:rPr>
          <w:i/>
          <w:spacing w:val="-5"/>
          <w:sz w:val="24"/>
        </w:rPr>
        <w:t> </w:t>
      </w:r>
      <w:r>
        <w:rPr>
          <w:i/>
          <w:sz w:val="24"/>
        </w:rPr>
        <w:t>Health</w:t>
      </w:r>
      <w:r>
        <w:rPr>
          <w:i/>
          <w:spacing w:val="-11"/>
          <w:sz w:val="24"/>
        </w:rPr>
        <w:t> </w:t>
      </w:r>
      <w:r>
        <w:rPr>
          <w:i/>
          <w:sz w:val="24"/>
        </w:rPr>
        <w:t>Research</w:t>
      </w:r>
      <w:r>
        <w:rPr>
          <w:i/>
          <w:spacing w:val="-6"/>
          <w:sz w:val="24"/>
        </w:rPr>
        <w:t> </w:t>
      </w:r>
      <w:r>
        <w:rPr>
          <w:i/>
          <w:sz w:val="24"/>
        </w:rPr>
        <w:t>and</w:t>
      </w:r>
      <w:r>
        <w:rPr>
          <w:i/>
          <w:spacing w:val="-6"/>
          <w:sz w:val="24"/>
        </w:rPr>
        <w:t> </w:t>
      </w:r>
      <w:r>
        <w:rPr>
          <w:i/>
          <w:sz w:val="24"/>
        </w:rPr>
        <w:t>Study</w:t>
      </w:r>
      <w:r>
        <w:rPr>
          <w:i/>
          <w:spacing w:val="-6"/>
          <w:sz w:val="24"/>
        </w:rPr>
        <w:t> </w:t>
      </w:r>
      <w:r>
        <w:rPr>
          <w:i/>
          <w:sz w:val="24"/>
        </w:rPr>
        <w:t>Center,</w:t>
      </w:r>
      <w:r>
        <w:rPr>
          <w:i/>
          <w:spacing w:val="-4"/>
          <w:sz w:val="24"/>
        </w:rPr>
        <w:t> </w:t>
      </w:r>
      <w:r>
        <w:rPr>
          <w:i/>
          <w:sz w:val="24"/>
        </w:rPr>
        <w:t>Toluca,</w:t>
      </w:r>
      <w:r>
        <w:rPr>
          <w:i/>
          <w:spacing w:val="-9"/>
          <w:sz w:val="24"/>
        </w:rPr>
        <w:t> </w:t>
      </w:r>
      <w:r>
        <w:rPr>
          <w:i/>
          <w:sz w:val="24"/>
        </w:rPr>
        <w:t>AP.4-56,</w:t>
      </w:r>
      <w:r>
        <w:rPr>
          <w:i/>
          <w:spacing w:val="-8"/>
          <w:sz w:val="24"/>
        </w:rPr>
        <w:t> </w:t>
      </w:r>
      <w:r>
        <w:rPr>
          <w:i/>
          <w:sz w:val="24"/>
        </w:rPr>
        <w:t>México; </w:t>
      </w:r>
      <w:hyperlink r:id="rId40">
        <w:r>
          <w:rPr>
            <w:i/>
            <w:sz w:val="24"/>
          </w:rPr>
          <w:t>darguedas@utn.ac.cr,</w:t>
        </w:r>
      </w:hyperlink>
      <w:r>
        <w:rPr>
          <w:i/>
          <w:sz w:val="24"/>
        </w:rPr>
        <w:t> </w:t>
      </w:r>
      <w:hyperlink r:id="rId39">
        <w:r>
          <w:rPr>
            <w:i/>
            <w:sz w:val="24"/>
          </w:rPr>
          <w:t>cortegas@uaemex.mx</w:t>
        </w:r>
      </w:hyperlink>
      <w:r>
        <w:rPr>
          <w:i/>
          <w:sz w:val="24"/>
        </w:rPr>
        <w:t>,</w:t>
      </w:r>
      <w:r>
        <w:rPr>
          <w:i/>
          <w:spacing w:val="-12"/>
          <w:sz w:val="24"/>
        </w:rPr>
        <w:t> </w:t>
      </w:r>
      <w:hyperlink r:id="rId41">
        <w:r>
          <w:rPr>
            <w:i/>
            <w:sz w:val="24"/>
          </w:rPr>
          <w:t>simonmc@uaemex.mx</w:t>
        </w:r>
      </w:hyperlink>
      <w:r>
        <w:rPr>
          <w:i/>
          <w:sz w:val="24"/>
        </w:rPr>
        <w:t>.</w:t>
      </w:r>
    </w:p>
    <w:p>
      <w:pPr>
        <w:spacing w:line="280" w:lineRule="exact" w:before="0"/>
        <w:ind w:left="152" w:right="0" w:firstLine="0"/>
        <w:jc w:val="both"/>
        <w:rPr>
          <w:i/>
          <w:sz w:val="24"/>
        </w:rPr>
      </w:pPr>
      <w:r>
        <w:rPr>
          <w:i/>
          <w:position w:val="9"/>
          <w:sz w:val="16"/>
        </w:rPr>
        <w:t>b</w:t>
      </w:r>
      <w:r>
        <w:rPr>
          <w:i/>
          <w:sz w:val="24"/>
        </w:rPr>
        <w:t>Laboratory  of  Biotechnology  and  Aquatic  Pathology,  Universidad  Austral  de    Chile;</w:t>
      </w:r>
    </w:p>
    <w:p>
      <w:pPr>
        <w:spacing w:before="141"/>
        <w:ind w:left="152" w:right="0" w:firstLine="0"/>
        <w:jc w:val="both"/>
        <w:rPr>
          <w:i/>
          <w:sz w:val="24"/>
        </w:rPr>
      </w:pPr>
      <w:r>
        <w:rPr>
          <w:i/>
          <w:sz w:val="24"/>
        </w:rPr>
        <w:t>Valdivia, Chile; </w:t>
      </w:r>
      <w:hyperlink r:id="rId42">
        <w:r>
          <w:rPr>
            <w:i/>
            <w:sz w:val="24"/>
          </w:rPr>
          <w:t>renrique@uach.cl.</w:t>
        </w:r>
      </w:hyperlink>
      <w:hyperlink r:id="rId43">
        <w:r>
          <w:rPr>
            <w:i/>
            <w:sz w:val="24"/>
          </w:rPr>
          <w:t>alexromero@uach.cl</w:t>
        </w:r>
      </w:hyperlink>
      <w:r>
        <w:rPr>
          <w:i/>
          <w:sz w:val="24"/>
        </w:rPr>
        <w:t>.</w:t>
      </w:r>
    </w:p>
    <w:p>
      <w:pPr>
        <w:spacing w:line="360" w:lineRule="auto" w:before="121"/>
        <w:ind w:left="152" w:right="107" w:firstLine="0"/>
        <w:jc w:val="both"/>
        <w:rPr>
          <w:i/>
          <w:sz w:val="24"/>
        </w:rPr>
      </w:pPr>
      <w:r>
        <w:rPr>
          <w:i/>
          <w:position w:val="9"/>
          <w:sz w:val="16"/>
        </w:rPr>
        <w:t>c</w:t>
      </w:r>
      <w:r>
        <w:rPr>
          <w:i/>
          <w:sz w:val="24"/>
        </w:rPr>
        <w:t>Center FONDAP: Interdisciplinary Center for Aquaculture Research (INCAR), Chile; </w:t>
      </w:r>
      <w:hyperlink r:id="rId43">
        <w:r>
          <w:rPr>
            <w:i/>
            <w:color w:val="0462C1"/>
            <w:sz w:val="24"/>
            <w:u w:val="single" w:color="0462C1"/>
          </w:rPr>
          <w:t>alexromero@uach.cl</w:t>
        </w:r>
      </w:hyperlink>
      <w:r>
        <w:rPr>
          <w:i/>
          <w:sz w:val="24"/>
        </w:rPr>
        <w:t>.</w:t>
      </w:r>
    </w:p>
    <w:p>
      <w:pPr>
        <w:spacing w:line="280" w:lineRule="exact" w:before="0"/>
        <w:ind w:left="152" w:right="0" w:firstLine="0"/>
        <w:jc w:val="both"/>
        <w:rPr>
          <w:i/>
          <w:sz w:val="24"/>
        </w:rPr>
      </w:pPr>
      <w:r>
        <w:rPr>
          <w:i/>
          <w:position w:val="9"/>
          <w:sz w:val="16"/>
        </w:rPr>
        <w:t>d</w:t>
      </w:r>
      <w:r>
        <w:rPr>
          <w:i/>
          <w:sz w:val="24"/>
        </w:rPr>
        <w:t>Laboratory of Molecular Pharmacology, Institute of Pharmacology, Universidad Austral de</w:t>
      </w:r>
    </w:p>
    <w:p>
      <w:pPr>
        <w:spacing w:before="141"/>
        <w:ind w:left="152" w:right="0" w:firstLine="0"/>
        <w:jc w:val="both"/>
        <w:rPr>
          <w:i/>
          <w:sz w:val="24"/>
        </w:rPr>
      </w:pPr>
      <w:r>
        <w:rPr>
          <w:i/>
          <w:sz w:val="24"/>
        </w:rPr>
        <w:t>Chile, Valdivia, Chile; </w:t>
      </w:r>
      <w:hyperlink r:id="rId44">
        <w:r>
          <w:rPr>
            <w:i/>
            <w:color w:val="0462C1"/>
            <w:sz w:val="24"/>
            <w:u w:val="single" w:color="0462C1"/>
          </w:rPr>
          <w:t>jmenahuertas@ymail.com</w:t>
        </w:r>
      </w:hyperlink>
      <w:r>
        <w:rPr>
          <w:i/>
          <w:sz w:val="24"/>
        </w:rPr>
        <w:t>. </w:t>
      </w:r>
      <w:hyperlink r:id="rId45">
        <w:r>
          <w:rPr>
            <w:i/>
            <w:color w:val="0462C1"/>
            <w:sz w:val="24"/>
            <w:u w:val="single" w:color="0462C1"/>
          </w:rPr>
          <w:t>mhidalgo@uach.cl.</w:t>
        </w:r>
      </w:hyperlink>
    </w:p>
    <w:p>
      <w:pPr>
        <w:spacing w:line="360" w:lineRule="auto" w:before="121"/>
        <w:ind w:left="152" w:right="109" w:firstLine="0"/>
        <w:jc w:val="both"/>
        <w:rPr>
          <w:i/>
          <w:sz w:val="24"/>
        </w:rPr>
      </w:pPr>
      <w:r>
        <w:rPr>
          <w:i/>
          <w:position w:val="9"/>
          <w:sz w:val="16"/>
        </w:rPr>
        <w:t>e</w:t>
      </w:r>
      <w:r>
        <w:rPr>
          <w:i/>
          <w:sz w:val="24"/>
        </w:rPr>
        <w:t>Laboratory of Molecular and celular Biology, Departamento de Biología y Química, </w:t>
      </w:r>
      <w:r>
        <w:rPr>
          <w:i/>
          <w:sz w:val="24"/>
        </w:rPr>
        <w:t>Universidad San Sebastián, Valdivia, Chile; </w:t>
      </w:r>
      <w:hyperlink r:id="rId46">
        <w:r>
          <w:rPr>
            <w:i/>
            <w:color w:val="0462C1"/>
            <w:sz w:val="24"/>
            <w:u w:val="single" w:color="0462C1"/>
          </w:rPr>
          <w:t>angel.astroza@uss.cl</w:t>
        </w:r>
      </w:hyperlink>
      <w:r>
        <w:rPr>
          <w:i/>
          <w:sz w:val="24"/>
        </w:rPr>
        <w:t>.</w:t>
      </w:r>
    </w:p>
    <w:p>
      <w:pPr>
        <w:spacing w:line="280" w:lineRule="exact" w:before="0"/>
        <w:ind w:left="215" w:right="0" w:firstLine="0"/>
        <w:jc w:val="both"/>
        <w:rPr>
          <w:i/>
          <w:sz w:val="24"/>
        </w:rPr>
      </w:pPr>
      <w:r>
        <w:rPr>
          <w:i/>
          <w:position w:val="9"/>
          <w:sz w:val="16"/>
        </w:rPr>
        <w:t>f</w:t>
      </w:r>
      <w:r>
        <w:rPr>
          <w:i/>
          <w:sz w:val="24"/>
        </w:rPr>
        <w:t>Laboratory    LARED,    Universidad    Técnica    Nacional,    Guanacaste,    Costa   Rica;</w:t>
      </w:r>
    </w:p>
    <w:p>
      <w:pPr>
        <w:spacing w:before="141"/>
        <w:ind w:left="152" w:right="0" w:firstLine="0"/>
        <w:jc w:val="both"/>
        <w:rPr>
          <w:i/>
          <w:sz w:val="24"/>
        </w:rPr>
      </w:pPr>
      <w:hyperlink r:id="rId40">
        <w:r>
          <w:rPr>
            <w:i/>
            <w:color w:val="0462C1"/>
            <w:sz w:val="24"/>
            <w:u w:val="single" w:color="0462C1"/>
          </w:rPr>
          <w:t>darguedas@utn.ac.cr</w:t>
        </w:r>
        <w:r>
          <w:rPr>
            <w:i/>
            <w:sz w:val="24"/>
          </w:rPr>
          <w:t>.</w:t>
        </w:r>
      </w:hyperlink>
    </w:p>
    <w:p>
      <w:pPr>
        <w:pStyle w:val="BodyText"/>
        <w:rPr>
          <w:i/>
          <w:sz w:val="20"/>
        </w:rPr>
      </w:pPr>
    </w:p>
    <w:p>
      <w:pPr>
        <w:pStyle w:val="BodyText"/>
        <w:spacing w:before="9"/>
        <w:rPr>
          <w:i/>
          <w:sz w:val="21"/>
        </w:rPr>
      </w:pPr>
    </w:p>
    <w:p>
      <w:pPr>
        <w:pStyle w:val="BodyText"/>
        <w:spacing w:before="69"/>
        <w:ind w:left="152"/>
      </w:pPr>
      <w:r>
        <w:rPr/>
        <w:t>*Corresponding author.</w:t>
      </w:r>
    </w:p>
    <w:p>
      <w:pPr>
        <w:spacing w:after="0"/>
        <w:sectPr>
          <w:pgSz w:w="12240" w:h="15840"/>
          <w:pgMar w:header="0" w:footer="1322" w:top="1500" w:bottom="1580" w:left="1720" w:right="1420"/>
        </w:sectPr>
      </w:pPr>
    </w:p>
    <w:p>
      <w:pPr>
        <w:pStyle w:val="BodyText"/>
        <w:spacing w:before="7"/>
        <w:rPr>
          <w:sz w:val="25"/>
        </w:rPr>
      </w:pPr>
    </w:p>
    <w:p>
      <w:pPr>
        <w:spacing w:before="70"/>
        <w:ind w:left="152" w:right="0" w:firstLine="0"/>
        <w:jc w:val="left"/>
        <w:rPr>
          <w:i/>
          <w:sz w:val="24"/>
        </w:rPr>
      </w:pPr>
      <w:r>
        <w:rPr>
          <w:i/>
          <w:sz w:val="24"/>
        </w:rPr>
        <w:t>Abstract</w:t>
      </w:r>
    </w:p>
    <w:p>
      <w:pPr>
        <w:pStyle w:val="BodyText"/>
        <w:rPr>
          <w:i/>
        </w:rPr>
      </w:pPr>
    </w:p>
    <w:p>
      <w:pPr>
        <w:pStyle w:val="BodyText"/>
        <w:spacing w:before="3"/>
        <w:rPr>
          <w:i/>
        </w:rPr>
      </w:pPr>
    </w:p>
    <w:p>
      <w:pPr>
        <w:pStyle w:val="Heading1"/>
        <w:spacing w:line="360" w:lineRule="auto" w:before="0"/>
        <w:ind w:right="101" w:firstLine="768"/>
        <w:jc w:val="both"/>
      </w:pPr>
      <w:r>
        <w:rPr/>
        <w:t>Infectious</w:t>
      </w:r>
      <w:r>
        <w:rPr>
          <w:spacing w:val="-10"/>
        </w:rPr>
        <w:t> </w:t>
      </w:r>
      <w:r>
        <w:rPr/>
        <w:t>pancreatic</w:t>
      </w:r>
      <w:r>
        <w:rPr>
          <w:spacing w:val="-8"/>
        </w:rPr>
        <w:t> </w:t>
      </w:r>
      <w:r>
        <w:rPr/>
        <w:t>necrosis</w:t>
      </w:r>
      <w:r>
        <w:rPr>
          <w:spacing w:val="-10"/>
        </w:rPr>
        <w:t> </w:t>
      </w:r>
      <w:r>
        <w:rPr/>
        <w:t>virus</w:t>
      </w:r>
      <w:r>
        <w:rPr>
          <w:spacing w:val="-10"/>
        </w:rPr>
        <w:t> </w:t>
      </w:r>
      <w:r>
        <w:rPr/>
        <w:t>(IPNV)</w:t>
      </w:r>
      <w:r>
        <w:rPr>
          <w:spacing w:val="-6"/>
        </w:rPr>
        <w:t> </w:t>
      </w:r>
      <w:r>
        <w:rPr/>
        <w:t>is</w:t>
      </w:r>
      <w:r>
        <w:rPr>
          <w:spacing w:val="-10"/>
        </w:rPr>
        <w:t> </w:t>
      </w:r>
      <w:r>
        <w:rPr/>
        <w:t>a</w:t>
      </w:r>
      <w:r>
        <w:rPr>
          <w:spacing w:val="-16"/>
        </w:rPr>
        <w:t> </w:t>
      </w:r>
      <w:r>
        <w:rPr/>
        <w:t>pathogen</w:t>
      </w:r>
      <w:r>
        <w:rPr>
          <w:spacing w:val="-12"/>
        </w:rPr>
        <w:t> </w:t>
      </w:r>
      <w:r>
        <w:rPr/>
        <w:t>important</w:t>
      </w:r>
      <w:r>
        <w:rPr>
          <w:spacing w:val="-6"/>
        </w:rPr>
        <w:t> </w:t>
      </w:r>
      <w:r>
        <w:rPr/>
        <w:t>that</w:t>
      </w:r>
      <w:r>
        <w:rPr>
          <w:spacing w:val="-6"/>
        </w:rPr>
        <w:t> </w:t>
      </w:r>
      <w:r>
        <w:rPr/>
        <w:t>affects predominantly salmonids. The type I interferon alpha system has a crucial role in the first line of defense against IPNV infection. IFN-I(</w:t>
      </w:r>
      <w:r>
        <w:rPr>
          <w:i/>
        </w:rPr>
        <w:t>α</w:t>
      </w:r>
      <w:r>
        <w:rPr/>
        <w:t>) activation triggers the signaling pathway JAK-STAT, binding to theirs receptors results in the rapid phosphorylation of STATs a critical step for the nuclear translocation to induce the interferon stimulated genes (ISGs). The relationship between infectivity level of IPNV strain and pathway signaling of IFN is yet poorly understood. We showed that serotype Sp virus VP2-protein expression was up regulated compared to serotype VR-299 virus VP2- protein expression (avirulent strain). However, the replication increase in both serotypes was associated with a down-regulation of IFN-I(</w:t>
      </w:r>
      <w:r>
        <w:rPr>
          <w:i/>
        </w:rPr>
        <w:t>α</w:t>
      </w:r>
      <w:r>
        <w:rPr/>
        <w:t>), STAT-1(α), Mx-1 transcripts, suggesting that the inhibition of IFN-I(</w:t>
      </w:r>
      <w:r>
        <w:rPr>
          <w:i/>
        </w:rPr>
        <w:t>α</w:t>
      </w:r>
      <w:r>
        <w:rPr/>
        <w:t>) signaling is required for viral replication</w:t>
      </w:r>
      <w:r>
        <w:rPr>
          <w:spacing w:val="-11"/>
        </w:rPr>
        <w:t> </w:t>
      </w:r>
      <w:r>
        <w:rPr/>
        <w:t>in</w:t>
      </w:r>
      <w:r>
        <w:rPr>
          <w:spacing w:val="-11"/>
        </w:rPr>
        <w:t> </w:t>
      </w:r>
      <w:r>
        <w:rPr/>
        <w:t>early</w:t>
      </w:r>
      <w:r>
        <w:rPr>
          <w:spacing w:val="-13"/>
        </w:rPr>
        <w:t> </w:t>
      </w:r>
      <w:r>
        <w:rPr/>
        <w:t>infection</w:t>
      </w:r>
      <w:r>
        <w:rPr>
          <w:spacing w:val="-11"/>
        </w:rPr>
        <w:t> </w:t>
      </w:r>
      <w:r>
        <w:rPr/>
        <w:t>stages.</w:t>
      </w:r>
      <w:r>
        <w:rPr>
          <w:spacing w:val="-7"/>
        </w:rPr>
        <w:t> </w:t>
      </w:r>
      <w:r>
        <w:rPr/>
        <w:t>Further,</w:t>
      </w:r>
      <w:r>
        <w:rPr>
          <w:spacing w:val="-9"/>
        </w:rPr>
        <w:t> </w:t>
      </w:r>
      <w:r>
        <w:rPr/>
        <w:t>contrary</w:t>
      </w:r>
      <w:r>
        <w:rPr>
          <w:spacing w:val="-13"/>
        </w:rPr>
        <w:t> </w:t>
      </w:r>
      <w:r>
        <w:rPr/>
        <w:t>to</w:t>
      </w:r>
      <w:r>
        <w:rPr>
          <w:spacing w:val="-13"/>
        </w:rPr>
        <w:t> </w:t>
      </w:r>
      <w:r>
        <w:rPr/>
        <w:t>the</w:t>
      </w:r>
      <w:r>
        <w:rPr>
          <w:spacing w:val="-14"/>
        </w:rPr>
        <w:t> </w:t>
      </w:r>
      <w:r>
        <w:rPr/>
        <w:t>hypothesized,</w:t>
      </w:r>
      <w:r>
        <w:rPr>
          <w:spacing w:val="-11"/>
        </w:rPr>
        <w:t> </w:t>
      </w:r>
      <w:r>
        <w:rPr/>
        <w:t>the</w:t>
      </w:r>
      <w:r>
        <w:rPr>
          <w:spacing w:val="-14"/>
        </w:rPr>
        <w:t> </w:t>
      </w:r>
      <w:r>
        <w:rPr/>
        <w:t>IFN-I(</w:t>
      </w:r>
      <w:r>
        <w:rPr>
          <w:i/>
        </w:rPr>
        <w:t>α</w:t>
      </w:r>
      <w:r>
        <w:rPr/>
        <w:t>) expression was higher in infected </w:t>
      </w:r>
      <w:r>
        <w:rPr>
          <w:spacing w:val="-3"/>
        </w:rPr>
        <w:t>cells </w:t>
      </w:r>
      <w:r>
        <w:rPr/>
        <w:t>with serotype Sp </w:t>
      </w:r>
      <w:r>
        <w:rPr>
          <w:spacing w:val="-3"/>
        </w:rPr>
        <w:t>virus </w:t>
      </w:r>
      <w:r>
        <w:rPr/>
        <w:t>suggesting, a lineal positive correlation between virulence strain and IFN-I(α) immune response. Hence, a higher virulence strain is not associated with a greater blocking effect for interferon signaling.</w:t>
      </w:r>
      <w:r>
        <w:rPr>
          <w:spacing w:val="-11"/>
        </w:rPr>
        <w:t> </w:t>
      </w:r>
      <w:r>
        <w:rPr/>
        <w:t>Furthermore,</w:t>
      </w:r>
      <w:r>
        <w:rPr>
          <w:spacing w:val="-11"/>
        </w:rPr>
        <w:t> </w:t>
      </w:r>
      <w:r>
        <w:rPr/>
        <w:t>the</w:t>
      </w:r>
      <w:r>
        <w:rPr>
          <w:spacing w:val="-14"/>
        </w:rPr>
        <w:t> </w:t>
      </w:r>
      <w:r>
        <w:rPr/>
        <w:t>activation</w:t>
      </w:r>
      <w:r>
        <w:rPr>
          <w:spacing w:val="-15"/>
        </w:rPr>
        <w:t> </w:t>
      </w:r>
      <w:r>
        <w:rPr/>
        <w:t>of</w:t>
      </w:r>
      <w:r>
        <w:rPr>
          <w:spacing w:val="-13"/>
        </w:rPr>
        <w:t> </w:t>
      </w:r>
      <w:r>
        <w:rPr/>
        <w:t>Y701-STAT1</w:t>
      </w:r>
      <w:r>
        <w:rPr>
          <w:spacing w:val="-12"/>
        </w:rPr>
        <w:t> </w:t>
      </w:r>
      <w:r>
        <w:rPr/>
        <w:t>(α/β)</w:t>
      </w:r>
      <w:r>
        <w:rPr>
          <w:spacing w:val="-11"/>
        </w:rPr>
        <w:t> </w:t>
      </w:r>
      <w:r>
        <w:rPr/>
        <w:t>was</w:t>
      </w:r>
      <w:r>
        <w:rPr>
          <w:spacing w:val="-15"/>
        </w:rPr>
        <w:t> </w:t>
      </w:r>
      <w:r>
        <w:rPr/>
        <w:t>significantly</w:t>
      </w:r>
      <w:r>
        <w:rPr>
          <w:spacing w:val="-13"/>
        </w:rPr>
        <w:t> </w:t>
      </w:r>
      <w:r>
        <w:rPr/>
        <w:t>increased in serotype Sp virus infected cells compared with serotype VR-299 virus infected cells, indicating that IPNV inhibits IFN signaling pathway. As concluded, IPNV does not block</w:t>
      </w:r>
      <w:r>
        <w:rPr>
          <w:spacing w:val="-21"/>
        </w:rPr>
        <w:t> </w:t>
      </w:r>
      <w:r>
        <w:rPr/>
        <w:t>the</w:t>
      </w:r>
      <w:r>
        <w:rPr>
          <w:spacing w:val="-18"/>
        </w:rPr>
        <w:t> </w:t>
      </w:r>
      <w:r>
        <w:rPr/>
        <w:t>phosphorylation</w:t>
      </w:r>
      <w:r>
        <w:rPr>
          <w:spacing w:val="-16"/>
        </w:rPr>
        <w:t> </w:t>
      </w:r>
      <w:r>
        <w:rPr/>
        <w:t>of</w:t>
      </w:r>
      <w:r>
        <w:rPr>
          <w:spacing w:val="-21"/>
        </w:rPr>
        <w:t> </w:t>
      </w:r>
      <w:r>
        <w:rPr/>
        <w:t>701-tyrosine</w:t>
      </w:r>
      <w:r>
        <w:rPr>
          <w:spacing w:val="-18"/>
        </w:rPr>
        <w:t> </w:t>
      </w:r>
      <w:r>
        <w:rPr/>
        <w:t>STAT1(α/β)</w:t>
      </w:r>
      <w:r>
        <w:rPr>
          <w:spacing w:val="-16"/>
        </w:rPr>
        <w:t> </w:t>
      </w:r>
      <w:r>
        <w:rPr/>
        <w:t>stimulated</w:t>
      </w:r>
      <w:r>
        <w:rPr>
          <w:spacing w:val="-17"/>
        </w:rPr>
        <w:t> </w:t>
      </w:r>
      <w:r>
        <w:rPr/>
        <w:t>by</w:t>
      </w:r>
      <w:r>
        <w:rPr>
          <w:spacing w:val="-17"/>
        </w:rPr>
        <w:t> </w:t>
      </w:r>
      <w:r>
        <w:rPr/>
        <w:t>IFN-I(α),</w:t>
      </w:r>
      <w:r>
        <w:rPr>
          <w:spacing w:val="-20"/>
        </w:rPr>
        <w:t> </w:t>
      </w:r>
      <w:r>
        <w:rPr/>
        <w:t>contrary to other RNA</w:t>
      </w:r>
      <w:r>
        <w:rPr>
          <w:spacing w:val="-15"/>
        </w:rPr>
        <w:t> </w:t>
      </w:r>
      <w:r>
        <w:rPr/>
        <w:t>viruses.</w:t>
      </w:r>
    </w:p>
    <w:p>
      <w:pPr>
        <w:spacing w:after="0" w:line="360" w:lineRule="auto"/>
        <w:jc w:val="both"/>
        <w:sectPr>
          <w:pgSz w:w="12240" w:h="15840"/>
          <w:pgMar w:header="0" w:footer="1322" w:top="1500" w:bottom="1580" w:left="1720" w:right="1420"/>
        </w:sectPr>
      </w:pPr>
    </w:p>
    <w:p>
      <w:pPr>
        <w:pStyle w:val="BodyText"/>
        <w:spacing w:before="7"/>
        <w:rPr>
          <w:b/>
          <w:sz w:val="25"/>
        </w:rPr>
      </w:pPr>
    </w:p>
    <w:p>
      <w:pPr>
        <w:pStyle w:val="BodyText"/>
        <w:spacing w:line="360" w:lineRule="auto" w:before="70"/>
        <w:ind w:left="152" w:right="115" w:firstLine="979"/>
        <w:jc w:val="both"/>
      </w:pPr>
      <w:r>
        <w:rPr/>
        <w:t>Infectious pancreatic necrosis virus (IPNV) </w:t>
      </w:r>
      <w:r>
        <w:rPr>
          <w:spacing w:val="-5"/>
        </w:rPr>
        <w:t>is </w:t>
      </w:r>
      <w:r>
        <w:rPr/>
        <w:t>an aquabirnavirus </w:t>
      </w:r>
      <w:r>
        <w:rPr>
          <w:spacing w:val="-3"/>
        </w:rPr>
        <w:t>member </w:t>
      </w:r>
      <w:r>
        <w:rPr/>
        <w:t>of the Birnaviridae</w:t>
      </w:r>
      <w:r>
        <w:rPr>
          <w:spacing w:val="-5"/>
        </w:rPr>
        <w:t> </w:t>
      </w:r>
      <w:r>
        <w:rPr/>
        <w:t>family</w:t>
      </w:r>
      <w:r>
        <w:rPr>
          <w:spacing w:val="-17"/>
        </w:rPr>
        <w:t> </w:t>
      </w:r>
      <w:r>
        <w:rPr/>
        <w:t>that</w:t>
      </w:r>
      <w:r>
        <w:rPr>
          <w:spacing w:val="-4"/>
        </w:rPr>
        <w:t> </w:t>
      </w:r>
      <w:r>
        <w:rPr/>
        <w:t>causes</w:t>
      </w:r>
      <w:r>
        <w:rPr>
          <w:spacing w:val="-11"/>
        </w:rPr>
        <w:t> </w:t>
      </w:r>
      <w:r>
        <w:rPr/>
        <w:t>an</w:t>
      </w:r>
      <w:r>
        <w:rPr>
          <w:spacing w:val="-13"/>
        </w:rPr>
        <w:t> </w:t>
      </w:r>
      <w:r>
        <w:rPr/>
        <w:t>emerging</w:t>
      </w:r>
      <w:r>
        <w:rPr>
          <w:spacing w:val="-9"/>
        </w:rPr>
        <w:t> </w:t>
      </w:r>
      <w:r>
        <w:rPr/>
        <w:t>disease,</w:t>
      </w:r>
      <w:r>
        <w:rPr>
          <w:spacing w:val="-7"/>
        </w:rPr>
        <w:t> </w:t>
      </w:r>
      <w:r>
        <w:rPr/>
        <w:t>which</w:t>
      </w:r>
      <w:r>
        <w:rPr>
          <w:spacing w:val="-13"/>
        </w:rPr>
        <w:t> </w:t>
      </w:r>
      <w:r>
        <w:rPr/>
        <w:t>affects</w:t>
      </w:r>
      <w:r>
        <w:rPr>
          <w:spacing w:val="-11"/>
        </w:rPr>
        <w:t> </w:t>
      </w:r>
      <w:r>
        <w:rPr/>
        <w:t>predominantly</w:t>
      </w:r>
      <w:r>
        <w:rPr>
          <w:spacing w:val="-13"/>
        </w:rPr>
        <w:t> </w:t>
      </w:r>
      <w:r>
        <w:rPr/>
        <w:t>salmonids (OIE 2006; Smail et </w:t>
      </w:r>
      <w:r>
        <w:rPr>
          <w:spacing w:val="-3"/>
        </w:rPr>
        <w:t>al.</w:t>
      </w:r>
      <w:r>
        <w:rPr>
          <w:spacing w:val="2"/>
        </w:rPr>
        <w:t> </w:t>
      </w:r>
      <w:r>
        <w:rPr/>
        <w:t>2006).</w:t>
      </w:r>
    </w:p>
    <w:p>
      <w:pPr>
        <w:pStyle w:val="BodyText"/>
        <w:spacing w:line="360" w:lineRule="auto" w:before="8"/>
        <w:ind w:left="152" w:right="100"/>
        <w:jc w:val="both"/>
      </w:pPr>
      <w:r>
        <w:rPr/>
        <w:t>The clinical disease and the percentage of mortality depend on some factors such as water temperature, strain and infection pathway (Wolf 1988; Arguedas et al. 2015). The virus produced a mortality ranged from 90 to 100% in rainbow trout (</w:t>
      </w:r>
      <w:r>
        <w:rPr>
          <w:i/>
        </w:rPr>
        <w:t>Oncorhynchus mykiss</w:t>
      </w:r>
      <w:r>
        <w:rPr/>
        <w:t>) with 1-4 month of age (McAllister and Bebak 1997); although mortality levels can varey considerably, partly due to strain virulence variation (Santi et al. 2004).</w:t>
      </w:r>
    </w:p>
    <w:p>
      <w:pPr>
        <w:pStyle w:val="BodyText"/>
        <w:spacing w:line="360" w:lineRule="auto" w:before="8"/>
        <w:ind w:left="152" w:right="105"/>
        <w:jc w:val="both"/>
      </w:pPr>
      <w:r>
        <w:rPr/>
        <w:t>Two</w:t>
      </w:r>
      <w:r>
        <w:rPr>
          <w:spacing w:val="-11"/>
        </w:rPr>
        <w:t> </w:t>
      </w:r>
      <w:r>
        <w:rPr/>
        <w:t>segments</w:t>
      </w:r>
      <w:r>
        <w:rPr>
          <w:spacing w:val="-18"/>
        </w:rPr>
        <w:t> </w:t>
      </w:r>
      <w:r>
        <w:rPr/>
        <w:t>of</w:t>
      </w:r>
      <w:r>
        <w:rPr>
          <w:spacing w:val="-19"/>
        </w:rPr>
        <w:t> </w:t>
      </w:r>
      <w:r>
        <w:rPr/>
        <w:t>double-stranded</w:t>
      </w:r>
      <w:r>
        <w:rPr>
          <w:spacing w:val="-11"/>
        </w:rPr>
        <w:t> </w:t>
      </w:r>
      <w:r>
        <w:rPr/>
        <w:t>RNA</w:t>
      </w:r>
      <w:r>
        <w:rPr>
          <w:spacing w:val="-16"/>
        </w:rPr>
        <w:t> </w:t>
      </w:r>
      <w:r>
        <w:rPr/>
        <w:t>(dsRNA)</w:t>
      </w:r>
      <w:r>
        <w:rPr>
          <w:spacing w:val="-14"/>
        </w:rPr>
        <w:t> </w:t>
      </w:r>
      <w:r>
        <w:rPr/>
        <w:t>that</w:t>
      </w:r>
      <w:r>
        <w:rPr>
          <w:spacing w:val="-7"/>
        </w:rPr>
        <w:t> </w:t>
      </w:r>
      <w:r>
        <w:rPr/>
        <w:t>encodes</w:t>
      </w:r>
      <w:r>
        <w:rPr>
          <w:spacing w:val="-13"/>
        </w:rPr>
        <w:t> </w:t>
      </w:r>
      <w:r>
        <w:rPr>
          <w:spacing w:val="-3"/>
        </w:rPr>
        <w:t>five</w:t>
      </w:r>
      <w:r>
        <w:rPr>
          <w:spacing w:val="-12"/>
        </w:rPr>
        <w:t> </w:t>
      </w:r>
      <w:r>
        <w:rPr/>
        <w:t>viral</w:t>
      </w:r>
      <w:r>
        <w:rPr>
          <w:spacing w:val="-20"/>
        </w:rPr>
        <w:t> </w:t>
      </w:r>
      <w:r>
        <w:rPr/>
        <w:t>proteins,</w:t>
      </w:r>
      <w:r>
        <w:rPr>
          <w:spacing w:val="-9"/>
        </w:rPr>
        <w:t> </w:t>
      </w:r>
      <w:r>
        <w:rPr/>
        <w:t>composing the IPNV genome. The segment A encodes VP2, VP3, VP4 and VP5; while B encodes only VP1. Studies have shown that residues </w:t>
      </w:r>
      <w:r>
        <w:rPr>
          <w:spacing w:val="-3"/>
        </w:rPr>
        <w:t>in </w:t>
      </w:r>
      <w:r>
        <w:rPr/>
        <w:t>positions 217 and 221 are key for determining the virulence of serotype Sp strains (Song et </w:t>
      </w:r>
      <w:r>
        <w:rPr>
          <w:spacing w:val="-4"/>
        </w:rPr>
        <w:t>al. </w:t>
      </w:r>
      <w:r>
        <w:rPr/>
        <w:t>2005). Virulent strains have a combination </w:t>
      </w:r>
      <w:r>
        <w:rPr>
          <w:spacing w:val="4"/>
        </w:rPr>
        <w:t>of </w:t>
      </w:r>
      <w:r>
        <w:rPr>
          <w:position w:val="2"/>
        </w:rPr>
        <w:t>threonine (Thr) and alanine (Ala) </w:t>
      </w:r>
      <w:r>
        <w:rPr>
          <w:spacing w:val="-3"/>
          <w:position w:val="2"/>
        </w:rPr>
        <w:t>in </w:t>
      </w:r>
      <w:r>
        <w:rPr>
          <w:position w:val="2"/>
        </w:rPr>
        <w:t>positions 217 and 221, respectively </w:t>
      </w:r>
      <w:r>
        <w:rPr>
          <w:spacing w:val="3"/>
          <w:position w:val="2"/>
        </w:rPr>
        <w:t>(T</w:t>
      </w:r>
      <w:r>
        <w:rPr>
          <w:spacing w:val="3"/>
          <w:sz w:val="16"/>
        </w:rPr>
        <w:t>217 </w:t>
      </w:r>
      <w:r>
        <w:rPr>
          <w:position w:val="2"/>
        </w:rPr>
        <w:t>A</w:t>
      </w:r>
      <w:r>
        <w:rPr>
          <w:sz w:val="16"/>
        </w:rPr>
        <w:t>221</w:t>
      </w:r>
      <w:r>
        <w:rPr>
          <w:position w:val="2"/>
        </w:rPr>
        <w:t>), while strains</w:t>
      </w:r>
      <w:r>
        <w:rPr>
          <w:spacing w:val="-13"/>
          <w:position w:val="2"/>
        </w:rPr>
        <w:t> </w:t>
      </w:r>
      <w:r>
        <w:rPr>
          <w:position w:val="2"/>
        </w:rPr>
        <w:t>of</w:t>
      </w:r>
      <w:r>
        <w:rPr>
          <w:spacing w:val="-14"/>
          <w:position w:val="2"/>
        </w:rPr>
        <w:t> </w:t>
      </w:r>
      <w:r>
        <w:rPr>
          <w:position w:val="2"/>
        </w:rPr>
        <w:t>intermediate</w:t>
      </w:r>
      <w:r>
        <w:rPr>
          <w:spacing w:val="-12"/>
          <w:position w:val="2"/>
        </w:rPr>
        <w:t> </w:t>
      </w:r>
      <w:r>
        <w:rPr>
          <w:position w:val="2"/>
        </w:rPr>
        <w:t>virulence</w:t>
      </w:r>
      <w:r>
        <w:rPr>
          <w:spacing w:val="-12"/>
          <w:position w:val="2"/>
        </w:rPr>
        <w:t> </w:t>
      </w:r>
      <w:r>
        <w:rPr>
          <w:position w:val="2"/>
        </w:rPr>
        <w:t>carry</w:t>
      </w:r>
      <w:r>
        <w:rPr>
          <w:spacing w:val="-19"/>
          <w:position w:val="2"/>
        </w:rPr>
        <w:t> </w:t>
      </w:r>
      <w:r>
        <w:rPr>
          <w:position w:val="2"/>
        </w:rPr>
        <w:t>proline</w:t>
      </w:r>
      <w:r>
        <w:rPr>
          <w:spacing w:val="-12"/>
          <w:position w:val="2"/>
        </w:rPr>
        <w:t> </w:t>
      </w:r>
      <w:r>
        <w:rPr>
          <w:spacing w:val="2"/>
          <w:position w:val="2"/>
        </w:rPr>
        <w:t>P</w:t>
      </w:r>
      <w:r>
        <w:rPr>
          <w:spacing w:val="2"/>
          <w:sz w:val="16"/>
        </w:rPr>
        <w:t>217</w:t>
      </w:r>
      <w:r>
        <w:rPr>
          <w:spacing w:val="7"/>
          <w:sz w:val="16"/>
        </w:rPr>
        <w:t> </w:t>
      </w:r>
      <w:r>
        <w:rPr>
          <w:position w:val="2"/>
        </w:rPr>
        <w:t>A</w:t>
      </w:r>
      <w:r>
        <w:rPr>
          <w:sz w:val="16"/>
        </w:rPr>
        <w:t>221</w:t>
      </w:r>
      <w:r>
        <w:rPr>
          <w:position w:val="2"/>
        </w:rPr>
        <w:t>.</w:t>
      </w:r>
      <w:r>
        <w:rPr>
          <w:spacing w:val="-9"/>
          <w:position w:val="2"/>
        </w:rPr>
        <w:t> </w:t>
      </w:r>
      <w:r>
        <w:rPr>
          <w:position w:val="2"/>
        </w:rPr>
        <w:t>Strains</w:t>
      </w:r>
      <w:r>
        <w:rPr>
          <w:spacing w:val="-12"/>
          <w:position w:val="2"/>
        </w:rPr>
        <w:t> </w:t>
      </w:r>
      <w:r>
        <w:rPr>
          <w:position w:val="2"/>
        </w:rPr>
        <w:t>with</w:t>
      </w:r>
      <w:r>
        <w:rPr>
          <w:spacing w:val="-15"/>
          <w:position w:val="2"/>
        </w:rPr>
        <w:t> </w:t>
      </w:r>
      <w:r>
        <w:rPr>
          <w:position w:val="2"/>
        </w:rPr>
        <w:t>(T</w:t>
      </w:r>
      <w:r>
        <w:rPr>
          <w:sz w:val="16"/>
        </w:rPr>
        <w:t>217;</w:t>
      </w:r>
      <w:r>
        <w:rPr>
          <w:spacing w:val="9"/>
          <w:sz w:val="16"/>
        </w:rPr>
        <w:t> </w:t>
      </w:r>
      <w:r>
        <w:rPr>
          <w:position w:val="2"/>
        </w:rPr>
        <w:t>T</w:t>
      </w:r>
      <w:r>
        <w:rPr>
          <w:sz w:val="16"/>
        </w:rPr>
        <w:t>221)</w:t>
      </w:r>
      <w:r>
        <w:rPr>
          <w:spacing w:val="5"/>
          <w:sz w:val="16"/>
        </w:rPr>
        <w:t> </w:t>
      </w:r>
      <w:r>
        <w:rPr>
          <w:position w:val="2"/>
        </w:rPr>
        <w:t>and</w:t>
      </w:r>
      <w:r>
        <w:rPr>
          <w:spacing w:val="-11"/>
          <w:position w:val="2"/>
        </w:rPr>
        <w:t> </w:t>
      </w:r>
      <w:r>
        <w:rPr>
          <w:position w:val="2"/>
        </w:rPr>
        <w:t>T</w:t>
      </w:r>
      <w:r>
        <w:rPr>
          <w:sz w:val="16"/>
        </w:rPr>
        <w:t>217</w:t>
      </w:r>
      <w:r>
        <w:rPr>
          <w:spacing w:val="-6"/>
          <w:sz w:val="16"/>
        </w:rPr>
        <w:t> </w:t>
      </w:r>
      <w:r>
        <w:rPr>
          <w:position w:val="2"/>
        </w:rPr>
        <w:t>with P</w:t>
      </w:r>
      <w:r>
        <w:rPr>
          <w:sz w:val="16"/>
        </w:rPr>
        <w:t>217 </w:t>
      </w:r>
      <w:r>
        <w:rPr>
          <w:position w:val="2"/>
        </w:rPr>
        <w:t>are</w:t>
      </w:r>
      <w:r>
        <w:rPr>
          <w:spacing w:val="15"/>
          <w:position w:val="2"/>
        </w:rPr>
        <w:t> </w:t>
      </w:r>
      <w:r>
        <w:rPr>
          <w:position w:val="2"/>
        </w:rPr>
        <w:t>avirulent.</w:t>
      </w:r>
    </w:p>
    <w:p>
      <w:pPr>
        <w:pStyle w:val="BodyText"/>
        <w:spacing w:line="360" w:lineRule="auto"/>
        <w:ind w:left="152" w:right="104"/>
        <w:jc w:val="both"/>
      </w:pPr>
      <w:r>
        <w:rPr/>
        <w:t>During IPNV infection, interferon type I (IFN-I(</w:t>
      </w:r>
      <w:r>
        <w:rPr>
          <w:i/>
        </w:rPr>
        <w:t>α</w:t>
      </w:r>
      <w:r>
        <w:rPr/>
        <w:t>)) </w:t>
      </w:r>
      <w:r>
        <w:rPr>
          <w:spacing w:val="-3"/>
        </w:rPr>
        <w:t>binding </w:t>
      </w:r>
      <w:r>
        <w:rPr/>
        <w:t>to theirs receptors results </w:t>
      </w:r>
      <w:r>
        <w:rPr>
          <w:spacing w:val="-3"/>
        </w:rPr>
        <w:t>in </w:t>
      </w:r>
      <w:r>
        <w:rPr/>
        <w:t>the rapid autophosphorylation (Skjesol et </w:t>
      </w:r>
      <w:r>
        <w:rPr>
          <w:spacing w:val="-4"/>
        </w:rPr>
        <w:t>al. </w:t>
      </w:r>
      <w:r>
        <w:rPr/>
        <w:t>2010) and the activation of the receptor associated to TYK2 and JAKs (Silvennoinen et </w:t>
      </w:r>
      <w:r>
        <w:rPr>
          <w:spacing w:val="-3"/>
        </w:rPr>
        <w:t>al. </w:t>
      </w:r>
      <w:r>
        <w:rPr/>
        <w:t>1993; Kotenko et </w:t>
      </w:r>
      <w:r>
        <w:rPr>
          <w:spacing w:val="-4"/>
        </w:rPr>
        <w:t>al. </w:t>
      </w:r>
      <w:r>
        <w:rPr/>
        <w:t>2003), which </w:t>
      </w:r>
      <w:r>
        <w:rPr>
          <w:spacing w:val="-3"/>
        </w:rPr>
        <w:t>in </w:t>
      </w:r>
      <w:r>
        <w:rPr/>
        <w:t>turn regulate the phosphorylation and STATs activation </w:t>
      </w:r>
      <w:r>
        <w:rPr>
          <w:spacing w:val="-3"/>
        </w:rPr>
        <w:t>in </w:t>
      </w:r>
      <w:r>
        <w:rPr/>
        <w:t>response to interferon (Darnell et </w:t>
      </w:r>
      <w:r>
        <w:rPr>
          <w:spacing w:val="-3"/>
        </w:rPr>
        <w:t>al. </w:t>
      </w:r>
      <w:r>
        <w:rPr/>
        <w:t>1994; Stark </w:t>
      </w:r>
      <w:r>
        <w:rPr>
          <w:spacing w:val="-3"/>
        </w:rPr>
        <w:t>et </w:t>
      </w:r>
      <w:r>
        <w:rPr>
          <w:spacing w:val="-4"/>
        </w:rPr>
        <w:t>al. </w:t>
      </w:r>
      <w:r>
        <w:rPr/>
        <w:t>1998). Randall and Goodbourn (2008) observed </w:t>
      </w:r>
      <w:r>
        <w:rPr>
          <w:spacing w:val="-3"/>
        </w:rPr>
        <w:t>in </w:t>
      </w:r>
      <w:r>
        <w:rPr/>
        <w:t>mammals that Y-701-STAT1 phosphorylation induce the binding of a </w:t>
      </w:r>
      <w:r>
        <w:rPr>
          <w:spacing w:val="-3"/>
        </w:rPr>
        <w:t>STAT </w:t>
      </w:r>
      <w:r>
        <w:rPr/>
        <w:t>protein to other STAT, forming either a homodimer or a heterodimer, which considered a critical step for the nuclear translocation. Hoeve et </w:t>
      </w:r>
      <w:r>
        <w:rPr>
          <w:spacing w:val="-4"/>
        </w:rPr>
        <w:t>al. </w:t>
      </w:r>
      <w:r>
        <w:rPr/>
        <w:t>(2002) reported </w:t>
      </w:r>
      <w:r>
        <w:rPr>
          <w:spacing w:val="-3"/>
        </w:rPr>
        <w:t>in </w:t>
      </w:r>
      <w:r>
        <w:rPr/>
        <w:t>HELA cells and </w:t>
      </w:r>
      <w:r>
        <w:rPr>
          <w:spacing w:val="-3"/>
        </w:rPr>
        <w:t>in </w:t>
      </w:r>
      <w:r>
        <w:rPr/>
        <w:t>murines that, CT-45 phosphatase </w:t>
      </w:r>
      <w:r>
        <w:rPr>
          <w:spacing w:val="-3"/>
        </w:rPr>
        <w:t>is </w:t>
      </w:r>
      <w:r>
        <w:rPr/>
        <w:t>responsible for the dephosphorylation of STAT1 protein Y-701. In the nucleus, the </w:t>
      </w:r>
      <w:r>
        <w:rPr>
          <w:spacing w:val="-3"/>
        </w:rPr>
        <w:t>STAT </w:t>
      </w:r>
      <w:r>
        <w:rPr/>
        <w:t>dimer binds to interferon stimulated response elements (ISRE) promoter to induce the mRNA expression </w:t>
      </w:r>
      <w:r>
        <w:rPr>
          <w:spacing w:val="4"/>
        </w:rPr>
        <w:t>of </w:t>
      </w:r>
      <w:r>
        <w:rPr/>
        <w:t>interferon stimulated genes (ISGs) against viral infection </w:t>
      </w:r>
      <w:r>
        <w:rPr>
          <w:spacing w:val="-3"/>
        </w:rPr>
        <w:t>in </w:t>
      </w:r>
      <w:r>
        <w:rPr/>
        <w:t>teleost (Robertsen et </w:t>
      </w:r>
      <w:r>
        <w:rPr>
          <w:spacing w:val="-4"/>
        </w:rPr>
        <w:t>al. </w:t>
      </w:r>
      <w:r>
        <w:rPr/>
        <w:t>2003; Zhou </w:t>
      </w:r>
      <w:r>
        <w:rPr>
          <w:spacing w:val="-3"/>
        </w:rPr>
        <w:t>et </w:t>
      </w:r>
      <w:r>
        <w:rPr>
          <w:spacing w:val="-4"/>
        </w:rPr>
        <w:t>al. </w:t>
      </w:r>
      <w:r>
        <w:rPr/>
        <w:t>2007; García </w:t>
      </w:r>
      <w:r>
        <w:rPr>
          <w:spacing w:val="-3"/>
        </w:rPr>
        <w:t>et </w:t>
      </w:r>
      <w:r>
        <w:rPr>
          <w:spacing w:val="-4"/>
        </w:rPr>
        <w:t>al. </w:t>
      </w:r>
      <w:r>
        <w:rPr/>
        <w:t>2011). Also, several studies have demonstrated</w:t>
      </w:r>
      <w:r>
        <w:rPr>
          <w:spacing w:val="-14"/>
        </w:rPr>
        <w:t> </w:t>
      </w:r>
      <w:r>
        <w:rPr/>
        <w:t>the</w:t>
      </w:r>
      <w:r>
        <w:rPr>
          <w:spacing w:val="-11"/>
        </w:rPr>
        <w:t> </w:t>
      </w:r>
      <w:r>
        <w:rPr/>
        <w:t>action</w:t>
      </w:r>
      <w:r>
        <w:rPr>
          <w:spacing w:val="-14"/>
        </w:rPr>
        <w:t> </w:t>
      </w:r>
      <w:r>
        <w:rPr/>
        <w:t>of</w:t>
      </w:r>
      <w:r>
        <w:rPr>
          <w:spacing w:val="-18"/>
        </w:rPr>
        <w:t> </w:t>
      </w:r>
      <w:r>
        <w:rPr/>
        <w:t>ISGs</w:t>
      </w:r>
      <w:r>
        <w:rPr>
          <w:spacing w:val="-9"/>
        </w:rPr>
        <w:t> </w:t>
      </w:r>
      <w:r>
        <w:rPr>
          <w:i/>
        </w:rPr>
        <w:t>in</w:t>
      </w:r>
      <w:r>
        <w:rPr>
          <w:i/>
          <w:spacing w:val="-9"/>
        </w:rPr>
        <w:t> </w:t>
      </w:r>
      <w:r>
        <w:rPr>
          <w:i/>
        </w:rPr>
        <w:t>vitro</w:t>
      </w:r>
      <w:r>
        <w:rPr>
          <w:i/>
          <w:spacing w:val="-9"/>
        </w:rPr>
        <w:t> </w:t>
      </w:r>
      <w:r>
        <w:rPr/>
        <w:t>and</w:t>
      </w:r>
      <w:r>
        <w:rPr>
          <w:spacing w:val="-10"/>
        </w:rPr>
        <w:t> </w:t>
      </w:r>
      <w:r>
        <w:rPr>
          <w:i/>
        </w:rPr>
        <w:t>in</w:t>
      </w:r>
      <w:r>
        <w:rPr>
          <w:i/>
          <w:spacing w:val="-9"/>
        </w:rPr>
        <w:t> </w:t>
      </w:r>
      <w:r>
        <w:rPr>
          <w:i/>
        </w:rPr>
        <w:t>vivo</w:t>
      </w:r>
      <w:r>
        <w:rPr>
          <w:i/>
          <w:spacing w:val="31"/>
        </w:rPr>
        <w:t> </w:t>
      </w:r>
      <w:r>
        <w:rPr/>
        <w:t>(Kinkelin</w:t>
      </w:r>
      <w:r>
        <w:rPr>
          <w:spacing w:val="-14"/>
        </w:rPr>
        <w:t> </w:t>
      </w:r>
      <w:r>
        <w:rPr/>
        <w:t>and</w:t>
      </w:r>
      <w:r>
        <w:rPr>
          <w:spacing w:val="-10"/>
        </w:rPr>
        <w:t> </w:t>
      </w:r>
      <w:r>
        <w:rPr/>
        <w:t>Dorson</w:t>
      </w:r>
      <w:r>
        <w:rPr>
          <w:spacing w:val="-14"/>
        </w:rPr>
        <w:t> </w:t>
      </w:r>
      <w:r>
        <w:rPr/>
        <w:t>1973;</w:t>
      </w:r>
      <w:r>
        <w:rPr>
          <w:spacing w:val="-14"/>
        </w:rPr>
        <w:t> </w:t>
      </w:r>
      <w:r>
        <w:rPr/>
        <w:t>Eaton</w:t>
      </w:r>
      <w:r>
        <w:rPr>
          <w:spacing w:val="-14"/>
        </w:rPr>
        <w:t> </w:t>
      </w:r>
      <w:r>
        <w:rPr/>
        <w:t>1990; Robertsen</w:t>
      </w:r>
      <w:r>
        <w:rPr>
          <w:spacing w:val="-19"/>
        </w:rPr>
        <w:t> </w:t>
      </w:r>
      <w:r>
        <w:rPr/>
        <w:t>2006;</w:t>
      </w:r>
      <w:r>
        <w:rPr>
          <w:spacing w:val="-14"/>
        </w:rPr>
        <w:t> </w:t>
      </w:r>
      <w:r>
        <w:rPr/>
        <w:t>Verrier</w:t>
      </w:r>
      <w:r>
        <w:rPr>
          <w:spacing w:val="-13"/>
        </w:rPr>
        <w:t> </w:t>
      </w:r>
      <w:r>
        <w:rPr/>
        <w:t>et</w:t>
      </w:r>
      <w:r>
        <w:rPr>
          <w:spacing w:val="-10"/>
        </w:rPr>
        <w:t> </w:t>
      </w:r>
      <w:r>
        <w:rPr>
          <w:spacing w:val="-3"/>
        </w:rPr>
        <w:t>al.</w:t>
      </w:r>
      <w:r>
        <w:rPr>
          <w:spacing w:val="-12"/>
        </w:rPr>
        <w:t> </w:t>
      </w:r>
      <w:r>
        <w:rPr/>
        <w:t>2011),</w:t>
      </w:r>
      <w:r>
        <w:rPr>
          <w:spacing w:val="-12"/>
        </w:rPr>
        <w:t> </w:t>
      </w:r>
      <w:r>
        <w:rPr/>
        <w:t>such</w:t>
      </w:r>
      <w:r>
        <w:rPr>
          <w:spacing w:val="-19"/>
        </w:rPr>
        <w:t> </w:t>
      </w:r>
      <w:r>
        <w:rPr/>
        <w:t>as</w:t>
      </w:r>
      <w:r>
        <w:rPr>
          <w:spacing w:val="-12"/>
        </w:rPr>
        <w:t> </w:t>
      </w:r>
      <w:r>
        <w:rPr/>
        <w:t>Mx,</w:t>
      </w:r>
      <w:r>
        <w:rPr>
          <w:spacing w:val="-8"/>
        </w:rPr>
        <w:t> </w:t>
      </w:r>
      <w:r>
        <w:rPr/>
        <w:t>2-5</w:t>
      </w:r>
      <w:r>
        <w:rPr>
          <w:spacing w:val="-14"/>
        </w:rPr>
        <w:t> </w:t>
      </w:r>
      <w:r>
        <w:rPr/>
        <w:t>Oligo</w:t>
      </w:r>
      <w:r>
        <w:rPr>
          <w:spacing w:val="-11"/>
        </w:rPr>
        <w:t> </w:t>
      </w:r>
      <w:r>
        <w:rPr/>
        <w:t>Adenylate</w:t>
      </w:r>
      <w:r>
        <w:rPr>
          <w:spacing w:val="-15"/>
        </w:rPr>
        <w:t> </w:t>
      </w:r>
      <w:r>
        <w:rPr/>
        <w:t>Sintetase</w:t>
      </w:r>
      <w:r>
        <w:rPr>
          <w:spacing w:val="-15"/>
        </w:rPr>
        <w:t> </w:t>
      </w:r>
      <w:r>
        <w:rPr/>
        <w:t>(2’-5’</w:t>
      </w:r>
      <w:r>
        <w:rPr>
          <w:spacing w:val="-18"/>
        </w:rPr>
        <w:t> </w:t>
      </w:r>
      <w:r>
        <w:rPr/>
        <w:t>OAS),</w:t>
      </w:r>
    </w:p>
    <w:p>
      <w:pPr>
        <w:spacing w:after="0" w:line="360" w:lineRule="auto"/>
        <w:jc w:val="both"/>
        <w:sectPr>
          <w:pgSz w:w="12240" w:h="15840"/>
          <w:pgMar w:header="0" w:footer="1322" w:top="1500" w:bottom="1580" w:left="1720" w:right="1420"/>
        </w:sectPr>
      </w:pPr>
    </w:p>
    <w:p>
      <w:pPr>
        <w:pStyle w:val="BodyText"/>
        <w:spacing w:before="7"/>
        <w:rPr>
          <w:sz w:val="25"/>
        </w:rPr>
      </w:pPr>
    </w:p>
    <w:p>
      <w:pPr>
        <w:pStyle w:val="BodyText"/>
        <w:spacing w:line="360" w:lineRule="auto" w:before="70"/>
        <w:ind w:left="152" w:right="110"/>
        <w:jc w:val="both"/>
      </w:pPr>
      <w:r>
        <w:rPr/>
        <w:t>antiviral</w:t>
      </w:r>
      <w:r>
        <w:rPr>
          <w:spacing w:val="-20"/>
        </w:rPr>
        <w:t> </w:t>
      </w:r>
      <w:r>
        <w:rPr/>
        <w:t>protein</w:t>
      </w:r>
      <w:r>
        <w:rPr>
          <w:spacing w:val="-16"/>
        </w:rPr>
        <w:t> </w:t>
      </w:r>
      <w:r>
        <w:rPr/>
        <w:t>viperine</w:t>
      </w:r>
      <w:r>
        <w:rPr>
          <w:spacing w:val="-13"/>
        </w:rPr>
        <w:t> </w:t>
      </w:r>
      <w:r>
        <w:rPr/>
        <w:t>(Vig-1),</w:t>
      </w:r>
      <w:r>
        <w:rPr>
          <w:spacing w:val="-10"/>
        </w:rPr>
        <w:t> </w:t>
      </w:r>
      <w:r>
        <w:rPr/>
        <w:t>RNA-dependent</w:t>
      </w:r>
      <w:r>
        <w:rPr>
          <w:spacing w:val="-11"/>
        </w:rPr>
        <w:t> </w:t>
      </w:r>
      <w:r>
        <w:rPr/>
        <w:t>Protein</w:t>
      </w:r>
      <w:r>
        <w:rPr>
          <w:spacing w:val="-12"/>
        </w:rPr>
        <w:t> </w:t>
      </w:r>
      <w:r>
        <w:rPr/>
        <w:t>Kinase</w:t>
      </w:r>
      <w:r>
        <w:rPr>
          <w:spacing w:val="-13"/>
        </w:rPr>
        <w:t> </w:t>
      </w:r>
      <w:r>
        <w:rPr/>
        <w:t>(PKR)</w:t>
      </w:r>
      <w:r>
        <w:rPr>
          <w:spacing w:val="-10"/>
        </w:rPr>
        <w:t> </w:t>
      </w:r>
      <w:r>
        <w:rPr/>
        <w:t>among</w:t>
      </w:r>
      <w:r>
        <w:rPr>
          <w:spacing w:val="-12"/>
        </w:rPr>
        <w:t> </w:t>
      </w:r>
      <w:r>
        <w:rPr/>
        <w:t>others</w:t>
      </w:r>
      <w:r>
        <w:rPr>
          <w:spacing w:val="35"/>
        </w:rPr>
        <w:t> </w:t>
      </w:r>
      <w:r>
        <w:rPr/>
        <w:t>(Sen 2001; Platanias</w:t>
      </w:r>
      <w:r>
        <w:rPr>
          <w:spacing w:val="-7"/>
        </w:rPr>
        <w:t> </w:t>
      </w:r>
      <w:r>
        <w:rPr/>
        <w:t>2005).</w:t>
      </w:r>
    </w:p>
    <w:p>
      <w:pPr>
        <w:pStyle w:val="BodyText"/>
        <w:spacing w:line="360" w:lineRule="auto" w:before="4"/>
        <w:ind w:left="152" w:right="102"/>
        <w:jc w:val="both"/>
      </w:pPr>
      <w:r>
        <w:rPr/>
        <w:t>The JAK-STAT pathway and transcription factors associated with the family </w:t>
      </w:r>
      <w:r>
        <w:rPr>
          <w:spacing w:val="4"/>
        </w:rPr>
        <w:t>of </w:t>
      </w:r>
      <w:r>
        <w:rPr/>
        <w:t>STAT proteins have been poorly studied </w:t>
      </w:r>
      <w:r>
        <w:rPr>
          <w:spacing w:val="-3"/>
        </w:rPr>
        <w:t>in </w:t>
      </w:r>
      <w:r>
        <w:rPr/>
        <w:t>fish (Jørgensen et </w:t>
      </w:r>
      <w:r>
        <w:rPr>
          <w:spacing w:val="-3"/>
        </w:rPr>
        <w:t>al. </w:t>
      </w:r>
      <w:r>
        <w:rPr/>
        <w:t>2007; Zhou et </w:t>
      </w:r>
      <w:r>
        <w:rPr>
          <w:spacing w:val="-4"/>
        </w:rPr>
        <w:t>al. </w:t>
      </w:r>
      <w:r>
        <w:rPr/>
        <w:t>2007). Although fish genomes contain all mammals JAK-STAT pathway component keys , including JAK1, TYR2, STAT1, STAT2 and IRF9 (Leu </w:t>
      </w:r>
      <w:r>
        <w:rPr>
          <w:spacing w:val="-3"/>
        </w:rPr>
        <w:t>et </w:t>
      </w:r>
      <w:r>
        <w:rPr>
          <w:spacing w:val="-4"/>
        </w:rPr>
        <w:t>al. </w:t>
      </w:r>
      <w:r>
        <w:rPr/>
        <w:t>2000; Stein et </w:t>
      </w:r>
      <w:r>
        <w:rPr>
          <w:spacing w:val="-4"/>
        </w:rPr>
        <w:t>al. </w:t>
      </w:r>
      <w:r>
        <w:rPr/>
        <w:t>2007; Collet et </w:t>
      </w:r>
      <w:r>
        <w:rPr>
          <w:spacing w:val="-4"/>
        </w:rPr>
        <w:t>al. </w:t>
      </w:r>
      <w:r>
        <w:rPr/>
        <w:t>2009; Sun et </w:t>
      </w:r>
      <w:r>
        <w:rPr>
          <w:spacing w:val="-4"/>
        </w:rPr>
        <w:t>al. </w:t>
      </w:r>
      <w:r>
        <w:rPr/>
        <w:t>2009; Shi et </w:t>
      </w:r>
      <w:r>
        <w:rPr>
          <w:spacing w:val="-4"/>
        </w:rPr>
        <w:t>al. </w:t>
      </w:r>
      <w:r>
        <w:rPr/>
        <w:t>2012). In the animal kingdom, the signaling pathway JAK -STAT </w:t>
      </w:r>
      <w:r>
        <w:rPr>
          <w:spacing w:val="-5"/>
        </w:rPr>
        <w:t>is </w:t>
      </w:r>
      <w:r>
        <w:rPr/>
        <w:t>a powerful defense mechanism, some viruses may affect this pathway by the usage of various strategies, which blocks or decreases the antiviral response (Randall and Goodbourn 2008). For</w:t>
      </w:r>
      <w:r>
        <w:rPr>
          <w:spacing w:val="-10"/>
        </w:rPr>
        <w:t> </w:t>
      </w:r>
      <w:r>
        <w:rPr/>
        <w:t>example,</w:t>
      </w:r>
      <w:r>
        <w:rPr>
          <w:spacing w:val="-10"/>
        </w:rPr>
        <w:t> </w:t>
      </w:r>
      <w:r>
        <w:rPr/>
        <w:t>Ebola</w:t>
      </w:r>
      <w:r>
        <w:rPr>
          <w:spacing w:val="-8"/>
        </w:rPr>
        <w:t> </w:t>
      </w:r>
      <w:r>
        <w:rPr/>
        <w:t>virus</w:t>
      </w:r>
      <w:r>
        <w:rPr>
          <w:spacing w:val="-14"/>
        </w:rPr>
        <w:t> </w:t>
      </w:r>
      <w:r>
        <w:rPr/>
        <w:t>blocks</w:t>
      </w:r>
      <w:r>
        <w:rPr>
          <w:spacing w:val="-14"/>
        </w:rPr>
        <w:t> </w:t>
      </w:r>
      <w:r>
        <w:rPr/>
        <w:t>the</w:t>
      </w:r>
      <w:r>
        <w:rPr>
          <w:spacing w:val="-8"/>
        </w:rPr>
        <w:t> </w:t>
      </w:r>
      <w:r>
        <w:rPr/>
        <w:t>induction</w:t>
      </w:r>
      <w:r>
        <w:rPr>
          <w:spacing w:val="-16"/>
        </w:rPr>
        <w:t> </w:t>
      </w:r>
      <w:r>
        <w:rPr/>
        <w:t>of</w:t>
      </w:r>
      <w:r>
        <w:rPr>
          <w:spacing w:val="-15"/>
        </w:rPr>
        <w:t> </w:t>
      </w:r>
      <w:r>
        <w:rPr/>
        <w:t>interferon</w:t>
      </w:r>
      <w:r>
        <w:rPr>
          <w:spacing w:val="-16"/>
        </w:rPr>
        <w:t> </w:t>
      </w:r>
      <w:r>
        <w:rPr/>
        <w:t>regulatory</w:t>
      </w:r>
      <w:r>
        <w:rPr>
          <w:spacing w:val="-16"/>
        </w:rPr>
        <w:t> </w:t>
      </w:r>
      <w:r>
        <w:rPr/>
        <w:t>factor</w:t>
      </w:r>
      <w:r>
        <w:rPr>
          <w:spacing w:val="-15"/>
        </w:rPr>
        <w:t> </w:t>
      </w:r>
      <w:r>
        <w:rPr/>
        <w:t>(IRF)</w:t>
      </w:r>
      <w:r>
        <w:rPr>
          <w:spacing w:val="-10"/>
        </w:rPr>
        <w:t> </w:t>
      </w:r>
      <w:r>
        <w:rPr/>
        <w:t>(Harcourt 1999),</w:t>
      </w:r>
      <w:r>
        <w:rPr>
          <w:spacing w:val="-10"/>
        </w:rPr>
        <w:t> </w:t>
      </w:r>
      <w:r>
        <w:rPr/>
        <w:t>hepatitis</w:t>
      </w:r>
      <w:r>
        <w:rPr>
          <w:spacing w:val="-10"/>
        </w:rPr>
        <w:t> </w:t>
      </w:r>
      <w:r>
        <w:rPr/>
        <w:t>C</w:t>
      </w:r>
      <w:r>
        <w:rPr>
          <w:spacing w:val="-10"/>
        </w:rPr>
        <w:t> </w:t>
      </w:r>
      <w:r>
        <w:rPr/>
        <w:t>virus</w:t>
      </w:r>
      <w:r>
        <w:rPr>
          <w:spacing w:val="-10"/>
        </w:rPr>
        <w:t> </w:t>
      </w:r>
      <w:r>
        <w:rPr/>
        <w:t>(HCV)</w:t>
      </w:r>
      <w:r>
        <w:rPr>
          <w:spacing w:val="-7"/>
        </w:rPr>
        <w:t> </w:t>
      </w:r>
      <w:r>
        <w:rPr/>
        <w:t>blocks</w:t>
      </w:r>
      <w:r>
        <w:rPr>
          <w:spacing w:val="-14"/>
        </w:rPr>
        <w:t> </w:t>
      </w:r>
      <w:r>
        <w:rPr/>
        <w:t>the</w:t>
      </w:r>
      <w:r>
        <w:rPr>
          <w:spacing w:val="-9"/>
        </w:rPr>
        <w:t> </w:t>
      </w:r>
      <w:r>
        <w:rPr/>
        <w:t>interferon</w:t>
      </w:r>
      <w:r>
        <w:rPr>
          <w:spacing w:val="-12"/>
        </w:rPr>
        <w:t> </w:t>
      </w:r>
      <w:r>
        <w:rPr/>
        <w:t>stimulated</w:t>
      </w:r>
      <w:r>
        <w:rPr>
          <w:spacing w:val="-8"/>
        </w:rPr>
        <w:t> </w:t>
      </w:r>
      <w:r>
        <w:rPr/>
        <w:t>gene</w:t>
      </w:r>
      <w:r>
        <w:rPr>
          <w:spacing w:val="-9"/>
        </w:rPr>
        <w:t> </w:t>
      </w:r>
      <w:r>
        <w:rPr/>
        <w:t>factor</w:t>
      </w:r>
      <w:r>
        <w:rPr>
          <w:spacing w:val="-10"/>
        </w:rPr>
        <w:t> </w:t>
      </w:r>
      <w:r>
        <w:rPr/>
        <w:t>3</w:t>
      </w:r>
      <w:r>
        <w:rPr>
          <w:spacing w:val="-12"/>
        </w:rPr>
        <w:t> </w:t>
      </w:r>
      <w:r>
        <w:rPr/>
        <w:t>(ISGF3)</w:t>
      </w:r>
      <w:r>
        <w:rPr>
          <w:spacing w:val="-6"/>
        </w:rPr>
        <w:t> </w:t>
      </w:r>
      <w:r>
        <w:rPr/>
        <w:t>(Heim et </w:t>
      </w:r>
      <w:r>
        <w:rPr>
          <w:spacing w:val="-4"/>
        </w:rPr>
        <w:t>al. </w:t>
      </w:r>
      <w:r>
        <w:rPr/>
        <w:t>1999). Dengue virus serotype 2 inhibits the expression </w:t>
      </w:r>
      <w:r>
        <w:rPr>
          <w:spacing w:val="4"/>
        </w:rPr>
        <w:t>of </w:t>
      </w:r>
      <w:r>
        <w:rPr/>
        <w:t>STAT2, </w:t>
      </w:r>
      <w:r>
        <w:rPr>
          <w:spacing w:val="-3"/>
        </w:rPr>
        <w:t>West Nile </w:t>
      </w:r>
      <w:r>
        <w:rPr/>
        <w:t>virus (WNV)</w:t>
      </w:r>
      <w:r>
        <w:rPr>
          <w:spacing w:val="-10"/>
        </w:rPr>
        <w:t> </w:t>
      </w:r>
      <w:r>
        <w:rPr/>
        <w:t>blocks</w:t>
      </w:r>
      <w:r>
        <w:rPr>
          <w:spacing w:val="-14"/>
        </w:rPr>
        <w:t> </w:t>
      </w:r>
      <w:r>
        <w:rPr/>
        <w:t>the</w:t>
      </w:r>
      <w:r>
        <w:rPr>
          <w:spacing w:val="-13"/>
        </w:rPr>
        <w:t> </w:t>
      </w:r>
      <w:r>
        <w:rPr/>
        <w:t>tyrosine</w:t>
      </w:r>
      <w:r>
        <w:rPr>
          <w:spacing w:val="-13"/>
        </w:rPr>
        <w:t> </w:t>
      </w:r>
      <w:r>
        <w:rPr/>
        <w:t>phosphorylation</w:t>
      </w:r>
      <w:r>
        <w:rPr>
          <w:spacing w:val="-16"/>
        </w:rPr>
        <w:t> </w:t>
      </w:r>
      <w:r>
        <w:rPr/>
        <w:t>of</w:t>
      </w:r>
      <w:r>
        <w:rPr>
          <w:spacing w:val="-19"/>
        </w:rPr>
        <w:t> </w:t>
      </w:r>
      <w:r>
        <w:rPr/>
        <w:t>STAT1</w:t>
      </w:r>
      <w:r>
        <w:rPr>
          <w:spacing w:val="-12"/>
        </w:rPr>
        <w:t> </w:t>
      </w:r>
      <w:r>
        <w:rPr/>
        <w:t>701</w:t>
      </w:r>
      <w:r>
        <w:rPr>
          <w:spacing w:val="-12"/>
        </w:rPr>
        <w:t> </w:t>
      </w:r>
      <w:r>
        <w:rPr>
          <w:spacing w:val="-3"/>
        </w:rPr>
        <w:t>(Liu</w:t>
      </w:r>
      <w:r>
        <w:rPr>
          <w:spacing w:val="-12"/>
        </w:rPr>
        <w:t> </w:t>
      </w:r>
      <w:r>
        <w:rPr/>
        <w:t>et</w:t>
      </w:r>
      <w:r>
        <w:rPr>
          <w:spacing w:val="-7"/>
        </w:rPr>
        <w:t> </w:t>
      </w:r>
      <w:r>
        <w:rPr>
          <w:spacing w:val="-4"/>
        </w:rPr>
        <w:t>al.</w:t>
      </w:r>
      <w:r>
        <w:rPr>
          <w:spacing w:val="-10"/>
        </w:rPr>
        <w:t> </w:t>
      </w:r>
      <w:r>
        <w:rPr/>
        <w:t>2005),</w:t>
      </w:r>
      <w:r>
        <w:rPr>
          <w:spacing w:val="-14"/>
        </w:rPr>
        <w:t> </w:t>
      </w:r>
      <w:r>
        <w:rPr/>
        <w:t>and</w:t>
      </w:r>
      <w:r>
        <w:rPr>
          <w:spacing w:val="-12"/>
        </w:rPr>
        <w:t> </w:t>
      </w:r>
      <w:r>
        <w:rPr/>
        <w:t>encephalitis Japanese virus (JEV) blocks the phosphorylation of Tyk2 and STAT activation (Ling et </w:t>
      </w:r>
      <w:r>
        <w:rPr>
          <w:spacing w:val="-4"/>
        </w:rPr>
        <w:t>al. </w:t>
      </w:r>
      <w:r>
        <w:rPr/>
        <w:t>2006). Likewise, studies have reported that Sendai virus (SeV) can interact with STAT1 inhibiting</w:t>
      </w:r>
      <w:r>
        <w:rPr>
          <w:spacing w:val="-7"/>
        </w:rPr>
        <w:t> </w:t>
      </w:r>
      <w:r>
        <w:rPr/>
        <w:t>tyrosine</w:t>
      </w:r>
      <w:r>
        <w:rPr>
          <w:spacing w:val="-7"/>
        </w:rPr>
        <w:t> </w:t>
      </w:r>
      <w:r>
        <w:rPr/>
        <w:t>phosphorylation</w:t>
      </w:r>
      <w:r>
        <w:rPr>
          <w:spacing w:val="-11"/>
        </w:rPr>
        <w:t> </w:t>
      </w:r>
      <w:r>
        <w:rPr/>
        <w:t>of</w:t>
      </w:r>
      <w:r>
        <w:rPr>
          <w:spacing w:val="-14"/>
        </w:rPr>
        <w:t> </w:t>
      </w:r>
      <w:r>
        <w:rPr/>
        <w:t>STAT induced</w:t>
      </w:r>
      <w:r>
        <w:rPr>
          <w:spacing w:val="-7"/>
        </w:rPr>
        <w:t> </w:t>
      </w:r>
      <w:r>
        <w:rPr/>
        <w:t>by</w:t>
      </w:r>
      <w:r>
        <w:rPr>
          <w:spacing w:val="-9"/>
        </w:rPr>
        <w:t> </w:t>
      </w:r>
      <w:r>
        <w:rPr/>
        <w:t>IFN-I(</w:t>
      </w:r>
      <w:r>
        <w:rPr>
          <w:i/>
        </w:rPr>
        <w:t>α</w:t>
      </w:r>
      <w:r>
        <w:rPr/>
        <w:t>)</w:t>
      </w:r>
      <w:r>
        <w:rPr>
          <w:spacing w:val="-5"/>
        </w:rPr>
        <w:t> </w:t>
      </w:r>
      <w:r>
        <w:rPr/>
        <w:t>(Garcin</w:t>
      </w:r>
      <w:r>
        <w:rPr>
          <w:spacing w:val="-11"/>
        </w:rPr>
        <w:t> </w:t>
      </w:r>
      <w:r>
        <w:rPr/>
        <w:t>et</w:t>
      </w:r>
      <w:r>
        <w:rPr>
          <w:spacing w:val="-2"/>
        </w:rPr>
        <w:t> </w:t>
      </w:r>
      <w:r>
        <w:rPr>
          <w:spacing w:val="-4"/>
        </w:rPr>
        <w:t>al.</w:t>
      </w:r>
      <w:r>
        <w:rPr>
          <w:spacing w:val="-5"/>
        </w:rPr>
        <w:t> </w:t>
      </w:r>
      <w:r>
        <w:rPr/>
        <w:t>1999;</w:t>
      </w:r>
      <w:r>
        <w:rPr>
          <w:spacing w:val="-10"/>
        </w:rPr>
        <w:t> </w:t>
      </w:r>
      <w:r>
        <w:rPr/>
        <w:t>Gotoh et</w:t>
      </w:r>
      <w:r>
        <w:rPr>
          <w:spacing w:val="-11"/>
        </w:rPr>
        <w:t> </w:t>
      </w:r>
      <w:r>
        <w:rPr/>
        <w:t>al.1999;</w:t>
      </w:r>
      <w:r>
        <w:rPr>
          <w:spacing w:val="-16"/>
        </w:rPr>
        <w:t> </w:t>
      </w:r>
      <w:r>
        <w:rPr/>
        <w:t>Komatsu</w:t>
      </w:r>
      <w:r>
        <w:rPr>
          <w:spacing w:val="-12"/>
        </w:rPr>
        <w:t> </w:t>
      </w:r>
      <w:r>
        <w:rPr>
          <w:spacing w:val="-3"/>
        </w:rPr>
        <w:t>et</w:t>
      </w:r>
      <w:r>
        <w:rPr>
          <w:spacing w:val="-11"/>
        </w:rPr>
        <w:t> </w:t>
      </w:r>
      <w:r>
        <w:rPr>
          <w:spacing w:val="-4"/>
        </w:rPr>
        <w:t>al.</w:t>
      </w:r>
      <w:r>
        <w:rPr>
          <w:spacing w:val="-10"/>
        </w:rPr>
        <w:t> </w:t>
      </w:r>
      <w:r>
        <w:rPr/>
        <w:t>2000).</w:t>
      </w:r>
      <w:r>
        <w:rPr>
          <w:spacing w:val="-14"/>
        </w:rPr>
        <w:t> </w:t>
      </w:r>
      <w:r>
        <w:rPr/>
        <w:t>However,</w:t>
      </w:r>
      <w:r>
        <w:rPr>
          <w:spacing w:val="-10"/>
        </w:rPr>
        <w:t> </w:t>
      </w:r>
      <w:r>
        <w:rPr/>
        <w:t>data</w:t>
      </w:r>
      <w:r>
        <w:rPr>
          <w:spacing w:val="-17"/>
        </w:rPr>
        <w:t> </w:t>
      </w:r>
      <w:r>
        <w:rPr/>
        <w:t>concerning</w:t>
      </w:r>
      <w:r>
        <w:rPr>
          <w:spacing w:val="-12"/>
        </w:rPr>
        <w:t> </w:t>
      </w:r>
      <w:r>
        <w:rPr/>
        <w:t>STAT1</w:t>
      </w:r>
      <w:r>
        <w:rPr>
          <w:spacing w:val="-12"/>
        </w:rPr>
        <w:t> </w:t>
      </w:r>
      <w:r>
        <w:rPr/>
        <w:t>activation</w:t>
      </w:r>
      <w:r>
        <w:rPr>
          <w:spacing w:val="-12"/>
        </w:rPr>
        <w:t> </w:t>
      </w:r>
      <w:r>
        <w:rPr>
          <w:spacing w:val="-3"/>
        </w:rPr>
        <w:t>in</w:t>
      </w:r>
      <w:r>
        <w:rPr>
          <w:spacing w:val="-12"/>
        </w:rPr>
        <w:t> </w:t>
      </w:r>
      <w:r>
        <w:rPr/>
        <w:t>fish</w:t>
      </w:r>
      <w:r>
        <w:rPr>
          <w:spacing w:val="-16"/>
        </w:rPr>
        <w:t> </w:t>
      </w:r>
      <w:r>
        <w:rPr/>
        <w:t>through the JAK-STAT pathway are limited. Assuming that STAT1 </w:t>
      </w:r>
      <w:r>
        <w:rPr>
          <w:spacing w:val="-5"/>
        </w:rPr>
        <w:t>is </w:t>
      </w:r>
      <w:r>
        <w:rPr/>
        <w:t>a key cellular protein, which activates ISGs and </w:t>
      </w:r>
      <w:r>
        <w:rPr>
          <w:spacing w:val="-5"/>
        </w:rPr>
        <w:t>it </w:t>
      </w:r>
      <w:r>
        <w:rPr/>
        <w:t>has a function like transcription factor subsequent to interferon type I receptor binding; our purpose was investigate </w:t>
      </w:r>
      <w:r>
        <w:rPr>
          <w:spacing w:val="-3"/>
        </w:rPr>
        <w:t>if </w:t>
      </w:r>
      <w:r>
        <w:rPr/>
        <w:t>the IFN-I(</w:t>
      </w:r>
      <w:r>
        <w:rPr>
          <w:i/>
        </w:rPr>
        <w:t>α</w:t>
      </w:r>
      <w:r>
        <w:rPr/>
        <w:t>) signaling pathway </w:t>
      </w:r>
      <w:r>
        <w:rPr>
          <w:spacing w:val="-3"/>
        </w:rPr>
        <w:t>is </w:t>
      </w:r>
      <w:r>
        <w:rPr/>
        <w:t>affected by IPNV strains of different infectivity</w:t>
      </w:r>
      <w:r>
        <w:rPr>
          <w:spacing w:val="-28"/>
        </w:rPr>
        <w:t> </w:t>
      </w:r>
      <w:r>
        <w:rPr/>
        <w:t>levels.</w:t>
      </w:r>
    </w:p>
    <w:p>
      <w:pPr>
        <w:pStyle w:val="BodyText"/>
      </w:pPr>
    </w:p>
    <w:p>
      <w:pPr>
        <w:pStyle w:val="Heading2"/>
        <w:spacing w:before="146"/>
        <w:ind w:left="152" w:firstLine="0"/>
        <w:rPr>
          <w:i/>
        </w:rPr>
      </w:pPr>
      <w:r>
        <w:rPr>
          <w:i/>
        </w:rPr>
        <w:t>METHODS.</w:t>
      </w:r>
    </w:p>
    <w:p>
      <w:pPr>
        <w:pStyle w:val="BodyText"/>
        <w:spacing w:line="360" w:lineRule="auto" w:before="132"/>
        <w:ind w:left="152" w:right="100" w:firstLine="916"/>
        <w:jc w:val="both"/>
      </w:pPr>
      <w:r>
        <w:rPr>
          <w:i/>
        </w:rPr>
        <w:t>Viruses and cells</w:t>
      </w:r>
      <w:r>
        <w:rPr/>
        <w:t>. </w:t>
      </w:r>
      <w:r>
        <w:rPr>
          <w:i/>
        </w:rPr>
        <w:t>−</w:t>
      </w:r>
      <w:r>
        <w:rPr/>
        <w:t>We used two IPNV isolated, a virus VR-299 serotype which  </w:t>
      </w:r>
      <w:r>
        <w:rPr>
          <w:spacing w:val="-3"/>
        </w:rPr>
        <w:t>is </w:t>
      </w:r>
      <w:r>
        <w:rPr/>
        <w:t>consideredas avirulent strain (Gen Bank Access GU072914) containing Alanine 217 and </w:t>
      </w:r>
      <w:r>
        <w:rPr>
          <w:position w:val="2"/>
        </w:rPr>
        <w:t>Threonine</w:t>
      </w:r>
      <w:r>
        <w:rPr>
          <w:spacing w:val="-13"/>
          <w:position w:val="2"/>
        </w:rPr>
        <w:t> </w:t>
      </w:r>
      <w:r>
        <w:rPr>
          <w:position w:val="2"/>
        </w:rPr>
        <w:t>221</w:t>
      </w:r>
      <w:r>
        <w:rPr>
          <w:spacing w:val="-12"/>
          <w:position w:val="2"/>
        </w:rPr>
        <w:t> </w:t>
      </w:r>
      <w:r>
        <w:rPr>
          <w:position w:val="2"/>
        </w:rPr>
        <w:t>residues</w:t>
      </w:r>
      <w:r>
        <w:rPr>
          <w:spacing w:val="-14"/>
          <w:position w:val="2"/>
        </w:rPr>
        <w:t> </w:t>
      </w:r>
      <w:r>
        <w:rPr>
          <w:position w:val="2"/>
        </w:rPr>
        <w:t>(A</w:t>
      </w:r>
      <w:r>
        <w:rPr>
          <w:sz w:val="16"/>
        </w:rPr>
        <w:t>217</w:t>
      </w:r>
      <w:r>
        <w:rPr>
          <w:spacing w:val="11"/>
          <w:sz w:val="16"/>
        </w:rPr>
        <w:t> </w:t>
      </w:r>
      <w:r>
        <w:rPr>
          <w:position w:val="2"/>
        </w:rPr>
        <w:t>Thr</w:t>
      </w:r>
      <w:r>
        <w:rPr>
          <w:sz w:val="16"/>
        </w:rPr>
        <w:t>221</w:t>
      </w:r>
      <w:r>
        <w:rPr>
          <w:position w:val="2"/>
        </w:rPr>
        <w:t>).Additionally,</w:t>
      </w:r>
      <w:r>
        <w:rPr>
          <w:spacing w:val="-5"/>
          <w:position w:val="2"/>
        </w:rPr>
        <w:t> </w:t>
      </w:r>
      <w:r>
        <w:rPr>
          <w:position w:val="2"/>
        </w:rPr>
        <w:t>a</w:t>
      </w:r>
      <w:r>
        <w:rPr>
          <w:spacing w:val="-13"/>
          <w:position w:val="2"/>
        </w:rPr>
        <w:t> </w:t>
      </w:r>
      <w:r>
        <w:rPr>
          <w:position w:val="2"/>
        </w:rPr>
        <w:t>virus</w:t>
      </w:r>
      <w:r>
        <w:rPr>
          <w:spacing w:val="-14"/>
          <w:position w:val="2"/>
        </w:rPr>
        <w:t> </w:t>
      </w:r>
      <w:r>
        <w:rPr>
          <w:position w:val="2"/>
        </w:rPr>
        <w:t>Sp</w:t>
      </w:r>
      <w:r>
        <w:rPr>
          <w:spacing w:val="-12"/>
          <w:position w:val="2"/>
        </w:rPr>
        <w:t> </w:t>
      </w:r>
      <w:r>
        <w:rPr>
          <w:position w:val="2"/>
        </w:rPr>
        <w:t>serotype</w:t>
      </w:r>
      <w:r>
        <w:rPr>
          <w:spacing w:val="-13"/>
          <w:position w:val="2"/>
        </w:rPr>
        <w:t> </w:t>
      </w:r>
      <w:r>
        <w:rPr>
          <w:position w:val="2"/>
        </w:rPr>
        <w:t>of</w:t>
      </w:r>
      <w:r>
        <w:rPr>
          <w:spacing w:val="-15"/>
          <w:position w:val="2"/>
        </w:rPr>
        <w:t> </w:t>
      </w:r>
      <w:r>
        <w:rPr>
          <w:position w:val="2"/>
        </w:rPr>
        <w:t>moderate</w:t>
      </w:r>
      <w:r>
        <w:rPr>
          <w:spacing w:val="-13"/>
          <w:position w:val="2"/>
        </w:rPr>
        <w:t> </w:t>
      </w:r>
      <w:r>
        <w:rPr>
          <w:position w:val="2"/>
        </w:rPr>
        <w:t>virulence strain</w:t>
      </w:r>
      <w:r>
        <w:rPr>
          <w:spacing w:val="-20"/>
          <w:position w:val="2"/>
        </w:rPr>
        <w:t> </w:t>
      </w:r>
      <w:r>
        <w:rPr>
          <w:position w:val="2"/>
        </w:rPr>
        <w:t>(Gen</w:t>
      </w:r>
      <w:r>
        <w:rPr>
          <w:spacing w:val="-20"/>
          <w:position w:val="2"/>
        </w:rPr>
        <w:t> </w:t>
      </w:r>
      <w:r>
        <w:rPr>
          <w:position w:val="2"/>
        </w:rPr>
        <w:t>Bank</w:t>
      </w:r>
      <w:r>
        <w:rPr>
          <w:spacing w:val="-11"/>
          <w:position w:val="2"/>
        </w:rPr>
        <w:t> </w:t>
      </w:r>
      <w:r>
        <w:rPr>
          <w:position w:val="2"/>
        </w:rPr>
        <w:t>Access</w:t>
      </w:r>
      <w:r>
        <w:rPr>
          <w:spacing w:val="-18"/>
          <w:position w:val="2"/>
        </w:rPr>
        <w:t> </w:t>
      </w:r>
      <w:r>
        <w:rPr>
          <w:position w:val="2"/>
        </w:rPr>
        <w:t>GU072916)</w:t>
      </w:r>
      <w:r>
        <w:rPr>
          <w:spacing w:val="-14"/>
          <w:position w:val="2"/>
        </w:rPr>
        <w:t> </w:t>
      </w:r>
      <w:r>
        <w:rPr>
          <w:position w:val="2"/>
        </w:rPr>
        <w:t>contain</w:t>
      </w:r>
      <w:r>
        <w:rPr>
          <w:spacing w:val="-20"/>
          <w:position w:val="2"/>
        </w:rPr>
        <w:t> </w:t>
      </w:r>
      <w:r>
        <w:rPr>
          <w:position w:val="2"/>
        </w:rPr>
        <w:t>Proline</w:t>
      </w:r>
      <w:r>
        <w:rPr>
          <w:spacing w:val="-16"/>
          <w:position w:val="2"/>
        </w:rPr>
        <w:t> </w:t>
      </w:r>
      <w:r>
        <w:rPr>
          <w:position w:val="2"/>
        </w:rPr>
        <w:t>217</w:t>
      </w:r>
      <w:r>
        <w:rPr>
          <w:spacing w:val="-15"/>
          <w:position w:val="2"/>
        </w:rPr>
        <w:t> </w:t>
      </w:r>
      <w:r>
        <w:rPr>
          <w:position w:val="2"/>
        </w:rPr>
        <w:t>and</w:t>
      </w:r>
      <w:r>
        <w:rPr>
          <w:spacing w:val="-15"/>
          <w:position w:val="2"/>
        </w:rPr>
        <w:t> </w:t>
      </w:r>
      <w:r>
        <w:rPr>
          <w:position w:val="2"/>
        </w:rPr>
        <w:t>Alanine</w:t>
      </w:r>
      <w:r>
        <w:rPr>
          <w:spacing w:val="-16"/>
          <w:position w:val="2"/>
        </w:rPr>
        <w:t> </w:t>
      </w:r>
      <w:r>
        <w:rPr>
          <w:position w:val="2"/>
        </w:rPr>
        <w:t>221</w:t>
      </w:r>
      <w:r>
        <w:rPr>
          <w:spacing w:val="-15"/>
          <w:position w:val="2"/>
        </w:rPr>
        <w:t> </w:t>
      </w:r>
      <w:r>
        <w:rPr>
          <w:spacing w:val="2"/>
          <w:position w:val="2"/>
        </w:rPr>
        <w:t>(P</w:t>
      </w:r>
      <w:r>
        <w:rPr>
          <w:spacing w:val="2"/>
          <w:sz w:val="16"/>
        </w:rPr>
        <w:t>217</w:t>
      </w:r>
      <w:r>
        <w:rPr>
          <w:spacing w:val="-11"/>
          <w:sz w:val="16"/>
        </w:rPr>
        <w:t> </w:t>
      </w:r>
      <w:r>
        <w:rPr>
          <w:position w:val="2"/>
        </w:rPr>
        <w:t>A</w:t>
      </w:r>
      <w:r>
        <w:rPr>
          <w:sz w:val="16"/>
        </w:rPr>
        <w:t>221</w:t>
      </w:r>
      <w:r>
        <w:rPr>
          <w:position w:val="2"/>
        </w:rPr>
        <w:t>)</w:t>
      </w:r>
      <w:r>
        <w:rPr>
          <w:spacing w:val="-14"/>
          <w:position w:val="2"/>
        </w:rPr>
        <w:t> </w:t>
      </w:r>
      <w:r>
        <w:rPr>
          <w:position w:val="2"/>
        </w:rPr>
        <w:t>(Ortega </w:t>
      </w:r>
      <w:r>
        <w:rPr/>
        <w:t>et </w:t>
      </w:r>
      <w:r>
        <w:rPr>
          <w:spacing w:val="-4"/>
        </w:rPr>
        <w:t>al. </w:t>
      </w:r>
      <w:r>
        <w:rPr/>
        <w:t>2011). Both viruses were considered important due to difference clinical-pathology history</w:t>
      </w:r>
      <w:r>
        <w:rPr>
          <w:spacing w:val="13"/>
        </w:rPr>
        <w:t> </w:t>
      </w:r>
      <w:r>
        <w:rPr/>
        <w:t>showed</w:t>
      </w:r>
      <w:r>
        <w:rPr>
          <w:spacing w:val="27"/>
        </w:rPr>
        <w:t> </w:t>
      </w:r>
      <w:r>
        <w:rPr>
          <w:spacing w:val="-3"/>
        </w:rPr>
        <w:t>in</w:t>
      </w:r>
      <w:r>
        <w:rPr>
          <w:spacing w:val="20"/>
        </w:rPr>
        <w:t> </w:t>
      </w:r>
      <w:r>
        <w:rPr/>
        <w:t>fish</w:t>
      </w:r>
      <w:r>
        <w:rPr>
          <w:spacing w:val="18"/>
        </w:rPr>
        <w:t> </w:t>
      </w:r>
      <w:r>
        <w:rPr/>
        <w:t>affected</w:t>
      </w:r>
      <w:r>
        <w:rPr>
          <w:spacing w:val="23"/>
        </w:rPr>
        <w:t> </w:t>
      </w:r>
      <w:r>
        <w:rPr/>
        <w:t>and</w:t>
      </w:r>
      <w:r>
        <w:rPr>
          <w:spacing w:val="23"/>
        </w:rPr>
        <w:t> </w:t>
      </w:r>
      <w:r>
        <w:rPr/>
        <w:t>mortality</w:t>
      </w:r>
      <w:r>
        <w:rPr>
          <w:spacing w:val="13"/>
        </w:rPr>
        <w:t> </w:t>
      </w:r>
      <w:r>
        <w:rPr/>
        <w:t>rates</w:t>
      </w:r>
      <w:r>
        <w:rPr>
          <w:spacing w:val="21"/>
        </w:rPr>
        <w:t> </w:t>
      </w:r>
      <w:r>
        <w:rPr/>
        <w:t>caused</w:t>
      </w:r>
      <w:r>
        <w:rPr>
          <w:spacing w:val="23"/>
        </w:rPr>
        <w:t> </w:t>
      </w:r>
      <w:r>
        <w:rPr>
          <w:spacing w:val="-3"/>
        </w:rPr>
        <w:t>in</w:t>
      </w:r>
      <w:r>
        <w:rPr>
          <w:spacing w:val="24"/>
        </w:rPr>
        <w:t> </w:t>
      </w:r>
      <w:r>
        <w:rPr/>
        <w:t>salmon</w:t>
      </w:r>
      <w:r>
        <w:rPr>
          <w:spacing w:val="23"/>
        </w:rPr>
        <w:t> </w:t>
      </w:r>
      <w:r>
        <w:rPr/>
        <w:t>farms</w:t>
      </w:r>
      <w:r>
        <w:rPr>
          <w:spacing w:val="25"/>
        </w:rPr>
        <w:t> </w:t>
      </w:r>
      <w:r>
        <w:rPr>
          <w:spacing w:val="-3"/>
        </w:rPr>
        <w:t>in</w:t>
      </w:r>
      <w:r>
        <w:rPr>
          <w:spacing w:val="18"/>
        </w:rPr>
        <w:t> </w:t>
      </w:r>
      <w:r>
        <w:rPr/>
        <w:t>southern</w:t>
      </w:r>
      <w:r>
        <w:rPr>
          <w:spacing w:val="18"/>
        </w:rPr>
        <w:t> </w:t>
      </w:r>
      <w:r>
        <w:rPr/>
        <w:t>of</w:t>
      </w:r>
    </w:p>
    <w:p>
      <w:pPr>
        <w:spacing w:after="0" w:line="360" w:lineRule="auto"/>
        <w:jc w:val="both"/>
        <w:sectPr>
          <w:pgSz w:w="12240" w:h="15840"/>
          <w:pgMar w:header="0" w:footer="1322" w:top="1500" w:bottom="1580" w:left="1720" w:right="1420"/>
        </w:sectPr>
      </w:pPr>
    </w:p>
    <w:p>
      <w:pPr>
        <w:pStyle w:val="BodyText"/>
        <w:spacing w:before="7"/>
        <w:rPr>
          <w:sz w:val="25"/>
        </w:rPr>
      </w:pPr>
    </w:p>
    <w:p>
      <w:pPr>
        <w:pStyle w:val="BodyText"/>
        <w:spacing w:line="360" w:lineRule="auto" w:before="70"/>
        <w:ind w:left="152" w:right="106"/>
        <w:jc w:val="both"/>
      </w:pPr>
      <w:r>
        <w:rPr/>
        <w:t>Chile.</w:t>
      </w:r>
      <w:r>
        <w:rPr>
          <w:spacing w:val="-13"/>
        </w:rPr>
        <w:t> </w:t>
      </w:r>
      <w:r>
        <w:rPr/>
        <w:t>Viruses</w:t>
      </w:r>
      <w:r>
        <w:rPr>
          <w:spacing w:val="-18"/>
        </w:rPr>
        <w:t> </w:t>
      </w:r>
      <w:r>
        <w:rPr/>
        <w:t>were</w:t>
      </w:r>
      <w:r>
        <w:rPr>
          <w:spacing w:val="-16"/>
        </w:rPr>
        <w:t> </w:t>
      </w:r>
      <w:r>
        <w:rPr/>
        <w:t>replicated</w:t>
      </w:r>
      <w:r>
        <w:rPr>
          <w:spacing w:val="-15"/>
        </w:rPr>
        <w:t> </w:t>
      </w:r>
      <w:r>
        <w:rPr/>
        <w:t>by</w:t>
      </w:r>
      <w:r>
        <w:rPr>
          <w:spacing w:val="-20"/>
        </w:rPr>
        <w:t> </w:t>
      </w:r>
      <w:r>
        <w:rPr/>
        <w:t>inoculation</w:t>
      </w:r>
      <w:r>
        <w:rPr>
          <w:spacing w:val="-15"/>
        </w:rPr>
        <w:t> </w:t>
      </w:r>
      <w:r>
        <w:rPr>
          <w:spacing w:val="-3"/>
        </w:rPr>
        <w:t>in</w:t>
      </w:r>
      <w:r>
        <w:rPr>
          <w:spacing w:val="-20"/>
        </w:rPr>
        <w:t> </w:t>
      </w:r>
      <w:r>
        <w:rPr/>
        <w:t>bottles</w:t>
      </w:r>
      <w:r>
        <w:rPr>
          <w:spacing w:val="-18"/>
        </w:rPr>
        <w:t> </w:t>
      </w:r>
      <w:r>
        <w:rPr/>
        <w:t>of</w:t>
      </w:r>
      <w:r>
        <w:rPr>
          <w:spacing w:val="-23"/>
        </w:rPr>
        <w:t> </w:t>
      </w:r>
      <w:r>
        <w:rPr/>
        <w:t>500</w:t>
      </w:r>
      <w:r>
        <w:rPr>
          <w:spacing w:val="-11"/>
        </w:rPr>
        <w:t> </w:t>
      </w:r>
      <w:r>
        <w:rPr>
          <w:spacing w:val="-3"/>
        </w:rPr>
        <w:t>mL</w:t>
      </w:r>
      <w:r>
        <w:rPr>
          <w:spacing w:val="-13"/>
        </w:rPr>
        <w:t> </w:t>
      </w:r>
      <w:r>
        <w:rPr>
          <w:spacing w:val="-3"/>
        </w:rPr>
        <w:t>in</w:t>
      </w:r>
      <w:r>
        <w:rPr>
          <w:spacing w:val="-20"/>
        </w:rPr>
        <w:t> </w:t>
      </w:r>
      <w:r>
        <w:rPr/>
        <w:t>Chinook</w:t>
      </w:r>
      <w:r>
        <w:rPr>
          <w:spacing w:val="-15"/>
        </w:rPr>
        <w:t> </w:t>
      </w:r>
      <w:r>
        <w:rPr/>
        <w:t>salmon</w:t>
      </w:r>
      <w:r>
        <w:rPr>
          <w:spacing w:val="-20"/>
        </w:rPr>
        <w:t> </w:t>
      </w:r>
      <w:r>
        <w:rPr/>
        <w:t>embryo cells (CHSE-214) with 90% confluence maintained </w:t>
      </w:r>
      <w:r>
        <w:rPr>
          <w:spacing w:val="-3"/>
        </w:rPr>
        <w:t>in </w:t>
      </w:r>
      <w:r>
        <w:rPr>
          <w:i/>
        </w:rPr>
        <w:t>minimal essential medium </w:t>
      </w:r>
      <w:r>
        <w:rPr/>
        <w:t>(MEM) to 2% of fetal bovine serum (FBS) and once reached an extensive cytopathic effect (EPC) viruses were titered, </w:t>
      </w:r>
      <w:r>
        <w:rPr>
          <w:spacing w:val="-3"/>
        </w:rPr>
        <w:t>using </w:t>
      </w:r>
      <w:r>
        <w:rPr/>
        <w:t>microplate method (Reed and Muench 1938). Then, viruses were used for cell</w:t>
      </w:r>
      <w:r>
        <w:rPr>
          <w:spacing w:val="-18"/>
        </w:rPr>
        <w:t> </w:t>
      </w:r>
      <w:r>
        <w:rPr/>
        <w:t>infection.</w:t>
      </w:r>
    </w:p>
    <w:p>
      <w:pPr>
        <w:pStyle w:val="BodyText"/>
        <w:spacing w:line="360" w:lineRule="auto" w:before="4"/>
        <w:ind w:left="152" w:right="104" w:firstLine="710"/>
        <w:jc w:val="both"/>
      </w:pPr>
      <w:r>
        <w:rPr>
          <w:i/>
        </w:rPr>
        <w:t>Cellular</w:t>
      </w:r>
      <w:r>
        <w:rPr>
          <w:i/>
          <w:spacing w:val="-14"/>
        </w:rPr>
        <w:t> </w:t>
      </w:r>
      <w:r>
        <w:rPr>
          <w:i/>
        </w:rPr>
        <w:t>infection.</w:t>
      </w:r>
      <w:r>
        <w:rPr>
          <w:i/>
          <w:spacing w:val="-13"/>
        </w:rPr>
        <w:t> </w:t>
      </w:r>
      <w:r>
        <w:rPr>
          <w:i/>
        </w:rPr>
        <w:t>−</w:t>
      </w:r>
      <w:r>
        <w:rPr>
          <w:i/>
          <w:spacing w:val="-16"/>
        </w:rPr>
        <w:t> </w:t>
      </w:r>
      <w:r>
        <w:rPr/>
        <w:t>(VP2</w:t>
      </w:r>
      <w:r>
        <w:rPr>
          <w:spacing w:val="-12"/>
        </w:rPr>
        <w:t> </w:t>
      </w:r>
      <w:r>
        <w:rPr/>
        <w:t>expression</w:t>
      </w:r>
      <w:r>
        <w:rPr>
          <w:spacing w:val="-17"/>
        </w:rPr>
        <w:t> </w:t>
      </w:r>
      <w:r>
        <w:rPr/>
        <w:t>and</w:t>
      </w:r>
      <w:r>
        <w:rPr>
          <w:spacing w:val="-12"/>
        </w:rPr>
        <w:t> </w:t>
      </w:r>
      <w:r>
        <w:rPr/>
        <w:t>ISGs):</w:t>
      </w:r>
      <w:r>
        <w:rPr>
          <w:spacing w:val="-12"/>
        </w:rPr>
        <w:t> </w:t>
      </w:r>
      <w:r>
        <w:rPr/>
        <w:t>RTG-2</w:t>
      </w:r>
      <w:r>
        <w:rPr>
          <w:spacing w:val="-12"/>
        </w:rPr>
        <w:t> </w:t>
      </w:r>
      <w:r>
        <w:rPr>
          <w:spacing w:val="-3"/>
        </w:rPr>
        <w:t>cells</w:t>
      </w:r>
      <w:r>
        <w:rPr>
          <w:spacing w:val="-15"/>
        </w:rPr>
        <w:t> </w:t>
      </w:r>
      <w:r>
        <w:rPr/>
        <w:t>(</w:t>
      </w:r>
      <w:r>
        <w:rPr>
          <w:i/>
        </w:rPr>
        <w:t>Rainbow</w:t>
      </w:r>
      <w:r>
        <w:rPr>
          <w:i/>
          <w:spacing w:val="-24"/>
        </w:rPr>
        <w:t> </w:t>
      </w:r>
      <w:r>
        <w:rPr>
          <w:i/>
        </w:rPr>
        <w:t>trout</w:t>
      </w:r>
      <w:r>
        <w:rPr>
          <w:i/>
          <w:spacing w:val="-12"/>
        </w:rPr>
        <w:t> </w:t>
      </w:r>
      <w:r>
        <w:rPr>
          <w:i/>
        </w:rPr>
        <w:t>Gonad</w:t>
      </w:r>
      <w:r>
        <w:rPr/>
        <w:t>) </w:t>
      </w:r>
      <w:r>
        <w:rPr>
          <w:spacing w:val="-3"/>
        </w:rPr>
        <w:t>in</w:t>
      </w:r>
      <w:r>
        <w:rPr>
          <w:spacing w:val="-15"/>
        </w:rPr>
        <w:t> </w:t>
      </w:r>
      <w:r>
        <w:rPr/>
        <w:t>6-wells</w:t>
      </w:r>
      <w:r>
        <w:rPr>
          <w:spacing w:val="-13"/>
        </w:rPr>
        <w:t> </w:t>
      </w:r>
      <w:r>
        <w:rPr/>
        <w:t>plates</w:t>
      </w:r>
      <w:r>
        <w:rPr>
          <w:spacing w:val="-13"/>
        </w:rPr>
        <w:t> </w:t>
      </w:r>
      <w:r>
        <w:rPr/>
        <w:t>at</w:t>
      </w:r>
      <w:r>
        <w:rPr>
          <w:spacing w:val="-10"/>
        </w:rPr>
        <w:t> </w:t>
      </w:r>
      <w:r>
        <w:rPr/>
        <w:t>15°C</w:t>
      </w:r>
      <w:r>
        <w:rPr>
          <w:spacing w:val="-12"/>
        </w:rPr>
        <w:t> </w:t>
      </w:r>
      <w:r>
        <w:rPr/>
        <w:t>with</w:t>
      </w:r>
      <w:r>
        <w:rPr>
          <w:spacing w:val="-15"/>
        </w:rPr>
        <w:t> </w:t>
      </w:r>
      <w:r>
        <w:rPr/>
        <w:t>L-15</w:t>
      </w:r>
      <w:r>
        <w:rPr>
          <w:spacing w:val="-11"/>
        </w:rPr>
        <w:t> </w:t>
      </w:r>
      <w:r>
        <w:rPr/>
        <w:t>medium</w:t>
      </w:r>
      <w:r>
        <w:rPr>
          <w:spacing w:val="-19"/>
        </w:rPr>
        <w:t> </w:t>
      </w:r>
      <w:r>
        <w:rPr/>
        <w:t>with</w:t>
      </w:r>
      <w:r>
        <w:rPr>
          <w:spacing w:val="-15"/>
        </w:rPr>
        <w:t> </w:t>
      </w:r>
      <w:r>
        <w:rPr/>
        <w:t>2%</w:t>
      </w:r>
      <w:r>
        <w:rPr>
          <w:spacing w:val="-9"/>
        </w:rPr>
        <w:t> </w:t>
      </w:r>
      <w:r>
        <w:rPr>
          <w:spacing w:val="-2"/>
        </w:rPr>
        <w:t>FBS</w:t>
      </w:r>
      <w:r>
        <w:rPr>
          <w:spacing w:val="-9"/>
        </w:rPr>
        <w:t> </w:t>
      </w:r>
      <w:r>
        <w:rPr/>
        <w:t>(Gibco,</w:t>
      </w:r>
      <w:r>
        <w:rPr>
          <w:spacing w:val="-13"/>
        </w:rPr>
        <w:t> </w:t>
      </w:r>
      <w:r>
        <w:rPr/>
        <w:t>Invitrogen</w:t>
      </w:r>
      <w:r>
        <w:rPr>
          <w:spacing w:val="-15"/>
        </w:rPr>
        <w:t> </w:t>
      </w:r>
      <w:r>
        <w:rPr/>
        <w:t>Corp.</w:t>
      </w:r>
      <w:r>
        <w:rPr>
          <w:spacing w:val="-13"/>
        </w:rPr>
        <w:t> </w:t>
      </w:r>
      <w:r>
        <w:rPr/>
        <w:t>Carlsbad, California) were infected </w:t>
      </w:r>
      <w:r>
        <w:rPr>
          <w:spacing w:val="-3"/>
        </w:rPr>
        <w:t>in </w:t>
      </w:r>
      <w:r>
        <w:rPr/>
        <w:t>triplicate with IPNV strains at MOI=0.1(Multiplicity Of Infection).</w:t>
      </w:r>
      <w:r>
        <w:rPr>
          <w:spacing w:val="-6"/>
        </w:rPr>
        <w:t> </w:t>
      </w:r>
      <w:r>
        <w:rPr/>
        <w:t>Afterward</w:t>
      </w:r>
      <w:r>
        <w:rPr>
          <w:spacing w:val="-7"/>
        </w:rPr>
        <w:t> </w:t>
      </w:r>
      <w:r>
        <w:rPr/>
        <w:t>infection,</w:t>
      </w:r>
      <w:r>
        <w:rPr>
          <w:spacing w:val="-7"/>
        </w:rPr>
        <w:t> </w:t>
      </w:r>
      <w:r>
        <w:rPr/>
        <w:t>the</w:t>
      </w:r>
      <w:r>
        <w:rPr>
          <w:spacing w:val="-8"/>
        </w:rPr>
        <w:t> </w:t>
      </w:r>
      <w:r>
        <w:rPr/>
        <w:t>incubation</w:t>
      </w:r>
      <w:r>
        <w:rPr>
          <w:spacing w:val="-16"/>
        </w:rPr>
        <w:t> </w:t>
      </w:r>
      <w:r>
        <w:rPr/>
        <w:t>continued</w:t>
      </w:r>
      <w:r>
        <w:rPr>
          <w:spacing w:val="-12"/>
        </w:rPr>
        <w:t> </w:t>
      </w:r>
      <w:r>
        <w:rPr/>
        <w:t>at</w:t>
      </w:r>
      <w:r>
        <w:rPr>
          <w:spacing w:val="-7"/>
        </w:rPr>
        <w:t> </w:t>
      </w:r>
      <w:r>
        <w:rPr/>
        <w:t>the</w:t>
      </w:r>
      <w:r>
        <w:rPr>
          <w:spacing w:val="-13"/>
        </w:rPr>
        <w:t> </w:t>
      </w:r>
      <w:r>
        <w:rPr/>
        <w:t>same</w:t>
      </w:r>
      <w:r>
        <w:rPr>
          <w:spacing w:val="-13"/>
        </w:rPr>
        <w:t> </w:t>
      </w:r>
      <w:r>
        <w:rPr/>
        <w:t>temperature</w:t>
      </w:r>
      <w:r>
        <w:rPr>
          <w:spacing w:val="-13"/>
        </w:rPr>
        <w:t> </w:t>
      </w:r>
      <w:r>
        <w:rPr/>
        <w:t>until</w:t>
      </w:r>
      <w:r>
        <w:rPr>
          <w:spacing w:val="-11"/>
        </w:rPr>
        <w:t> </w:t>
      </w:r>
      <w:r>
        <w:rPr>
          <w:spacing w:val="-5"/>
        </w:rPr>
        <w:t>it</w:t>
      </w:r>
      <w:r>
        <w:rPr>
          <w:spacing w:val="-7"/>
        </w:rPr>
        <w:t> </w:t>
      </w:r>
      <w:r>
        <w:rPr/>
        <w:t>was interrupted </w:t>
      </w:r>
      <w:r>
        <w:rPr>
          <w:spacing w:val="-3"/>
        </w:rPr>
        <w:t>at </w:t>
      </w:r>
      <w:r>
        <w:rPr/>
        <w:t>4, </w:t>
      </w:r>
      <w:r>
        <w:rPr>
          <w:spacing w:val="-3"/>
        </w:rPr>
        <w:t>8, </w:t>
      </w:r>
      <w:r>
        <w:rPr/>
        <w:t>24, 36 and 60 hours post-infection (hpi) when the supernatant was eliminated.</w:t>
      </w:r>
    </w:p>
    <w:p>
      <w:pPr>
        <w:pStyle w:val="BodyText"/>
        <w:spacing w:line="357" w:lineRule="auto" w:before="4"/>
        <w:ind w:left="152" w:right="107" w:firstLine="916"/>
        <w:jc w:val="both"/>
      </w:pPr>
      <w:r>
        <w:rPr>
          <w:i/>
        </w:rPr>
        <w:t>RNA extraction and RT-PCR. − </w:t>
      </w:r>
      <w:r>
        <w:rPr/>
        <w:t>Total RNA was isolated using the commercial kit (E.Z.N.A</w:t>
      </w:r>
      <w:r>
        <w:rPr>
          <w:position w:val="9"/>
          <w:sz w:val="16"/>
        </w:rPr>
        <w:t>TM </w:t>
      </w:r>
      <w:r>
        <w:rPr/>
        <w:t>Total RNA </w:t>
      </w:r>
      <w:r>
        <w:rPr>
          <w:spacing w:val="-4"/>
        </w:rPr>
        <w:t>Kit</w:t>
      </w:r>
      <w:r>
        <w:rPr>
          <w:spacing w:val="52"/>
        </w:rPr>
        <w:t> </w:t>
      </w:r>
      <w:r>
        <w:rPr/>
        <w:t>I, Omega-Biotek) and according to the manufacturer’s instructions. Then, 9.4 µL of RNA was incubated using a thermocycler (Labnet Multigene Gradient)</w:t>
      </w:r>
      <w:r>
        <w:rPr>
          <w:spacing w:val="-10"/>
        </w:rPr>
        <w:t> </w:t>
      </w:r>
      <w:r>
        <w:rPr>
          <w:spacing w:val="-3"/>
        </w:rPr>
        <w:t>at</w:t>
      </w:r>
      <w:r>
        <w:rPr>
          <w:spacing w:val="-11"/>
        </w:rPr>
        <w:t> </w:t>
      </w:r>
      <w:r>
        <w:rPr/>
        <w:t>37°C</w:t>
      </w:r>
      <w:r>
        <w:rPr>
          <w:spacing w:val="-9"/>
        </w:rPr>
        <w:t> </w:t>
      </w:r>
      <w:r>
        <w:rPr/>
        <w:t>for</w:t>
      </w:r>
      <w:r>
        <w:rPr>
          <w:spacing w:val="-10"/>
        </w:rPr>
        <w:t> </w:t>
      </w:r>
      <w:r>
        <w:rPr/>
        <w:t>30</w:t>
      </w:r>
      <w:r>
        <w:rPr>
          <w:spacing w:val="-16"/>
        </w:rPr>
        <w:t> </w:t>
      </w:r>
      <w:r>
        <w:rPr/>
        <w:t>minutes</w:t>
      </w:r>
      <w:r>
        <w:rPr>
          <w:spacing w:val="-14"/>
        </w:rPr>
        <w:t> </w:t>
      </w:r>
      <w:r>
        <w:rPr/>
        <w:t>(min),</w:t>
      </w:r>
      <w:r>
        <w:rPr>
          <w:spacing w:val="-10"/>
        </w:rPr>
        <w:t> </w:t>
      </w:r>
      <w:r>
        <w:rPr/>
        <w:t>and</w:t>
      </w:r>
      <w:r>
        <w:rPr>
          <w:spacing w:val="-12"/>
        </w:rPr>
        <w:t> </w:t>
      </w:r>
      <w:r>
        <w:rPr/>
        <w:t>was</w:t>
      </w:r>
      <w:r>
        <w:rPr>
          <w:spacing w:val="-14"/>
        </w:rPr>
        <w:t> </w:t>
      </w:r>
      <w:r>
        <w:rPr/>
        <w:t>treated</w:t>
      </w:r>
      <w:r>
        <w:rPr>
          <w:spacing w:val="-12"/>
        </w:rPr>
        <w:t> </w:t>
      </w:r>
      <w:r>
        <w:rPr/>
        <w:t>with</w:t>
      </w:r>
      <w:r>
        <w:rPr>
          <w:spacing w:val="-16"/>
        </w:rPr>
        <w:t> </w:t>
      </w:r>
      <w:r>
        <w:rPr/>
        <w:t>DNase</w:t>
      </w:r>
      <w:r>
        <w:rPr>
          <w:spacing w:val="-13"/>
        </w:rPr>
        <w:t> </w:t>
      </w:r>
      <w:r>
        <w:rPr/>
        <w:t>(Promega</w:t>
      </w:r>
      <w:r>
        <w:rPr>
          <w:spacing w:val="-13"/>
        </w:rPr>
        <w:t> </w:t>
      </w:r>
      <w:r>
        <w:rPr/>
        <w:t>Cat.#M6101), mixed with 1µL of RQ1 RNase-Free DNase and 1µL RQ1 DNase 10X Reaction Buffer per sample. Immediately, 1µL </w:t>
      </w:r>
      <w:r>
        <w:rPr>
          <w:spacing w:val="4"/>
        </w:rPr>
        <w:t>of </w:t>
      </w:r>
      <w:r>
        <w:rPr/>
        <w:t>stop solution was added, and the samples were incubated at 65°C for 10</w:t>
      </w:r>
      <w:r>
        <w:rPr>
          <w:spacing w:val="1"/>
        </w:rPr>
        <w:t> </w:t>
      </w:r>
      <w:r>
        <w:rPr>
          <w:spacing w:val="-4"/>
        </w:rPr>
        <w:t>min.</w:t>
      </w:r>
    </w:p>
    <w:p>
      <w:pPr>
        <w:pStyle w:val="BodyText"/>
        <w:spacing w:line="360" w:lineRule="auto" w:before="7"/>
        <w:ind w:left="152" w:right="109"/>
        <w:jc w:val="both"/>
      </w:pPr>
      <w:r>
        <w:rPr/>
        <w:t>As a start the RT-PCR for the cells was conducted, immediately a first </w:t>
      </w:r>
      <w:r>
        <w:rPr>
          <w:spacing w:val="-4"/>
        </w:rPr>
        <w:t>mix </w:t>
      </w:r>
      <w:r>
        <w:rPr/>
        <w:t>containing 1µL </w:t>
      </w:r>
      <w:r>
        <w:rPr>
          <w:position w:val="2"/>
        </w:rPr>
        <w:t>dNTPs 10 </w:t>
      </w:r>
      <w:r>
        <w:rPr>
          <w:spacing w:val="-5"/>
          <w:position w:val="2"/>
        </w:rPr>
        <w:t>mM, </w:t>
      </w:r>
      <w:r>
        <w:rPr>
          <w:position w:val="2"/>
        </w:rPr>
        <w:t>1.6 µL Oligo dT</w:t>
      </w:r>
      <w:r>
        <w:rPr>
          <w:sz w:val="16"/>
        </w:rPr>
        <w:t>15mer </w:t>
      </w:r>
      <w:r>
        <w:rPr>
          <w:position w:val="2"/>
        </w:rPr>
        <w:t>was added </w:t>
      </w:r>
      <w:r>
        <w:rPr>
          <w:spacing w:val="2"/>
          <w:position w:val="2"/>
        </w:rPr>
        <w:t>to </w:t>
      </w:r>
      <w:r>
        <w:rPr>
          <w:position w:val="2"/>
        </w:rPr>
        <w:t>the samples, and were incubated at 60°C </w:t>
      </w:r>
      <w:r>
        <w:rPr/>
        <w:t>for 10 </w:t>
      </w:r>
      <w:r>
        <w:rPr>
          <w:spacing w:val="-3"/>
        </w:rPr>
        <w:t>min. </w:t>
      </w:r>
      <w:r>
        <w:rPr/>
        <w:t>Then, samples were incubated on </w:t>
      </w:r>
      <w:r>
        <w:rPr>
          <w:spacing w:val="-3"/>
        </w:rPr>
        <w:t>ice. </w:t>
      </w:r>
      <w:r>
        <w:rPr/>
        <w:t>Subsequently, a second </w:t>
      </w:r>
      <w:r>
        <w:rPr>
          <w:spacing w:val="-4"/>
        </w:rPr>
        <w:t>mix </w:t>
      </w:r>
      <w:r>
        <w:rPr/>
        <w:t>containing </w:t>
      </w:r>
      <w:r>
        <w:rPr>
          <w:spacing w:val="56"/>
        </w:rPr>
        <w:t> </w:t>
      </w:r>
      <w:r>
        <w:rPr/>
        <w:t>4</w:t>
      </w:r>
    </w:p>
    <w:p>
      <w:pPr>
        <w:pStyle w:val="BodyText"/>
        <w:spacing w:line="360" w:lineRule="auto" w:before="4"/>
        <w:ind w:left="152" w:right="110"/>
        <w:jc w:val="both"/>
      </w:pPr>
      <w:r>
        <w:rPr/>
        <w:t>µL of M-MLV Reverse Transcriptase 5X Reaction Buffer (Promega M531A), 0.5 µL of RNasin 40U/µL (Promega) and 0.5 µL M-MLV Reverse Transcriptase 200U/µL (Promega) were added. Then, samples were incubated in a thermocycler, programmed to complete a cycle of 42°C for 60 min x40 cycles, and finally at 70°C for 10 min for extension, samples were maintained at 4°C.</w:t>
      </w:r>
    </w:p>
    <w:p>
      <w:pPr>
        <w:pStyle w:val="BodyText"/>
        <w:spacing w:line="360" w:lineRule="auto" w:before="4"/>
        <w:ind w:left="152" w:right="101"/>
        <w:jc w:val="both"/>
      </w:pPr>
      <w:r>
        <w:rPr/>
        <w:t>For</w:t>
      </w:r>
      <w:r>
        <w:rPr>
          <w:spacing w:val="-7"/>
        </w:rPr>
        <w:t> </w:t>
      </w:r>
      <w:r>
        <w:rPr/>
        <w:t>viral</w:t>
      </w:r>
      <w:r>
        <w:rPr>
          <w:spacing w:val="-13"/>
        </w:rPr>
        <w:t> </w:t>
      </w:r>
      <w:r>
        <w:rPr/>
        <w:t>RT-PCR</w:t>
      </w:r>
      <w:r>
        <w:rPr>
          <w:spacing w:val="-10"/>
        </w:rPr>
        <w:t> </w:t>
      </w:r>
      <w:r>
        <w:rPr/>
        <w:t>described</w:t>
      </w:r>
      <w:r>
        <w:rPr>
          <w:spacing w:val="-9"/>
        </w:rPr>
        <w:t> </w:t>
      </w:r>
      <w:r>
        <w:rPr/>
        <w:t>as</w:t>
      </w:r>
      <w:r>
        <w:rPr>
          <w:spacing w:val="-6"/>
        </w:rPr>
        <w:t> </w:t>
      </w:r>
      <w:r>
        <w:rPr/>
        <w:t>follow:</w:t>
      </w:r>
      <w:r>
        <w:rPr>
          <w:spacing w:val="-9"/>
        </w:rPr>
        <w:t> </w:t>
      </w:r>
      <w:r>
        <w:rPr/>
        <w:t>a</w:t>
      </w:r>
      <w:r>
        <w:rPr>
          <w:spacing w:val="-5"/>
        </w:rPr>
        <w:t> </w:t>
      </w:r>
      <w:r>
        <w:rPr>
          <w:spacing w:val="-3"/>
        </w:rPr>
        <w:t>first</w:t>
      </w:r>
      <w:r>
        <w:rPr>
          <w:spacing w:val="-4"/>
        </w:rPr>
        <w:t> mix</w:t>
      </w:r>
      <w:r>
        <w:rPr>
          <w:spacing w:val="-9"/>
        </w:rPr>
        <w:t> </w:t>
      </w:r>
      <w:r>
        <w:rPr/>
        <w:t>contain</w:t>
      </w:r>
      <w:r>
        <w:rPr>
          <w:spacing w:val="-13"/>
        </w:rPr>
        <w:t> </w:t>
      </w:r>
      <w:r>
        <w:rPr/>
        <w:t>2</w:t>
      </w:r>
      <w:r>
        <w:rPr>
          <w:spacing w:val="-5"/>
        </w:rPr>
        <w:t> </w:t>
      </w:r>
      <w:r>
        <w:rPr/>
        <w:t>μL</w:t>
      </w:r>
      <w:r>
        <w:rPr>
          <w:spacing w:val="-11"/>
        </w:rPr>
        <w:t> </w:t>
      </w:r>
      <w:r>
        <w:rPr/>
        <w:t>dNTPs</w:t>
      </w:r>
      <w:r>
        <w:rPr>
          <w:spacing w:val="-11"/>
        </w:rPr>
        <w:t> </w:t>
      </w:r>
      <w:r>
        <w:rPr/>
        <w:t>10</w:t>
      </w:r>
      <w:r>
        <w:rPr>
          <w:spacing w:val="-9"/>
        </w:rPr>
        <w:t> </w:t>
      </w:r>
      <w:r>
        <w:rPr>
          <w:spacing w:val="-3"/>
        </w:rPr>
        <w:t>mM,</w:t>
      </w:r>
      <w:r>
        <w:rPr>
          <w:spacing w:val="-7"/>
        </w:rPr>
        <w:t> </w:t>
      </w:r>
      <w:r>
        <w:rPr/>
        <w:t>1</w:t>
      </w:r>
      <w:r>
        <w:rPr>
          <w:spacing w:val="-8"/>
        </w:rPr>
        <w:t> </w:t>
      </w:r>
      <w:r>
        <w:rPr/>
        <w:t>μL</w:t>
      </w:r>
      <w:r>
        <w:rPr>
          <w:spacing w:val="-11"/>
        </w:rPr>
        <w:t> </w:t>
      </w:r>
      <w:r>
        <w:rPr/>
        <w:t>Random primers were added to the samples, and incubated </w:t>
      </w:r>
      <w:r>
        <w:rPr>
          <w:spacing w:val="-3"/>
        </w:rPr>
        <w:t>at </w:t>
      </w:r>
      <w:r>
        <w:rPr/>
        <w:t>60°C for 10 min. After samples were incubated  on  </w:t>
      </w:r>
      <w:r>
        <w:rPr>
          <w:spacing w:val="-3"/>
        </w:rPr>
        <w:t>ice.  </w:t>
      </w:r>
      <w:r>
        <w:rPr/>
        <w:t>Subsequently,  a  second  </w:t>
      </w:r>
      <w:r>
        <w:rPr>
          <w:spacing w:val="-4"/>
        </w:rPr>
        <w:t>mix  </w:t>
      </w:r>
      <w:r>
        <w:rPr/>
        <w:t>containing  4  µL  </w:t>
      </w:r>
      <w:r>
        <w:rPr>
          <w:spacing w:val="4"/>
        </w:rPr>
        <w:t>of  </w:t>
      </w:r>
      <w:r>
        <w:rPr/>
        <w:t>M-MLV   </w:t>
      </w:r>
      <w:r>
        <w:rPr>
          <w:spacing w:val="42"/>
        </w:rPr>
        <w:t> </w:t>
      </w:r>
      <w:r>
        <w:rPr/>
        <w:t>Reverse</w:t>
      </w:r>
    </w:p>
    <w:p>
      <w:pPr>
        <w:spacing w:after="0" w:line="360" w:lineRule="auto"/>
        <w:jc w:val="both"/>
        <w:sectPr>
          <w:pgSz w:w="12240" w:h="15840"/>
          <w:pgMar w:header="0" w:footer="1322" w:top="1500" w:bottom="1580" w:left="1720" w:right="1420"/>
        </w:sectPr>
      </w:pPr>
    </w:p>
    <w:p>
      <w:pPr>
        <w:pStyle w:val="BodyText"/>
        <w:spacing w:before="7"/>
        <w:rPr>
          <w:sz w:val="25"/>
        </w:rPr>
      </w:pPr>
    </w:p>
    <w:p>
      <w:pPr>
        <w:pStyle w:val="BodyText"/>
        <w:spacing w:line="360" w:lineRule="auto" w:before="70"/>
        <w:ind w:left="152" w:right="111"/>
        <w:jc w:val="both"/>
      </w:pPr>
      <w:r>
        <w:rPr/>
        <w:t>Transcriptase 5X Reaction Buffer (Promega M531A), 0.5 µL of RNasin 40U/µL (Promega) and</w:t>
      </w:r>
      <w:r>
        <w:rPr>
          <w:spacing w:val="-7"/>
        </w:rPr>
        <w:t> </w:t>
      </w:r>
      <w:r>
        <w:rPr/>
        <w:t>0.5</w:t>
      </w:r>
      <w:r>
        <w:rPr>
          <w:spacing w:val="-7"/>
        </w:rPr>
        <w:t> </w:t>
      </w:r>
      <w:r>
        <w:rPr/>
        <w:t>µL</w:t>
      </w:r>
      <w:r>
        <w:rPr>
          <w:spacing w:val="-9"/>
        </w:rPr>
        <w:t> </w:t>
      </w:r>
      <w:r>
        <w:rPr/>
        <w:t>M-MLV</w:t>
      </w:r>
      <w:r>
        <w:rPr>
          <w:spacing w:val="-7"/>
        </w:rPr>
        <w:t> </w:t>
      </w:r>
      <w:r>
        <w:rPr/>
        <w:t>Reverse</w:t>
      </w:r>
      <w:r>
        <w:rPr>
          <w:spacing w:val="-8"/>
        </w:rPr>
        <w:t> </w:t>
      </w:r>
      <w:r>
        <w:rPr/>
        <w:t>Transcriptase</w:t>
      </w:r>
      <w:r>
        <w:rPr>
          <w:spacing w:val="-8"/>
        </w:rPr>
        <w:t> </w:t>
      </w:r>
      <w:r>
        <w:rPr/>
        <w:t>200U/µL</w:t>
      </w:r>
      <w:r>
        <w:rPr>
          <w:spacing w:val="-9"/>
        </w:rPr>
        <w:t> </w:t>
      </w:r>
      <w:r>
        <w:rPr/>
        <w:t>(Promega)</w:t>
      </w:r>
      <w:r>
        <w:rPr>
          <w:spacing w:val="-6"/>
        </w:rPr>
        <w:t> </w:t>
      </w:r>
      <w:r>
        <w:rPr/>
        <w:t>were</w:t>
      </w:r>
      <w:r>
        <w:rPr>
          <w:spacing w:val="-8"/>
        </w:rPr>
        <w:t> </w:t>
      </w:r>
      <w:r>
        <w:rPr/>
        <w:t>added.</w:t>
      </w:r>
      <w:r>
        <w:rPr>
          <w:spacing w:val="-6"/>
        </w:rPr>
        <w:t> </w:t>
      </w:r>
      <w:r>
        <w:rPr/>
        <w:t>Reactions</w:t>
      </w:r>
      <w:r>
        <w:rPr>
          <w:spacing w:val="-9"/>
        </w:rPr>
        <w:t> </w:t>
      </w:r>
      <w:r>
        <w:rPr/>
        <w:t>were carried </w:t>
      </w:r>
      <w:r>
        <w:rPr>
          <w:spacing w:val="-3"/>
        </w:rPr>
        <w:t>in </w:t>
      </w:r>
      <w:r>
        <w:rPr/>
        <w:t>a thermocycler, programmed </w:t>
      </w:r>
      <w:r>
        <w:rPr>
          <w:spacing w:val="2"/>
        </w:rPr>
        <w:t>to </w:t>
      </w:r>
      <w:r>
        <w:rPr/>
        <w:t>complete a </w:t>
      </w:r>
      <w:r>
        <w:rPr>
          <w:spacing w:val="-3"/>
        </w:rPr>
        <w:t>cycle </w:t>
      </w:r>
      <w:r>
        <w:rPr/>
        <w:t>of 42°C for 60 </w:t>
      </w:r>
      <w:r>
        <w:rPr>
          <w:spacing w:val="-4"/>
        </w:rPr>
        <w:t>min </w:t>
      </w:r>
      <w:r>
        <w:rPr/>
        <w:t>x40 cycles and finally at 70°C for 10 </w:t>
      </w:r>
      <w:r>
        <w:rPr>
          <w:spacing w:val="-4"/>
        </w:rPr>
        <w:t>min </w:t>
      </w:r>
      <w:r>
        <w:rPr/>
        <w:t>for extension, samples were maintained at</w:t>
      </w:r>
      <w:r>
        <w:rPr>
          <w:spacing w:val="-20"/>
        </w:rPr>
        <w:t> </w:t>
      </w:r>
      <w:r>
        <w:rPr/>
        <w:t>4°C.</w:t>
      </w:r>
    </w:p>
    <w:p>
      <w:pPr>
        <w:pStyle w:val="BodyText"/>
        <w:spacing w:line="355" w:lineRule="auto" w:before="4"/>
        <w:ind w:left="152" w:right="104" w:firstLine="705"/>
        <w:jc w:val="both"/>
      </w:pPr>
      <w:r>
        <w:rPr>
          <w:i/>
        </w:rPr>
        <w:t>Real-Time PCR (qRT-PCR). − </w:t>
      </w:r>
      <w:r>
        <w:rPr/>
        <w:t>To determine IFN-I(α), STAT-1(α) and Mx-1 gene expression,</w:t>
      </w:r>
      <w:r>
        <w:rPr>
          <w:spacing w:val="-12"/>
        </w:rPr>
        <w:t> </w:t>
      </w:r>
      <w:r>
        <w:rPr/>
        <w:t>cDNA</w:t>
      </w:r>
      <w:r>
        <w:rPr>
          <w:spacing w:val="-20"/>
        </w:rPr>
        <w:t> </w:t>
      </w:r>
      <w:r>
        <w:rPr/>
        <w:t>was</w:t>
      </w:r>
      <w:r>
        <w:rPr>
          <w:spacing w:val="-17"/>
        </w:rPr>
        <w:t> </w:t>
      </w:r>
      <w:r>
        <w:rPr/>
        <w:t>amplified</w:t>
      </w:r>
      <w:r>
        <w:rPr>
          <w:spacing w:val="-14"/>
        </w:rPr>
        <w:t> </w:t>
      </w:r>
      <w:r>
        <w:rPr/>
        <w:t>with</w:t>
      </w:r>
      <w:r>
        <w:rPr>
          <w:spacing w:val="-19"/>
        </w:rPr>
        <w:t> </w:t>
      </w:r>
      <w:r>
        <w:rPr/>
        <w:t>a</w:t>
      </w:r>
      <w:r>
        <w:rPr>
          <w:spacing w:val="-15"/>
        </w:rPr>
        <w:t> </w:t>
      </w:r>
      <w:r>
        <w:rPr/>
        <w:t>Step</w:t>
      </w:r>
      <w:r>
        <w:rPr>
          <w:spacing w:val="-14"/>
        </w:rPr>
        <w:t> </w:t>
      </w:r>
      <w:r>
        <w:rPr/>
        <w:t>One</w:t>
      </w:r>
      <w:r>
        <w:rPr>
          <w:position w:val="9"/>
          <w:sz w:val="16"/>
        </w:rPr>
        <w:t>TM</w:t>
      </w:r>
      <w:r>
        <w:rPr>
          <w:spacing w:val="4"/>
          <w:position w:val="9"/>
          <w:sz w:val="16"/>
        </w:rPr>
        <w:t> </w:t>
      </w:r>
      <w:r>
        <w:rPr/>
        <w:t>Real</w:t>
      </w:r>
      <w:r>
        <w:rPr>
          <w:spacing w:val="-24"/>
        </w:rPr>
        <w:t> </w:t>
      </w:r>
      <w:r>
        <w:rPr/>
        <w:t>Time</w:t>
      </w:r>
      <w:r>
        <w:rPr>
          <w:spacing w:val="-15"/>
        </w:rPr>
        <w:t> </w:t>
      </w:r>
      <w:r>
        <w:rPr/>
        <w:t>PCR</w:t>
      </w:r>
      <w:r>
        <w:rPr>
          <w:spacing w:val="-16"/>
        </w:rPr>
        <w:t> </w:t>
      </w:r>
      <w:r>
        <w:rPr/>
        <w:t>system</w:t>
      </w:r>
      <w:r>
        <w:rPr>
          <w:spacing w:val="-24"/>
        </w:rPr>
        <w:t> </w:t>
      </w:r>
      <w:r>
        <w:rPr/>
        <w:t>Thermal</w:t>
      </w:r>
      <w:r>
        <w:rPr>
          <w:spacing w:val="-19"/>
        </w:rPr>
        <w:t> </w:t>
      </w:r>
      <w:r>
        <w:rPr/>
        <w:t>Cycling Block (Applied Biosystems) using the SYBR</w:t>
      </w:r>
      <w:r>
        <w:rPr>
          <w:position w:val="9"/>
          <w:sz w:val="16"/>
        </w:rPr>
        <w:t>®</w:t>
      </w:r>
      <w:r>
        <w:rPr/>
        <w:t>Green method. PCR amplification was performed</w:t>
      </w:r>
      <w:r>
        <w:rPr>
          <w:spacing w:val="3"/>
        </w:rPr>
        <w:t> </w:t>
      </w:r>
      <w:r>
        <w:rPr>
          <w:spacing w:val="-3"/>
        </w:rPr>
        <w:t>in</w:t>
      </w:r>
      <w:r>
        <w:rPr>
          <w:spacing w:val="-1"/>
        </w:rPr>
        <w:t> </w:t>
      </w:r>
      <w:r>
        <w:rPr/>
        <w:t>individual</w:t>
      </w:r>
      <w:r>
        <w:rPr>
          <w:spacing w:val="-6"/>
        </w:rPr>
        <w:t> </w:t>
      </w:r>
      <w:r>
        <w:rPr/>
        <w:t>wells</w:t>
      </w:r>
      <w:r>
        <w:rPr>
          <w:spacing w:val="-3"/>
        </w:rPr>
        <w:t> </w:t>
      </w:r>
      <w:r>
        <w:rPr>
          <w:spacing w:val="4"/>
        </w:rPr>
        <w:t>of</w:t>
      </w:r>
      <w:r>
        <w:rPr>
          <w:spacing w:val="-9"/>
        </w:rPr>
        <w:t> </w:t>
      </w:r>
      <w:r>
        <w:rPr/>
        <w:t>a</w:t>
      </w:r>
      <w:r>
        <w:rPr>
          <w:spacing w:val="-2"/>
        </w:rPr>
        <w:t> </w:t>
      </w:r>
      <w:r>
        <w:rPr/>
        <w:t>48-well</w:t>
      </w:r>
      <w:r>
        <w:rPr>
          <w:spacing w:val="-10"/>
        </w:rPr>
        <w:t> </w:t>
      </w:r>
      <w:r>
        <w:rPr/>
        <w:t>optical</w:t>
      </w:r>
      <w:r>
        <w:rPr>
          <w:spacing w:val="-1"/>
        </w:rPr>
        <w:t> </w:t>
      </w:r>
      <w:r>
        <w:rPr/>
        <w:t>plate,</w:t>
      </w:r>
      <w:r>
        <w:rPr>
          <w:spacing w:val="1"/>
        </w:rPr>
        <w:t> </w:t>
      </w:r>
      <w:r>
        <w:rPr/>
        <w:t>mixing</w:t>
      </w:r>
      <w:r>
        <w:rPr>
          <w:spacing w:val="-1"/>
        </w:rPr>
        <w:t> </w:t>
      </w:r>
      <w:r>
        <w:rPr/>
        <w:t>2</w:t>
      </w:r>
      <w:r>
        <w:rPr>
          <w:spacing w:val="-1"/>
        </w:rPr>
        <w:t> </w:t>
      </w:r>
      <w:r>
        <w:rPr/>
        <w:t>µL</w:t>
      </w:r>
      <w:r>
        <w:rPr>
          <w:spacing w:val="-13"/>
        </w:rPr>
        <w:t> </w:t>
      </w:r>
      <w:r>
        <w:rPr/>
        <w:t>of</w:t>
      </w:r>
      <w:r>
        <w:rPr>
          <w:spacing w:val="-9"/>
        </w:rPr>
        <w:t> </w:t>
      </w:r>
      <w:r>
        <w:rPr/>
        <w:t>cDNA,</w:t>
      </w:r>
      <w:r>
        <w:rPr>
          <w:spacing w:val="1"/>
        </w:rPr>
        <w:t> </w:t>
      </w:r>
      <w:r>
        <w:rPr/>
        <w:t>1</w:t>
      </w:r>
      <w:r>
        <w:rPr>
          <w:spacing w:val="-6"/>
        </w:rPr>
        <w:t> </w:t>
      </w:r>
      <w:r>
        <w:rPr/>
        <w:t>µL</w:t>
      </w:r>
      <w:r>
        <w:rPr>
          <w:spacing w:val="-4"/>
        </w:rPr>
        <w:t> </w:t>
      </w:r>
      <w:r>
        <w:rPr/>
        <w:t>primer Forward, 1 µL primer Reverse, 1 µL DEPC water and 5µL of SYBR</w:t>
      </w:r>
      <w:r>
        <w:rPr>
          <w:position w:val="9"/>
          <w:sz w:val="16"/>
        </w:rPr>
        <w:t>®</w:t>
      </w:r>
      <w:r>
        <w:rPr/>
        <w:t>Green PCR Master Mix</w:t>
      </w:r>
      <w:r>
        <w:rPr>
          <w:spacing w:val="-20"/>
        </w:rPr>
        <w:t> </w:t>
      </w:r>
      <w:r>
        <w:rPr/>
        <w:t>(Cat.#4344463),</w:t>
      </w:r>
      <w:r>
        <w:rPr>
          <w:spacing w:val="-13"/>
        </w:rPr>
        <w:t> </w:t>
      </w:r>
      <w:r>
        <w:rPr/>
        <w:t>for</w:t>
      </w:r>
      <w:r>
        <w:rPr>
          <w:spacing w:val="-14"/>
        </w:rPr>
        <w:t> </w:t>
      </w:r>
      <w:r>
        <w:rPr/>
        <w:t>a</w:t>
      </w:r>
      <w:r>
        <w:rPr>
          <w:spacing w:val="-21"/>
        </w:rPr>
        <w:t> </w:t>
      </w:r>
      <w:r>
        <w:rPr/>
        <w:t>final</w:t>
      </w:r>
      <w:r>
        <w:rPr>
          <w:spacing w:val="-15"/>
        </w:rPr>
        <w:t> </w:t>
      </w:r>
      <w:r>
        <w:rPr/>
        <w:t>volume</w:t>
      </w:r>
      <w:r>
        <w:rPr>
          <w:spacing w:val="-16"/>
        </w:rPr>
        <w:t> </w:t>
      </w:r>
      <w:r>
        <w:rPr/>
        <w:t>of</w:t>
      </w:r>
      <w:r>
        <w:rPr>
          <w:spacing w:val="-23"/>
        </w:rPr>
        <w:t> </w:t>
      </w:r>
      <w:r>
        <w:rPr/>
        <w:t>10</w:t>
      </w:r>
      <w:r>
        <w:rPr>
          <w:spacing w:val="-15"/>
        </w:rPr>
        <w:t> </w:t>
      </w:r>
      <w:r>
        <w:rPr/>
        <w:t>µL</w:t>
      </w:r>
      <w:r>
        <w:rPr>
          <w:spacing w:val="-18"/>
        </w:rPr>
        <w:t> </w:t>
      </w:r>
      <w:r>
        <w:rPr/>
        <w:t>per</w:t>
      </w:r>
      <w:r>
        <w:rPr>
          <w:spacing w:val="-14"/>
        </w:rPr>
        <w:t> </w:t>
      </w:r>
      <w:r>
        <w:rPr/>
        <w:t>sample.</w:t>
      </w:r>
      <w:r>
        <w:rPr>
          <w:spacing w:val="-13"/>
        </w:rPr>
        <w:t> </w:t>
      </w:r>
      <w:r>
        <w:rPr/>
        <w:t>The</w:t>
      </w:r>
      <w:r>
        <w:rPr>
          <w:spacing w:val="-16"/>
        </w:rPr>
        <w:t> </w:t>
      </w:r>
      <w:r>
        <w:rPr/>
        <w:t>standard</w:t>
      </w:r>
      <w:r>
        <w:rPr>
          <w:spacing w:val="-15"/>
        </w:rPr>
        <w:t> </w:t>
      </w:r>
      <w:r>
        <w:rPr/>
        <w:t>cycling</w:t>
      </w:r>
      <w:r>
        <w:rPr>
          <w:spacing w:val="-15"/>
        </w:rPr>
        <w:t> </w:t>
      </w:r>
      <w:r>
        <w:rPr/>
        <w:t>conditions were</w:t>
      </w:r>
      <w:r>
        <w:rPr>
          <w:spacing w:val="-6"/>
        </w:rPr>
        <w:t> </w:t>
      </w:r>
      <w:r>
        <w:rPr/>
        <w:t>50°C</w:t>
      </w:r>
      <w:r>
        <w:rPr>
          <w:spacing w:val="-2"/>
        </w:rPr>
        <w:t> </w:t>
      </w:r>
      <w:r>
        <w:rPr/>
        <w:t>for</w:t>
      </w:r>
      <w:r>
        <w:rPr>
          <w:spacing w:val="-3"/>
        </w:rPr>
        <w:t> </w:t>
      </w:r>
      <w:r>
        <w:rPr/>
        <w:t>2</w:t>
      </w:r>
      <w:r>
        <w:rPr>
          <w:spacing w:val="-5"/>
        </w:rPr>
        <w:t> </w:t>
      </w:r>
      <w:r>
        <w:rPr>
          <w:spacing w:val="-4"/>
        </w:rPr>
        <w:t>min</w:t>
      </w:r>
      <w:r>
        <w:rPr>
          <w:spacing w:val="-10"/>
        </w:rPr>
        <w:t> </w:t>
      </w:r>
      <w:r>
        <w:rPr/>
        <w:t>and</w:t>
      </w:r>
      <w:r>
        <w:rPr>
          <w:spacing w:val="-5"/>
        </w:rPr>
        <w:t> </w:t>
      </w:r>
      <w:r>
        <w:rPr/>
        <w:t>95°C</w:t>
      </w:r>
      <w:r>
        <w:rPr>
          <w:spacing w:val="-2"/>
        </w:rPr>
        <w:t> </w:t>
      </w:r>
      <w:r>
        <w:rPr/>
        <w:t>for</w:t>
      </w:r>
      <w:r>
        <w:rPr>
          <w:spacing w:val="-3"/>
        </w:rPr>
        <w:t> </w:t>
      </w:r>
      <w:r>
        <w:rPr/>
        <w:t>10</w:t>
      </w:r>
      <w:r>
        <w:rPr>
          <w:spacing w:val="-5"/>
        </w:rPr>
        <w:t> </w:t>
      </w:r>
      <w:r>
        <w:rPr>
          <w:spacing w:val="-4"/>
        </w:rPr>
        <w:t>min,</w:t>
      </w:r>
      <w:r>
        <w:rPr>
          <w:spacing w:val="2"/>
        </w:rPr>
        <w:t> </w:t>
      </w:r>
      <w:r>
        <w:rPr/>
        <w:t>followed</w:t>
      </w:r>
      <w:r>
        <w:rPr>
          <w:spacing w:val="-5"/>
        </w:rPr>
        <w:t> </w:t>
      </w:r>
      <w:r>
        <w:rPr/>
        <w:t>by</w:t>
      </w:r>
      <w:r>
        <w:rPr>
          <w:spacing w:val="-14"/>
        </w:rPr>
        <w:t> </w:t>
      </w:r>
      <w:r>
        <w:rPr/>
        <w:t>40</w:t>
      </w:r>
      <w:r>
        <w:rPr>
          <w:spacing w:val="-5"/>
        </w:rPr>
        <w:t> </w:t>
      </w:r>
      <w:r>
        <w:rPr/>
        <w:t>cycles</w:t>
      </w:r>
      <w:r>
        <w:rPr>
          <w:spacing w:val="-7"/>
        </w:rPr>
        <w:t> </w:t>
      </w:r>
      <w:r>
        <w:rPr>
          <w:spacing w:val="4"/>
        </w:rPr>
        <w:t>of</w:t>
      </w:r>
      <w:r>
        <w:rPr>
          <w:spacing w:val="-13"/>
        </w:rPr>
        <w:t> </w:t>
      </w:r>
      <w:r>
        <w:rPr/>
        <w:t>95°C</w:t>
      </w:r>
      <w:r>
        <w:rPr>
          <w:spacing w:val="-2"/>
        </w:rPr>
        <w:t> </w:t>
      </w:r>
      <w:r>
        <w:rPr/>
        <w:t>for</w:t>
      </w:r>
      <w:r>
        <w:rPr>
          <w:spacing w:val="-3"/>
        </w:rPr>
        <w:t> </w:t>
      </w:r>
      <w:r>
        <w:rPr/>
        <w:t>15</w:t>
      </w:r>
      <w:r>
        <w:rPr>
          <w:spacing w:val="-10"/>
        </w:rPr>
        <w:t> </w:t>
      </w:r>
      <w:r>
        <w:rPr/>
        <w:t>seconds</w:t>
      </w:r>
      <w:r>
        <w:rPr>
          <w:spacing w:val="-7"/>
        </w:rPr>
        <w:t> </w:t>
      </w:r>
      <w:r>
        <w:rPr/>
        <w:t>and 60°C for 1 </w:t>
      </w:r>
      <w:r>
        <w:rPr>
          <w:spacing w:val="-3"/>
        </w:rPr>
        <w:t>min. </w:t>
      </w:r>
      <w:r>
        <w:rPr/>
        <w:t>All samples were analyzed </w:t>
      </w:r>
      <w:r>
        <w:rPr>
          <w:spacing w:val="-3"/>
        </w:rPr>
        <w:t>in </w:t>
      </w:r>
      <w:r>
        <w:rPr/>
        <w:t>triplicate. The efficiency </w:t>
      </w:r>
      <w:r>
        <w:rPr>
          <w:spacing w:val="4"/>
        </w:rPr>
        <w:t>of </w:t>
      </w:r>
      <w:r>
        <w:rPr/>
        <w:t>the primers was tested </w:t>
      </w:r>
      <w:r>
        <w:rPr>
          <w:spacing w:val="-3"/>
        </w:rPr>
        <w:t>using </w:t>
      </w:r>
      <w:r>
        <w:rPr/>
        <w:t>serial dilutions of a known initial template (10</w:t>
      </w:r>
      <w:r>
        <w:rPr>
          <w:position w:val="9"/>
          <w:sz w:val="16"/>
        </w:rPr>
        <w:t>1</w:t>
      </w:r>
      <w:r>
        <w:rPr/>
        <w:t>-10</w:t>
      </w:r>
      <w:r>
        <w:rPr>
          <w:position w:val="9"/>
          <w:sz w:val="16"/>
        </w:rPr>
        <w:t>10</w:t>
      </w:r>
      <w:r>
        <w:rPr/>
        <w:t>) to produce a standard curve.</w:t>
      </w:r>
      <w:r>
        <w:rPr>
          <w:spacing w:val="-10"/>
        </w:rPr>
        <w:t> </w:t>
      </w:r>
      <w:r>
        <w:rPr/>
        <w:t>Relative</w:t>
      </w:r>
      <w:r>
        <w:rPr>
          <w:spacing w:val="-12"/>
        </w:rPr>
        <w:t> </w:t>
      </w:r>
      <w:r>
        <w:rPr/>
        <w:t>quantification</w:t>
      </w:r>
      <w:r>
        <w:rPr>
          <w:spacing w:val="-15"/>
        </w:rPr>
        <w:t> </w:t>
      </w:r>
      <w:r>
        <w:rPr/>
        <w:t>of</w:t>
      </w:r>
      <w:r>
        <w:rPr>
          <w:spacing w:val="-19"/>
        </w:rPr>
        <w:t> </w:t>
      </w:r>
      <w:r>
        <w:rPr/>
        <w:t>the</w:t>
      </w:r>
      <w:r>
        <w:rPr>
          <w:spacing w:val="-12"/>
        </w:rPr>
        <w:t> </w:t>
      </w:r>
      <w:r>
        <w:rPr/>
        <w:t>amplified</w:t>
      </w:r>
      <w:r>
        <w:rPr>
          <w:spacing w:val="-11"/>
        </w:rPr>
        <w:t> </w:t>
      </w:r>
      <w:r>
        <w:rPr/>
        <w:t>gene</w:t>
      </w:r>
      <w:r>
        <w:rPr>
          <w:spacing w:val="-8"/>
        </w:rPr>
        <w:t> </w:t>
      </w:r>
      <w:r>
        <w:rPr/>
        <w:t>products</w:t>
      </w:r>
      <w:r>
        <w:rPr>
          <w:spacing w:val="-13"/>
        </w:rPr>
        <w:t> </w:t>
      </w:r>
      <w:r>
        <w:rPr/>
        <w:t>was</w:t>
      </w:r>
      <w:r>
        <w:rPr>
          <w:spacing w:val="-13"/>
        </w:rPr>
        <w:t> </w:t>
      </w:r>
      <w:r>
        <w:rPr/>
        <w:t>calculated</w:t>
      </w:r>
      <w:r>
        <w:rPr>
          <w:spacing w:val="-11"/>
        </w:rPr>
        <w:t> </w:t>
      </w:r>
      <w:r>
        <w:rPr/>
        <w:t>by</w:t>
      </w:r>
      <w:r>
        <w:rPr>
          <w:spacing w:val="-20"/>
        </w:rPr>
        <w:t> </w:t>
      </w:r>
      <w:r>
        <w:rPr/>
        <w:t>2</w:t>
      </w:r>
      <w:r>
        <w:rPr>
          <w:position w:val="9"/>
          <w:sz w:val="16"/>
        </w:rPr>
        <w:t>-ΔΔCt</w:t>
      </w:r>
      <w:r>
        <w:rPr>
          <w:spacing w:val="-6"/>
          <w:position w:val="9"/>
          <w:sz w:val="16"/>
        </w:rPr>
        <w:t> </w:t>
      </w:r>
      <w:r>
        <w:rPr/>
        <w:t>method (Livak</w:t>
      </w:r>
      <w:r>
        <w:rPr>
          <w:spacing w:val="-12"/>
        </w:rPr>
        <w:t> </w:t>
      </w:r>
      <w:r>
        <w:rPr/>
        <w:t>and</w:t>
      </w:r>
      <w:r>
        <w:rPr>
          <w:spacing w:val="-12"/>
        </w:rPr>
        <w:t> </w:t>
      </w:r>
      <w:r>
        <w:rPr/>
        <w:t>Schmittgen</w:t>
      </w:r>
      <w:r>
        <w:rPr>
          <w:spacing w:val="-15"/>
        </w:rPr>
        <w:t> </w:t>
      </w:r>
      <w:r>
        <w:rPr/>
        <w:t>2001).</w:t>
      </w:r>
      <w:r>
        <w:rPr>
          <w:spacing w:val="-10"/>
        </w:rPr>
        <w:t> </w:t>
      </w:r>
      <w:r>
        <w:rPr/>
        <w:t>To</w:t>
      </w:r>
      <w:r>
        <w:rPr>
          <w:spacing w:val="-12"/>
        </w:rPr>
        <w:t> </w:t>
      </w:r>
      <w:r>
        <w:rPr/>
        <w:t>determine</w:t>
      </w:r>
      <w:r>
        <w:rPr>
          <w:spacing w:val="-13"/>
        </w:rPr>
        <w:t> </w:t>
      </w:r>
      <w:r>
        <w:rPr/>
        <w:t>viral</w:t>
      </w:r>
      <w:r>
        <w:rPr>
          <w:spacing w:val="-20"/>
        </w:rPr>
        <w:t> </w:t>
      </w:r>
      <w:r>
        <w:rPr/>
        <w:t>replication</w:t>
      </w:r>
      <w:r>
        <w:rPr>
          <w:spacing w:val="-15"/>
        </w:rPr>
        <w:t> </w:t>
      </w:r>
      <w:r>
        <w:rPr/>
        <w:t>(VP2</w:t>
      </w:r>
      <w:r>
        <w:rPr>
          <w:spacing w:val="-11"/>
        </w:rPr>
        <w:t> </w:t>
      </w:r>
      <w:r>
        <w:rPr/>
        <w:t>gene</w:t>
      </w:r>
      <w:r>
        <w:rPr>
          <w:spacing w:val="-13"/>
        </w:rPr>
        <w:t> </w:t>
      </w:r>
      <w:r>
        <w:rPr/>
        <w:t>expression),</w:t>
      </w:r>
      <w:r>
        <w:rPr>
          <w:spacing w:val="-14"/>
        </w:rPr>
        <w:t> </w:t>
      </w:r>
      <w:r>
        <w:rPr/>
        <w:t>the</w:t>
      </w:r>
      <w:r>
        <w:rPr>
          <w:spacing w:val="-13"/>
        </w:rPr>
        <w:t> </w:t>
      </w:r>
      <w:r>
        <w:rPr/>
        <w:t>VP2 cycle threshold (Ct) </w:t>
      </w:r>
      <w:r>
        <w:rPr>
          <w:spacing w:val="-3"/>
        </w:rPr>
        <w:t>values </w:t>
      </w:r>
      <w:r>
        <w:rPr/>
        <w:t>were converted into expression values normalized against the endogenous reference gene using the statistical standard curve method as described </w:t>
      </w:r>
      <w:r>
        <w:rPr>
          <w:spacing w:val="-3"/>
        </w:rPr>
        <w:t>in </w:t>
      </w:r>
      <w:r>
        <w:rPr/>
        <w:t>the Applied Biosystems User Manual. Housekeeping gene elongation factor 1</w:t>
      </w:r>
      <w:r>
        <w:rPr>
          <w:spacing w:val="-41"/>
        </w:rPr>
        <w:t> </w:t>
      </w:r>
      <w:r>
        <w:rPr>
          <w:spacing w:val="-3"/>
        </w:rPr>
        <w:t>alpha </w:t>
      </w:r>
      <w:r>
        <w:rPr/>
        <w:t>(ELF-1(</w:t>
      </w:r>
      <w:r>
        <w:rPr>
          <w:rFonts w:ascii="Symbol" w:hAnsi="Symbol"/>
          <w:i/>
          <w:sz w:val="25"/>
        </w:rPr>
        <w:t></w:t>
      </w:r>
      <w:r>
        <w:rPr/>
        <w:t>)) was used for RTG-2 cell genes and IPNV/VP2, as the endogenous reference gene. Specific primer sequences are documented </w:t>
      </w:r>
      <w:r>
        <w:rPr>
          <w:spacing w:val="-3"/>
        </w:rPr>
        <w:t>in </w:t>
      </w:r>
      <w:r>
        <w:rPr/>
        <w:t>Table</w:t>
      </w:r>
      <w:r>
        <w:rPr>
          <w:spacing w:val="-7"/>
        </w:rPr>
        <w:t> </w:t>
      </w:r>
      <w:r>
        <w:rPr/>
        <w:t>1.</w:t>
      </w:r>
    </w:p>
    <w:p>
      <w:pPr>
        <w:pStyle w:val="BodyText"/>
        <w:spacing w:line="360" w:lineRule="auto" w:before="9"/>
        <w:ind w:left="152" w:right="101" w:firstLine="710"/>
        <w:jc w:val="both"/>
      </w:pPr>
      <w:r>
        <w:rPr>
          <w:i/>
        </w:rPr>
        <w:t>Western Immunoblotting analysis for STAT1(α/β) phosphorylation</w:t>
      </w:r>
      <w:r>
        <w:rPr>
          <w:b/>
        </w:rPr>
        <w:t>. </w:t>
      </w:r>
      <w:r>
        <w:rPr>
          <w:i/>
        </w:rPr>
        <w:t>− </w:t>
      </w:r>
      <w:r>
        <w:rPr/>
        <w:t>RTG-2 fibroblast cell line were cultured </w:t>
      </w:r>
      <w:r>
        <w:rPr>
          <w:spacing w:val="-3"/>
        </w:rPr>
        <w:t>in </w:t>
      </w:r>
      <w:r>
        <w:rPr/>
        <w:t>6-well plates at 15°C containing L-15 medium (Gibco, Invitrogen</w:t>
      </w:r>
      <w:r>
        <w:rPr>
          <w:spacing w:val="-11"/>
        </w:rPr>
        <w:t> </w:t>
      </w:r>
      <w:r>
        <w:rPr/>
        <w:t>Corp.,</w:t>
      </w:r>
      <w:r>
        <w:rPr>
          <w:spacing w:val="-4"/>
        </w:rPr>
        <w:t> </w:t>
      </w:r>
      <w:r>
        <w:rPr/>
        <w:t>Carlsbad,</w:t>
      </w:r>
      <w:r>
        <w:rPr>
          <w:spacing w:val="-4"/>
        </w:rPr>
        <w:t> </w:t>
      </w:r>
      <w:r>
        <w:rPr/>
        <w:t>California)</w:t>
      </w:r>
      <w:r>
        <w:rPr>
          <w:spacing w:val="-4"/>
        </w:rPr>
        <w:t> </w:t>
      </w:r>
      <w:r>
        <w:rPr/>
        <w:t>supplemented</w:t>
      </w:r>
      <w:r>
        <w:rPr>
          <w:spacing w:val="-6"/>
        </w:rPr>
        <w:t> </w:t>
      </w:r>
      <w:r>
        <w:rPr/>
        <w:t>with</w:t>
      </w:r>
      <w:r>
        <w:rPr>
          <w:spacing w:val="-11"/>
        </w:rPr>
        <w:t> </w:t>
      </w:r>
      <w:r>
        <w:rPr/>
        <w:t>10%</w:t>
      </w:r>
      <w:r>
        <w:rPr>
          <w:spacing w:val="-1"/>
        </w:rPr>
        <w:t> </w:t>
      </w:r>
      <w:r>
        <w:rPr/>
        <w:t>fetal</w:t>
      </w:r>
      <w:r>
        <w:rPr>
          <w:spacing w:val="-10"/>
        </w:rPr>
        <w:t> </w:t>
      </w:r>
      <w:r>
        <w:rPr/>
        <w:t>bovine</w:t>
      </w:r>
      <w:r>
        <w:rPr>
          <w:spacing w:val="-7"/>
        </w:rPr>
        <w:t> </w:t>
      </w:r>
      <w:r>
        <w:rPr/>
        <w:t>serum</w:t>
      </w:r>
      <w:r>
        <w:rPr>
          <w:spacing w:val="-15"/>
        </w:rPr>
        <w:t> </w:t>
      </w:r>
      <w:r>
        <w:rPr/>
        <w:t>per</w:t>
      </w:r>
      <w:r>
        <w:rPr>
          <w:spacing w:val="-4"/>
        </w:rPr>
        <w:t> </w:t>
      </w:r>
      <w:r>
        <w:rPr/>
        <w:t>well. Before</w:t>
      </w:r>
      <w:r>
        <w:rPr>
          <w:spacing w:val="-5"/>
        </w:rPr>
        <w:t> </w:t>
      </w:r>
      <w:r>
        <w:rPr/>
        <w:t>proceeding</w:t>
      </w:r>
      <w:r>
        <w:rPr>
          <w:spacing w:val="-5"/>
        </w:rPr>
        <w:t> </w:t>
      </w:r>
      <w:r>
        <w:rPr/>
        <w:t>to experiment,</w:t>
      </w:r>
      <w:r>
        <w:rPr>
          <w:spacing w:val="-7"/>
        </w:rPr>
        <w:t> </w:t>
      </w:r>
      <w:r>
        <w:rPr>
          <w:spacing w:val="-3"/>
        </w:rPr>
        <w:t>cells</w:t>
      </w:r>
      <w:r>
        <w:rPr>
          <w:spacing w:val="-7"/>
        </w:rPr>
        <w:t> </w:t>
      </w:r>
      <w:r>
        <w:rPr/>
        <w:t>were</w:t>
      </w:r>
      <w:r>
        <w:rPr>
          <w:spacing w:val="-6"/>
        </w:rPr>
        <w:t> </w:t>
      </w:r>
      <w:r>
        <w:rPr/>
        <w:t>starved</w:t>
      </w:r>
      <w:r>
        <w:rPr>
          <w:spacing w:val="-10"/>
        </w:rPr>
        <w:t> </w:t>
      </w:r>
      <w:r>
        <w:rPr/>
        <w:t>overnight </w:t>
      </w:r>
      <w:r>
        <w:rPr>
          <w:spacing w:val="-3"/>
        </w:rPr>
        <w:t>in</w:t>
      </w:r>
      <w:r>
        <w:rPr>
          <w:spacing w:val="-10"/>
        </w:rPr>
        <w:t> </w:t>
      </w:r>
      <w:r>
        <w:rPr/>
        <w:t>a</w:t>
      </w:r>
      <w:r>
        <w:rPr>
          <w:spacing w:val="-6"/>
        </w:rPr>
        <w:t> </w:t>
      </w:r>
      <w:r>
        <w:rPr>
          <w:spacing w:val="2"/>
        </w:rPr>
        <w:t>2%</w:t>
      </w:r>
      <w:r>
        <w:rPr>
          <w:spacing w:val="-8"/>
        </w:rPr>
        <w:t> </w:t>
      </w:r>
      <w:r>
        <w:rPr>
          <w:spacing w:val="-2"/>
        </w:rPr>
        <w:t>FBS</w:t>
      </w:r>
      <w:r>
        <w:rPr>
          <w:spacing w:val="-4"/>
        </w:rPr>
        <w:t> </w:t>
      </w:r>
      <w:r>
        <w:rPr/>
        <w:t>medium</w:t>
      </w:r>
      <w:r>
        <w:rPr>
          <w:spacing w:val="-9"/>
        </w:rPr>
        <w:t> </w:t>
      </w:r>
      <w:r>
        <w:rPr>
          <w:spacing w:val="-3"/>
        </w:rPr>
        <w:t>in</w:t>
      </w:r>
      <w:r>
        <w:rPr>
          <w:spacing w:val="-10"/>
        </w:rPr>
        <w:t> </w:t>
      </w:r>
      <w:r>
        <w:rPr/>
        <w:t>order to</w:t>
      </w:r>
      <w:r>
        <w:rPr>
          <w:spacing w:val="-10"/>
        </w:rPr>
        <w:t> </w:t>
      </w:r>
      <w:r>
        <w:rPr/>
        <w:t>lower</w:t>
      </w:r>
      <w:r>
        <w:rPr>
          <w:spacing w:val="-9"/>
        </w:rPr>
        <w:t> </w:t>
      </w:r>
      <w:r>
        <w:rPr/>
        <w:t>basal</w:t>
      </w:r>
      <w:r>
        <w:rPr>
          <w:spacing w:val="-19"/>
        </w:rPr>
        <w:t> </w:t>
      </w:r>
      <w:r>
        <w:rPr/>
        <w:t>protein</w:t>
      </w:r>
      <w:r>
        <w:rPr>
          <w:spacing w:val="-14"/>
        </w:rPr>
        <w:t> </w:t>
      </w:r>
      <w:r>
        <w:rPr/>
        <w:t>phosphorylation,</w:t>
      </w:r>
      <w:r>
        <w:rPr>
          <w:spacing w:val="-9"/>
        </w:rPr>
        <w:t> </w:t>
      </w:r>
      <w:r>
        <w:rPr/>
        <w:t>and</w:t>
      </w:r>
      <w:r>
        <w:rPr>
          <w:spacing w:val="-11"/>
        </w:rPr>
        <w:t> </w:t>
      </w:r>
      <w:r>
        <w:rPr/>
        <w:t>then</w:t>
      </w:r>
      <w:r>
        <w:rPr>
          <w:spacing w:val="-10"/>
        </w:rPr>
        <w:t> </w:t>
      </w:r>
      <w:r>
        <w:rPr/>
        <w:t>were</w:t>
      </w:r>
      <w:r>
        <w:rPr>
          <w:spacing w:val="-11"/>
        </w:rPr>
        <w:t> </w:t>
      </w:r>
      <w:r>
        <w:rPr/>
        <w:t>infected</w:t>
      </w:r>
      <w:r>
        <w:rPr>
          <w:spacing w:val="-11"/>
        </w:rPr>
        <w:t> </w:t>
      </w:r>
      <w:r>
        <w:rPr>
          <w:spacing w:val="-3"/>
        </w:rPr>
        <w:t>in</w:t>
      </w:r>
      <w:r>
        <w:rPr>
          <w:spacing w:val="-14"/>
        </w:rPr>
        <w:t> </w:t>
      </w:r>
      <w:r>
        <w:rPr/>
        <w:t>triplicate</w:t>
      </w:r>
      <w:r>
        <w:rPr>
          <w:spacing w:val="-12"/>
        </w:rPr>
        <w:t> </w:t>
      </w:r>
      <w:r>
        <w:rPr/>
        <w:t>with</w:t>
      </w:r>
      <w:r>
        <w:rPr>
          <w:spacing w:val="-13"/>
        </w:rPr>
        <w:t> </w:t>
      </w:r>
      <w:r>
        <w:rPr/>
        <w:t>IPNV</w:t>
      </w:r>
      <w:r>
        <w:rPr>
          <w:spacing w:val="-12"/>
        </w:rPr>
        <w:t> </w:t>
      </w:r>
      <w:r>
        <w:rPr/>
        <w:t>strains at MOI=0.1. After infection at 15°C the incubation continued at the </w:t>
      </w:r>
      <w:r>
        <w:rPr>
          <w:spacing w:val="-3"/>
        </w:rPr>
        <w:t>same </w:t>
      </w:r>
      <w:r>
        <w:rPr/>
        <w:t>temperature until </w:t>
      </w:r>
      <w:r>
        <w:rPr>
          <w:spacing w:val="-5"/>
        </w:rPr>
        <w:t>it </w:t>
      </w:r>
      <w:r>
        <w:rPr/>
        <w:t>was interrupted </w:t>
      </w:r>
      <w:r>
        <w:rPr>
          <w:spacing w:val="-3"/>
        </w:rPr>
        <w:t>at </w:t>
      </w:r>
      <w:r>
        <w:rPr/>
        <w:t>0 </w:t>
      </w:r>
      <w:r>
        <w:rPr>
          <w:spacing w:val="-4"/>
        </w:rPr>
        <w:t>min, </w:t>
      </w:r>
      <w:r>
        <w:rPr/>
        <w:t>1, 4, 8, 12 and 24 </w:t>
      </w:r>
      <w:r>
        <w:rPr>
          <w:spacing w:val="-3"/>
        </w:rPr>
        <w:t>hpi. </w:t>
      </w:r>
      <w:r>
        <w:rPr/>
        <w:t>Subsequently cells were lysated using</w:t>
      </w:r>
      <w:r>
        <w:rPr>
          <w:spacing w:val="11"/>
        </w:rPr>
        <w:t> </w:t>
      </w:r>
      <w:r>
        <w:rPr/>
        <w:t>300</w:t>
      </w:r>
    </w:p>
    <w:p>
      <w:pPr>
        <w:pStyle w:val="BodyText"/>
        <w:spacing w:line="360" w:lineRule="auto" w:before="4"/>
        <w:ind w:left="152" w:right="104"/>
        <w:jc w:val="both"/>
      </w:pPr>
      <w:r>
        <w:rPr/>
        <w:t>µL of lysis buffer (500 </w:t>
      </w:r>
      <w:r>
        <w:rPr>
          <w:spacing w:val="-5"/>
        </w:rPr>
        <w:t>mM </w:t>
      </w:r>
      <w:r>
        <w:rPr/>
        <w:t>Tris-HCl pH 7.5, 150 </w:t>
      </w:r>
      <w:r>
        <w:rPr>
          <w:spacing w:val="-3"/>
        </w:rPr>
        <w:t>mMNaCl, </w:t>
      </w:r>
      <w:r>
        <w:rPr/>
        <w:t>1mM EDTA, 1 </w:t>
      </w:r>
      <w:r>
        <w:rPr>
          <w:spacing w:val="-5"/>
        </w:rPr>
        <w:t>mM </w:t>
      </w:r>
      <w:r>
        <w:rPr/>
        <w:t>EGTA, 0.25% sodium deoxycholate, 1 </w:t>
      </w:r>
      <w:r>
        <w:rPr>
          <w:spacing w:val="-5"/>
        </w:rPr>
        <w:t>mM </w:t>
      </w:r>
      <w:r>
        <w:rPr/>
        <w:t>PMSF,1 </w:t>
      </w:r>
      <w:r>
        <w:rPr>
          <w:spacing w:val="-5"/>
        </w:rPr>
        <w:t>mM  </w:t>
      </w:r>
      <w:r>
        <w:rPr/>
        <w:t>p-nitrofenilfosfato, </w:t>
      </w:r>
      <w:r>
        <w:rPr>
          <w:spacing w:val="-3"/>
        </w:rPr>
        <w:t>1% </w:t>
      </w:r>
      <w:r>
        <w:rPr/>
        <w:t>NP-40,    protease</w:t>
      </w:r>
    </w:p>
    <w:p>
      <w:pPr>
        <w:spacing w:after="0" w:line="360" w:lineRule="auto"/>
        <w:jc w:val="both"/>
        <w:sectPr>
          <w:pgSz w:w="12240" w:h="15840"/>
          <w:pgMar w:header="0" w:footer="1322" w:top="1500" w:bottom="1580" w:left="1720" w:right="1420"/>
        </w:sectPr>
      </w:pPr>
    </w:p>
    <w:p>
      <w:pPr>
        <w:pStyle w:val="BodyText"/>
        <w:spacing w:before="7"/>
        <w:rPr>
          <w:sz w:val="25"/>
        </w:rPr>
      </w:pPr>
    </w:p>
    <w:p>
      <w:pPr>
        <w:pStyle w:val="BodyText"/>
        <w:spacing w:line="360" w:lineRule="auto" w:before="70"/>
        <w:ind w:left="152" w:right="100"/>
        <w:jc w:val="both"/>
      </w:pPr>
      <w:r>
        <w:rPr/>
        <w:t>and phosphatase inhibitor mixture to 1%) and incubated on </w:t>
      </w:r>
      <w:r>
        <w:rPr>
          <w:spacing w:val="-3"/>
        </w:rPr>
        <w:t>ice </w:t>
      </w:r>
      <w:r>
        <w:rPr/>
        <w:t>for 5 </w:t>
      </w:r>
      <w:r>
        <w:rPr>
          <w:spacing w:val="-3"/>
        </w:rPr>
        <w:t>min, </w:t>
      </w:r>
      <w:r>
        <w:rPr/>
        <w:t>and then scraped. The resultant proteins were centrifuged at 14,000 × </w:t>
      </w:r>
      <w:r>
        <w:rPr>
          <w:i/>
        </w:rPr>
        <w:t>g </w:t>
      </w:r>
      <w:r>
        <w:rPr/>
        <w:t>for 10 </w:t>
      </w:r>
      <w:r>
        <w:rPr>
          <w:spacing w:val="-4"/>
        </w:rPr>
        <w:t>min </w:t>
      </w:r>
      <w:r>
        <w:rPr/>
        <w:t>at 4°C and quantified by Bradford's methods using BSA (20mg/mL) as standard. A measure of 100 </w:t>
      </w:r>
      <w:r>
        <w:rPr>
          <w:i/>
        </w:rPr>
        <w:t>μ</w:t>
      </w:r>
      <w:r>
        <w:rPr/>
        <w:t>g of protein</w:t>
      </w:r>
      <w:r>
        <w:rPr>
          <w:spacing w:val="-36"/>
        </w:rPr>
        <w:t> </w:t>
      </w:r>
      <w:r>
        <w:rPr/>
        <w:t>was resolved </w:t>
      </w:r>
      <w:r>
        <w:rPr>
          <w:spacing w:val="-3"/>
        </w:rPr>
        <w:t>in </w:t>
      </w:r>
      <w:r>
        <w:rPr/>
        <w:t>12% SDS-PAGE and transferred to a nitrocellulose membrane for 2 hours (hrs), at 200 </w:t>
      </w:r>
      <w:r>
        <w:rPr>
          <w:spacing w:val="-4"/>
        </w:rPr>
        <w:t>mA. </w:t>
      </w:r>
      <w:r>
        <w:rPr/>
        <w:t>The membrane was then blocked with buffer (1 × TBS, 0.1% Tween-20 and 5% nonfat</w:t>
      </w:r>
      <w:r>
        <w:rPr>
          <w:spacing w:val="-2"/>
        </w:rPr>
        <w:t> </w:t>
      </w:r>
      <w:r>
        <w:rPr/>
        <w:t>dry</w:t>
      </w:r>
      <w:r>
        <w:rPr>
          <w:spacing w:val="-11"/>
        </w:rPr>
        <w:t> </w:t>
      </w:r>
      <w:r>
        <w:rPr/>
        <w:t>milk)</w:t>
      </w:r>
      <w:r>
        <w:rPr>
          <w:spacing w:val="-1"/>
        </w:rPr>
        <w:t> </w:t>
      </w:r>
      <w:r>
        <w:rPr/>
        <w:t>for</w:t>
      </w:r>
      <w:r>
        <w:rPr>
          <w:spacing w:val="-5"/>
        </w:rPr>
        <w:t> </w:t>
      </w:r>
      <w:r>
        <w:rPr/>
        <w:t>2</w:t>
      </w:r>
      <w:r>
        <w:rPr>
          <w:spacing w:val="-7"/>
        </w:rPr>
        <w:t> </w:t>
      </w:r>
      <w:r>
        <w:rPr/>
        <w:t>hrs</w:t>
      </w:r>
      <w:r>
        <w:rPr>
          <w:spacing w:val="-9"/>
        </w:rPr>
        <w:t> </w:t>
      </w:r>
      <w:r>
        <w:rPr/>
        <w:t>at</w:t>
      </w:r>
      <w:r>
        <w:rPr>
          <w:spacing w:val="-2"/>
        </w:rPr>
        <w:t> </w:t>
      </w:r>
      <w:r>
        <w:rPr/>
        <w:t>room</w:t>
      </w:r>
      <w:r>
        <w:rPr>
          <w:spacing w:val="-15"/>
        </w:rPr>
        <w:t> </w:t>
      </w:r>
      <w:r>
        <w:rPr/>
        <w:t>temperature,</w:t>
      </w:r>
      <w:r>
        <w:rPr>
          <w:spacing w:val="-5"/>
        </w:rPr>
        <w:t> </w:t>
      </w:r>
      <w:r>
        <w:rPr/>
        <w:t>washed,</w:t>
      </w:r>
      <w:r>
        <w:rPr>
          <w:spacing w:val="-5"/>
        </w:rPr>
        <w:t> </w:t>
      </w:r>
      <w:r>
        <w:rPr/>
        <w:t>and</w:t>
      </w:r>
      <w:r>
        <w:rPr>
          <w:spacing w:val="-2"/>
        </w:rPr>
        <w:t> </w:t>
      </w:r>
      <w:r>
        <w:rPr/>
        <w:t>incubated</w:t>
      </w:r>
      <w:r>
        <w:rPr>
          <w:spacing w:val="1"/>
        </w:rPr>
        <w:t> </w:t>
      </w:r>
      <w:r>
        <w:rPr/>
        <w:t>overnight</w:t>
      </w:r>
      <w:r>
        <w:rPr>
          <w:spacing w:val="-2"/>
        </w:rPr>
        <w:t> </w:t>
      </w:r>
      <w:r>
        <w:rPr/>
        <w:t>at</w:t>
      </w:r>
      <w:r>
        <w:rPr>
          <w:spacing w:val="-6"/>
        </w:rPr>
        <w:t> </w:t>
      </w:r>
      <w:r>
        <w:rPr/>
        <w:t>4°C</w:t>
      </w:r>
      <w:r>
        <w:rPr>
          <w:spacing w:val="-7"/>
        </w:rPr>
        <w:t> </w:t>
      </w:r>
      <w:r>
        <w:rPr/>
        <w:t>with an antiphospho-STAT1(α/β) monoclonal antibody at a dilution </w:t>
      </w:r>
      <w:r>
        <w:rPr>
          <w:spacing w:val="4"/>
        </w:rPr>
        <w:t>of </w:t>
      </w:r>
      <w:r>
        <w:rPr/>
        <w:t>1:500 (Cell signaling, Beverly, MA, USA, cat # 7649). The membrane was washed and then incubated with goat anti-rabbit IgG-HRP-conjugated antibody secondary at a dilution 1:2000 (Santa Cruz Biotechnology, Santa Cruz, </w:t>
      </w:r>
      <w:r>
        <w:rPr>
          <w:spacing w:val="-3"/>
        </w:rPr>
        <w:t>CA, </w:t>
      </w:r>
      <w:r>
        <w:rPr/>
        <w:t>USA) for 2 hrs, then visualized using an enhanced chemiluminescence (ECL) system (Perkin-Elmer, USA). Molecular weight of phosphoprotein was determined based on the mobility </w:t>
      </w:r>
      <w:r>
        <w:rPr>
          <w:spacing w:val="4"/>
        </w:rPr>
        <w:t>of </w:t>
      </w:r>
      <w:r>
        <w:rPr/>
        <w:t>prestained standards </w:t>
      </w:r>
      <w:r>
        <w:rPr>
          <w:spacing w:val="4"/>
        </w:rPr>
        <w:t>of </w:t>
      </w:r>
      <w:r>
        <w:rPr/>
        <w:t>known molecular weight. The primary antibodies were removed by incubation with stripping solution (100 </w:t>
      </w:r>
      <w:r>
        <w:rPr>
          <w:spacing w:val="-5"/>
        </w:rPr>
        <w:t>m</w:t>
      </w:r>
      <w:r>
        <w:rPr>
          <w:spacing w:val="-5"/>
          <w:sz w:val="19"/>
        </w:rPr>
        <w:t>M </w:t>
      </w:r>
      <w:r>
        <w:rPr/>
        <w:t>2-mercaptoethanol; 2% SDS; 62.5 </w:t>
      </w:r>
      <w:r>
        <w:rPr>
          <w:spacing w:val="-3"/>
        </w:rPr>
        <w:t>m</w:t>
      </w:r>
      <w:r>
        <w:rPr>
          <w:spacing w:val="-3"/>
          <w:sz w:val="19"/>
        </w:rPr>
        <w:t>M </w:t>
      </w:r>
      <w:r>
        <w:rPr/>
        <w:t>Tris-HCl, pH 6.7) for 30 </w:t>
      </w:r>
      <w:r>
        <w:rPr>
          <w:spacing w:val="-4"/>
        </w:rPr>
        <w:t>min </w:t>
      </w:r>
      <w:r>
        <w:rPr/>
        <w:t>at 50°C with agitation, followed by several washes with TBS-Tween 0.1%). Each membrane was reused with anti-actin antibody at a dilution of 1:1000 (Sigma-Aldrich, USA, cat # A4700), using a procedure similar </w:t>
      </w:r>
      <w:r>
        <w:rPr>
          <w:spacing w:val="2"/>
        </w:rPr>
        <w:t>to </w:t>
      </w:r>
      <w:r>
        <w:rPr/>
        <w:t>the described above, but as secondary antibody a Goat anti-Mouse IgG (H+L) HRP conjugate (Thermo Scientific Pierce) at a dilution of 1:2000. The intensity </w:t>
      </w:r>
      <w:r>
        <w:rPr>
          <w:spacing w:val="4"/>
        </w:rPr>
        <w:t>of </w:t>
      </w:r>
      <w:r>
        <w:rPr/>
        <w:t>each band was analyzed using the Software Image J and was normalized to actin.</w:t>
      </w:r>
    </w:p>
    <w:p>
      <w:pPr>
        <w:pStyle w:val="BodyText"/>
        <w:spacing w:line="360" w:lineRule="auto" w:before="8"/>
        <w:ind w:left="152" w:right="108" w:firstLine="710"/>
        <w:jc w:val="both"/>
      </w:pPr>
      <w:r>
        <w:rPr>
          <w:i/>
        </w:rPr>
        <w:t>Statistical</w:t>
      </w:r>
      <w:r>
        <w:rPr>
          <w:i/>
          <w:spacing w:val="-11"/>
        </w:rPr>
        <w:t> </w:t>
      </w:r>
      <w:r>
        <w:rPr>
          <w:i/>
        </w:rPr>
        <w:t>Analysis.</w:t>
      </w:r>
      <w:r>
        <w:rPr>
          <w:i/>
          <w:spacing w:val="-9"/>
        </w:rPr>
        <w:t> </w:t>
      </w:r>
      <w:r>
        <w:rPr>
          <w:b/>
          <w:i/>
        </w:rPr>
        <w:t>−</w:t>
      </w:r>
      <w:r>
        <w:rPr>
          <w:b/>
          <w:i/>
          <w:spacing w:val="-18"/>
        </w:rPr>
        <w:t> </w:t>
      </w:r>
      <w:r>
        <w:rPr/>
        <w:t>The</w:t>
      </w:r>
      <w:r>
        <w:rPr>
          <w:spacing w:val="-13"/>
        </w:rPr>
        <w:t> </w:t>
      </w:r>
      <w:r>
        <w:rPr/>
        <w:t>expression</w:t>
      </w:r>
      <w:r>
        <w:rPr>
          <w:spacing w:val="-16"/>
        </w:rPr>
        <w:t> </w:t>
      </w:r>
      <w:r>
        <w:rPr/>
        <w:t>gene</w:t>
      </w:r>
      <w:r>
        <w:rPr>
          <w:spacing w:val="-7"/>
        </w:rPr>
        <w:t> </w:t>
      </w:r>
      <w:r>
        <w:rPr>
          <w:spacing w:val="-3"/>
        </w:rPr>
        <w:t>means</w:t>
      </w:r>
      <w:r>
        <w:rPr>
          <w:spacing w:val="-14"/>
        </w:rPr>
        <w:t> </w:t>
      </w:r>
      <w:r>
        <w:rPr/>
        <w:t>and</w:t>
      </w:r>
      <w:r>
        <w:rPr>
          <w:spacing w:val="-12"/>
        </w:rPr>
        <w:t> </w:t>
      </w:r>
      <w:r>
        <w:rPr/>
        <w:t>phosphorylation</w:t>
      </w:r>
      <w:r>
        <w:rPr>
          <w:spacing w:val="-16"/>
        </w:rPr>
        <w:t> </w:t>
      </w:r>
      <w:r>
        <w:rPr/>
        <w:t>rates</w:t>
      </w:r>
      <w:r>
        <w:rPr>
          <w:spacing w:val="-19"/>
        </w:rPr>
        <w:t> </w:t>
      </w:r>
      <w:r>
        <w:rPr/>
        <w:t>resulting were</w:t>
      </w:r>
      <w:r>
        <w:rPr>
          <w:spacing w:val="-8"/>
        </w:rPr>
        <w:t> </w:t>
      </w:r>
      <w:r>
        <w:rPr/>
        <w:t>compared</w:t>
      </w:r>
      <w:r>
        <w:rPr>
          <w:spacing w:val="-7"/>
        </w:rPr>
        <w:t> </w:t>
      </w:r>
      <w:r>
        <w:rPr/>
        <w:t>by</w:t>
      </w:r>
      <w:r>
        <w:rPr>
          <w:spacing w:val="-11"/>
        </w:rPr>
        <w:t> </w:t>
      </w:r>
      <w:r>
        <w:rPr/>
        <w:t>Student</w:t>
      </w:r>
      <w:r>
        <w:rPr>
          <w:spacing w:val="-7"/>
        </w:rPr>
        <w:t> </w:t>
      </w:r>
      <w:r>
        <w:rPr/>
        <w:t>t-test</w:t>
      </w:r>
      <w:r>
        <w:rPr>
          <w:spacing w:val="-2"/>
        </w:rPr>
        <w:t> </w:t>
      </w:r>
      <w:r>
        <w:rPr>
          <w:spacing w:val="-3"/>
        </w:rPr>
        <w:t>in</w:t>
      </w:r>
      <w:r>
        <w:rPr>
          <w:spacing w:val="-11"/>
        </w:rPr>
        <w:t> </w:t>
      </w:r>
      <w:r>
        <w:rPr/>
        <w:t>each</w:t>
      </w:r>
      <w:r>
        <w:rPr>
          <w:spacing w:val="-11"/>
        </w:rPr>
        <w:t> </w:t>
      </w:r>
      <w:r>
        <w:rPr/>
        <w:t>time</w:t>
      </w:r>
      <w:r>
        <w:rPr>
          <w:spacing w:val="-8"/>
        </w:rPr>
        <w:t> </w:t>
      </w:r>
      <w:r>
        <w:rPr/>
        <w:t>points.</w:t>
      </w:r>
      <w:r>
        <w:rPr>
          <w:spacing w:val="-5"/>
        </w:rPr>
        <w:t> </w:t>
      </w:r>
      <w:r>
        <w:rPr/>
        <w:t>Also,</w:t>
      </w:r>
      <w:r>
        <w:rPr>
          <w:spacing w:val="-5"/>
        </w:rPr>
        <w:t> </w:t>
      </w:r>
      <w:r>
        <w:rPr/>
        <w:t>were</w:t>
      </w:r>
      <w:r>
        <w:rPr>
          <w:spacing w:val="-8"/>
        </w:rPr>
        <w:t> </w:t>
      </w:r>
      <w:r>
        <w:rPr/>
        <w:t>implemented</w:t>
      </w:r>
      <w:r>
        <w:rPr>
          <w:spacing w:val="-7"/>
        </w:rPr>
        <w:t> </w:t>
      </w:r>
      <w:r>
        <w:rPr/>
        <w:t>comparison</w:t>
      </w:r>
      <w:r>
        <w:rPr>
          <w:spacing w:val="-11"/>
        </w:rPr>
        <w:t> </w:t>
      </w:r>
      <w:r>
        <w:rPr>
          <w:spacing w:val="4"/>
        </w:rPr>
        <w:t>of </w:t>
      </w:r>
      <w:r>
        <w:rPr/>
        <w:t>the</w:t>
      </w:r>
      <w:r>
        <w:rPr>
          <w:spacing w:val="-12"/>
        </w:rPr>
        <w:t> </w:t>
      </w:r>
      <w:r>
        <w:rPr/>
        <w:t>phosphorylation</w:t>
      </w:r>
      <w:r>
        <w:rPr>
          <w:spacing w:val="-15"/>
        </w:rPr>
        <w:t> </w:t>
      </w:r>
      <w:r>
        <w:rPr/>
        <w:t>rates</w:t>
      </w:r>
      <w:r>
        <w:rPr>
          <w:spacing w:val="-21"/>
        </w:rPr>
        <w:t> </w:t>
      </w:r>
      <w:r>
        <w:rPr/>
        <w:t>to</w:t>
      </w:r>
      <w:r>
        <w:rPr>
          <w:spacing w:val="-15"/>
        </w:rPr>
        <w:t> </w:t>
      </w:r>
      <w:r>
        <w:rPr/>
        <w:t>the</w:t>
      </w:r>
      <w:r>
        <w:rPr>
          <w:spacing w:val="-12"/>
        </w:rPr>
        <w:t> </w:t>
      </w:r>
      <w:r>
        <w:rPr/>
        <w:t>control</w:t>
      </w:r>
      <w:r>
        <w:rPr>
          <w:spacing w:val="-19"/>
        </w:rPr>
        <w:t> </w:t>
      </w:r>
      <w:r>
        <w:rPr/>
        <w:t>group</w:t>
      </w:r>
      <w:r>
        <w:rPr>
          <w:spacing w:val="-19"/>
        </w:rPr>
        <w:t> </w:t>
      </w:r>
      <w:r>
        <w:rPr/>
        <w:t>(cell</w:t>
      </w:r>
      <w:r>
        <w:rPr>
          <w:spacing w:val="-15"/>
        </w:rPr>
        <w:t> </w:t>
      </w:r>
      <w:r>
        <w:rPr>
          <w:spacing w:val="-3"/>
        </w:rPr>
        <w:t>no</w:t>
      </w:r>
      <w:r>
        <w:rPr>
          <w:spacing w:val="-6"/>
        </w:rPr>
        <w:t> </w:t>
      </w:r>
      <w:r>
        <w:rPr/>
        <w:t>infected).</w:t>
      </w:r>
      <w:r>
        <w:rPr>
          <w:spacing w:val="-13"/>
        </w:rPr>
        <w:t> </w:t>
      </w:r>
      <w:r>
        <w:rPr/>
        <w:t>Data</w:t>
      </w:r>
      <w:r>
        <w:rPr>
          <w:spacing w:val="-12"/>
        </w:rPr>
        <w:t> </w:t>
      </w:r>
      <w:r>
        <w:rPr/>
        <w:t>were</w:t>
      </w:r>
      <w:r>
        <w:rPr>
          <w:spacing w:val="-16"/>
        </w:rPr>
        <w:t> </w:t>
      </w:r>
      <w:r>
        <w:rPr/>
        <w:t>presented</w:t>
      </w:r>
      <w:r>
        <w:rPr>
          <w:spacing w:val="-11"/>
        </w:rPr>
        <w:t> </w:t>
      </w:r>
      <w:r>
        <w:rPr/>
        <w:t>as</w:t>
      </w:r>
      <w:r>
        <w:rPr>
          <w:spacing w:val="-13"/>
        </w:rPr>
        <w:t> </w:t>
      </w:r>
      <w:r>
        <w:rPr/>
        <w:t>mean</w:t>
      </w:r>
    </w:p>
    <w:p>
      <w:pPr>
        <w:pStyle w:val="BodyText"/>
        <w:spacing w:line="360" w:lineRule="auto" w:before="4"/>
        <w:ind w:left="152" w:right="107"/>
        <w:jc w:val="both"/>
      </w:pPr>
      <w:r>
        <w:rPr/>
        <w:t>± SD. </w:t>
      </w:r>
      <w:r>
        <w:rPr>
          <w:spacing w:val="-3"/>
        </w:rPr>
        <w:t>We </w:t>
      </w:r>
      <w:r>
        <w:rPr/>
        <w:t>performed Pearson's correlation (r) to determine the strength of association between genes expression. Anderson-Darlington normality test was used to know </w:t>
      </w:r>
      <w:r>
        <w:rPr>
          <w:spacing w:val="-3"/>
        </w:rPr>
        <w:t>if </w:t>
      </w:r>
      <w:r>
        <w:rPr/>
        <w:t>the variables were normally distributed. Statistical analyses were performed using GraphPad Prism®</w:t>
      </w:r>
      <w:r>
        <w:rPr>
          <w:spacing w:val="-5"/>
        </w:rPr>
        <w:t> </w:t>
      </w:r>
      <w:r>
        <w:rPr/>
        <w:t>6</w:t>
      </w:r>
      <w:r>
        <w:rPr>
          <w:spacing w:val="-6"/>
        </w:rPr>
        <w:t> </w:t>
      </w:r>
      <w:r>
        <w:rPr/>
        <w:t>(GraphPad</w:t>
      </w:r>
      <w:r>
        <w:rPr>
          <w:spacing w:val="-6"/>
        </w:rPr>
        <w:t> </w:t>
      </w:r>
      <w:r>
        <w:rPr/>
        <w:t>Software,</w:t>
      </w:r>
      <w:r>
        <w:rPr>
          <w:spacing w:val="-4"/>
        </w:rPr>
        <w:t> </w:t>
      </w:r>
      <w:r>
        <w:rPr/>
        <w:t>Chicago,</w:t>
      </w:r>
      <w:r>
        <w:rPr>
          <w:spacing w:val="-4"/>
        </w:rPr>
        <w:t> </w:t>
      </w:r>
      <w:r>
        <w:rPr/>
        <w:t>Inc,</w:t>
      </w:r>
      <w:r>
        <w:rPr>
          <w:spacing w:val="-4"/>
        </w:rPr>
        <w:t> </w:t>
      </w:r>
      <w:r>
        <w:rPr/>
        <w:t>USA).</w:t>
      </w:r>
      <w:r>
        <w:rPr>
          <w:spacing w:val="-9"/>
        </w:rPr>
        <w:t> </w:t>
      </w:r>
      <w:r>
        <w:rPr/>
        <w:t>The</w:t>
      </w:r>
      <w:r>
        <w:rPr>
          <w:spacing w:val="-3"/>
        </w:rPr>
        <w:t> main</w:t>
      </w:r>
      <w:r>
        <w:rPr>
          <w:spacing w:val="-6"/>
        </w:rPr>
        <w:t> </w:t>
      </w:r>
      <w:r>
        <w:rPr/>
        <w:t>differences</w:t>
      </w:r>
      <w:r>
        <w:rPr>
          <w:spacing w:val="-8"/>
        </w:rPr>
        <w:t> </w:t>
      </w:r>
      <w:r>
        <w:rPr/>
        <w:t>of</w:t>
      </w:r>
      <w:r>
        <w:rPr>
          <w:spacing w:val="-14"/>
        </w:rPr>
        <w:t> </w:t>
      </w:r>
      <w:r>
        <w:rPr/>
        <w:t>the</w:t>
      </w:r>
      <w:r>
        <w:rPr>
          <w:spacing w:val="-7"/>
        </w:rPr>
        <w:t> </w:t>
      </w:r>
      <w:r>
        <w:rPr/>
        <w:t>group</w:t>
      </w:r>
      <w:r>
        <w:rPr>
          <w:spacing w:val="-6"/>
        </w:rPr>
        <w:t> </w:t>
      </w:r>
      <w:r>
        <w:rPr/>
        <w:t>were considered statistically significant </w:t>
      </w:r>
      <w:r>
        <w:rPr>
          <w:spacing w:val="-3"/>
        </w:rPr>
        <w:t>if </w:t>
      </w:r>
      <w:r>
        <w:rPr/>
        <w:t>the p-value was</w:t>
      </w:r>
      <w:r>
        <w:rPr>
          <w:spacing w:val="-9"/>
        </w:rPr>
        <w:t> </w:t>
      </w:r>
      <w:r>
        <w:rPr/>
        <w:t>&lt;0.05.</w:t>
      </w:r>
    </w:p>
    <w:p>
      <w:pPr>
        <w:spacing w:after="0" w:line="360" w:lineRule="auto"/>
        <w:jc w:val="both"/>
        <w:sectPr>
          <w:pgSz w:w="12240" w:h="15840"/>
          <w:pgMar w:header="0" w:footer="1322" w:top="1500" w:bottom="1580" w:left="1720" w:right="1420"/>
        </w:sectPr>
      </w:pPr>
    </w:p>
    <w:p>
      <w:pPr>
        <w:pStyle w:val="BodyText"/>
        <w:spacing w:before="1"/>
        <w:rPr>
          <w:sz w:val="26"/>
        </w:rPr>
      </w:pPr>
    </w:p>
    <w:p>
      <w:pPr>
        <w:pStyle w:val="Heading2"/>
        <w:spacing w:before="69"/>
        <w:ind w:left="215" w:firstLine="0"/>
        <w:rPr>
          <w:i/>
        </w:rPr>
      </w:pPr>
      <w:r>
        <w:rPr>
          <w:i/>
        </w:rPr>
        <w:t>RESULTS</w:t>
      </w:r>
    </w:p>
    <w:p>
      <w:pPr>
        <w:pStyle w:val="BodyText"/>
        <w:spacing w:line="357" w:lineRule="auto" w:before="132"/>
        <w:ind w:left="152" w:right="110" w:firstLine="916"/>
        <w:jc w:val="both"/>
      </w:pPr>
      <w:r>
        <w:rPr>
          <w:i/>
        </w:rPr>
        <w:t>IPNV replication</w:t>
      </w:r>
      <w:r>
        <w:rPr/>
        <w:t>. </w:t>
      </w:r>
      <w:r>
        <w:rPr>
          <w:i/>
        </w:rPr>
        <w:t>− </w:t>
      </w:r>
      <w:r>
        <w:rPr/>
        <w:t>Serotype Sp protein expression (Sp-VP2) showed a transcript higher</w:t>
      </w:r>
      <w:r>
        <w:rPr>
          <w:spacing w:val="1"/>
        </w:rPr>
        <w:t> </w:t>
      </w:r>
      <w:r>
        <w:rPr/>
        <w:t>level</w:t>
      </w:r>
      <w:r>
        <w:rPr>
          <w:spacing w:val="-5"/>
        </w:rPr>
        <w:t> </w:t>
      </w:r>
      <w:r>
        <w:rPr/>
        <w:t>from</w:t>
      </w:r>
      <w:r>
        <w:rPr>
          <w:spacing w:val="-14"/>
        </w:rPr>
        <w:t> </w:t>
      </w:r>
      <w:r>
        <w:rPr/>
        <w:t>4</w:t>
      </w:r>
      <w:r>
        <w:rPr>
          <w:spacing w:val="-5"/>
        </w:rPr>
        <w:t> </w:t>
      </w:r>
      <w:r>
        <w:rPr>
          <w:spacing w:val="2"/>
        </w:rPr>
        <w:t>to</w:t>
      </w:r>
      <w:r>
        <w:rPr/>
        <w:t> 36</w:t>
      </w:r>
      <w:r>
        <w:rPr>
          <w:spacing w:val="-5"/>
        </w:rPr>
        <w:t> </w:t>
      </w:r>
      <w:r>
        <w:rPr/>
        <w:t>hours</w:t>
      </w:r>
      <w:r>
        <w:rPr>
          <w:spacing w:val="-7"/>
        </w:rPr>
        <w:t> </w:t>
      </w:r>
      <w:r>
        <w:rPr/>
        <w:t>post infection</w:t>
      </w:r>
      <w:r>
        <w:rPr>
          <w:spacing w:val="-10"/>
        </w:rPr>
        <w:t> </w:t>
      </w:r>
      <w:r>
        <w:rPr/>
        <w:t>(hpi)</w:t>
      </w:r>
      <w:r>
        <w:rPr>
          <w:spacing w:val="1"/>
        </w:rPr>
        <w:t> </w:t>
      </w:r>
      <w:r>
        <w:rPr>
          <w:spacing w:val="4"/>
        </w:rPr>
        <w:t>(</w:t>
      </w:r>
      <w:r>
        <w:rPr>
          <w:i/>
          <w:spacing w:val="4"/>
        </w:rPr>
        <w:t>P</w:t>
      </w:r>
      <w:r>
        <w:rPr>
          <w:i/>
          <w:spacing w:val="-7"/>
        </w:rPr>
        <w:t> </w:t>
      </w:r>
      <w:r>
        <w:rPr/>
        <w:t>&lt;</w:t>
      </w:r>
      <w:r>
        <w:rPr>
          <w:spacing w:val="-6"/>
        </w:rPr>
        <w:t> </w:t>
      </w:r>
      <w:r>
        <w:rPr/>
        <w:t>0.05;</w:t>
      </w:r>
      <w:r>
        <w:rPr>
          <w:spacing w:val="-9"/>
        </w:rPr>
        <w:t> </w:t>
      </w:r>
      <w:r>
        <w:rPr/>
        <w:t>Figure</w:t>
      </w:r>
      <w:r>
        <w:rPr>
          <w:spacing w:val="-6"/>
        </w:rPr>
        <w:t> </w:t>
      </w:r>
      <w:r>
        <w:rPr/>
        <w:t>1)</w:t>
      </w:r>
      <w:r>
        <w:rPr>
          <w:spacing w:val="-3"/>
        </w:rPr>
        <w:t> </w:t>
      </w:r>
      <w:r>
        <w:rPr/>
        <w:t>when</w:t>
      </w:r>
      <w:r>
        <w:rPr>
          <w:spacing w:val="-10"/>
        </w:rPr>
        <w:t> </w:t>
      </w:r>
      <w:r>
        <w:rPr/>
        <w:t>was</w:t>
      </w:r>
      <w:r>
        <w:rPr>
          <w:spacing w:val="-7"/>
        </w:rPr>
        <w:t> </w:t>
      </w:r>
      <w:r>
        <w:rPr/>
        <w:t>compared with values obtained for (VR-299-VP2), except </w:t>
      </w:r>
      <w:r>
        <w:rPr>
          <w:spacing w:val="-3"/>
        </w:rPr>
        <w:t>at </w:t>
      </w:r>
      <w:r>
        <w:rPr/>
        <w:t>60 hpi where VP2-VR-299 mRNA was higher. However, the viral replication was increasing by both IPNV isolates after 4 </w:t>
      </w:r>
      <w:r>
        <w:rPr>
          <w:spacing w:val="-3"/>
        </w:rPr>
        <w:t>hpi,</w:t>
      </w:r>
      <w:r>
        <w:rPr>
          <w:spacing w:val="54"/>
        </w:rPr>
        <w:t> </w:t>
      </w:r>
      <w:r>
        <w:rPr/>
        <w:t>although, the higher increase was showed by Sp serotype virus </w:t>
      </w:r>
      <w:r>
        <w:rPr>
          <w:spacing w:val="5"/>
        </w:rPr>
        <w:t>(</w:t>
      </w:r>
      <w:r>
        <w:rPr>
          <w:i/>
          <w:spacing w:val="5"/>
        </w:rPr>
        <w:t>P </w:t>
      </w:r>
      <w:r>
        <w:rPr>
          <w:i/>
        </w:rPr>
        <w:t>&lt;</w:t>
      </w:r>
      <w:r>
        <w:rPr>
          <w:i/>
          <w:spacing w:val="-28"/>
        </w:rPr>
        <w:t> </w:t>
      </w:r>
      <w:r>
        <w:rPr/>
        <w:t>0.05</w:t>
      </w:r>
      <w:r>
        <w:rPr>
          <w:i/>
          <w:position w:val="9"/>
          <w:sz w:val="16"/>
        </w:rPr>
        <w:t>ab</w:t>
      </w:r>
      <w:r>
        <w:rPr/>
        <w:t>).</w:t>
      </w:r>
    </w:p>
    <w:p>
      <w:pPr>
        <w:pStyle w:val="BodyText"/>
        <w:spacing w:line="360" w:lineRule="auto"/>
        <w:ind w:left="152" w:right="104" w:firstLine="979"/>
        <w:jc w:val="both"/>
      </w:pPr>
      <w:r>
        <w:rPr>
          <w:i/>
        </w:rPr>
        <w:t>Gene expression in RTG-2 cells IPNV infected. − </w:t>
      </w:r>
      <w:r>
        <w:rPr/>
        <w:t>Cells infected with Sp serotype virus</w:t>
      </w:r>
      <w:r>
        <w:rPr>
          <w:spacing w:val="-14"/>
        </w:rPr>
        <w:t> </w:t>
      </w:r>
      <w:r>
        <w:rPr/>
        <w:t>showed</w:t>
      </w:r>
      <w:r>
        <w:rPr>
          <w:spacing w:val="-12"/>
        </w:rPr>
        <w:t> </w:t>
      </w:r>
      <w:r>
        <w:rPr/>
        <w:t>a</w:t>
      </w:r>
      <w:r>
        <w:rPr>
          <w:spacing w:val="-13"/>
        </w:rPr>
        <w:t> </w:t>
      </w:r>
      <w:r>
        <w:rPr/>
        <w:t>peak</w:t>
      </w:r>
      <w:r>
        <w:rPr>
          <w:spacing w:val="-12"/>
        </w:rPr>
        <w:t> </w:t>
      </w:r>
      <w:r>
        <w:rPr/>
        <w:t>expression</w:t>
      </w:r>
      <w:r>
        <w:rPr>
          <w:spacing w:val="-17"/>
        </w:rPr>
        <w:t> </w:t>
      </w:r>
      <w:r>
        <w:rPr/>
        <w:t>of</w:t>
      </w:r>
      <w:r>
        <w:rPr>
          <w:spacing w:val="-20"/>
        </w:rPr>
        <w:t> </w:t>
      </w:r>
      <w:r>
        <w:rPr/>
        <w:t>IFN-I(α)</w:t>
      </w:r>
      <w:r>
        <w:rPr>
          <w:spacing w:val="-11"/>
        </w:rPr>
        <w:t> </w:t>
      </w:r>
      <w:r>
        <w:rPr/>
        <w:t>at</w:t>
      </w:r>
      <w:r>
        <w:rPr>
          <w:spacing w:val="-7"/>
        </w:rPr>
        <w:t> </w:t>
      </w:r>
      <w:r>
        <w:rPr/>
        <w:t>4</w:t>
      </w:r>
      <w:r>
        <w:rPr>
          <w:spacing w:val="-12"/>
        </w:rPr>
        <w:t> </w:t>
      </w:r>
      <w:r>
        <w:rPr>
          <w:spacing w:val="-3"/>
        </w:rPr>
        <w:t>hpi,</w:t>
      </w:r>
      <w:r>
        <w:rPr>
          <w:spacing w:val="-10"/>
        </w:rPr>
        <w:t> </w:t>
      </w:r>
      <w:r>
        <w:rPr/>
        <w:t>although</w:t>
      </w:r>
      <w:r>
        <w:rPr>
          <w:spacing w:val="-17"/>
        </w:rPr>
        <w:t> </w:t>
      </w:r>
      <w:r>
        <w:rPr/>
        <w:t>the</w:t>
      </w:r>
      <w:r>
        <w:rPr>
          <w:spacing w:val="-9"/>
        </w:rPr>
        <w:t> </w:t>
      </w:r>
      <w:r>
        <w:rPr/>
        <w:t>mRNA</w:t>
      </w:r>
      <w:r>
        <w:rPr>
          <w:spacing w:val="-18"/>
        </w:rPr>
        <w:t> </w:t>
      </w:r>
      <w:r>
        <w:rPr/>
        <w:t>gradually</w:t>
      </w:r>
      <w:r>
        <w:rPr>
          <w:spacing w:val="-22"/>
        </w:rPr>
        <w:t> </w:t>
      </w:r>
      <w:r>
        <w:rPr/>
        <w:t>decreased detecting a significant decreasing between 4 and 8 hpi (</w:t>
      </w:r>
      <w:r>
        <w:rPr>
          <w:i/>
        </w:rPr>
        <w:t>P &lt; </w:t>
      </w:r>
      <w:r>
        <w:rPr/>
        <w:t>0.05</w:t>
      </w:r>
      <w:r>
        <w:rPr>
          <w:i/>
        </w:rPr>
        <w:t>;</w:t>
      </w:r>
      <w:r>
        <w:rPr/>
        <w:t>Figure 2A). Additionally, the IFN-I(α) expression profile registered at 12 hpi significantly decreased </w:t>
      </w:r>
      <w:r>
        <w:rPr>
          <w:spacing w:val="2"/>
        </w:rPr>
        <w:t>to </w:t>
      </w:r>
      <w:r>
        <w:rPr/>
        <w:t>respect </w:t>
      </w:r>
      <w:r>
        <w:rPr>
          <w:spacing w:val="-3"/>
        </w:rPr>
        <w:t>value </w:t>
      </w:r>
      <w:r>
        <w:rPr/>
        <w:t>detected at 8 hpi </w:t>
      </w:r>
      <w:r>
        <w:rPr>
          <w:spacing w:val="4"/>
        </w:rPr>
        <w:t>(</w:t>
      </w:r>
      <w:r>
        <w:rPr>
          <w:i/>
          <w:spacing w:val="4"/>
        </w:rPr>
        <w:t>P </w:t>
      </w:r>
      <w:r>
        <w:rPr>
          <w:i/>
        </w:rPr>
        <w:t>&lt; </w:t>
      </w:r>
      <w:r>
        <w:rPr/>
        <w:t>0.05). However, IFN-I(α) mRNA values observed between 24 </w:t>
      </w:r>
      <w:r>
        <w:rPr>
          <w:spacing w:val="2"/>
        </w:rPr>
        <w:t>to </w:t>
      </w:r>
      <w:r>
        <w:rPr/>
        <w:t>60 hpi were not significant. Interestingly, the down-regulation of interferon expression profile coincided with the VP2-Sp</w:t>
      </w:r>
      <w:r>
        <w:rPr>
          <w:spacing w:val="-18"/>
        </w:rPr>
        <w:t> </w:t>
      </w:r>
      <w:r>
        <w:rPr/>
        <w:t>increase.</w:t>
      </w:r>
    </w:p>
    <w:p>
      <w:pPr>
        <w:pStyle w:val="BodyText"/>
        <w:spacing w:line="357" w:lineRule="auto" w:before="4"/>
        <w:ind w:left="152" w:right="101" w:firstLine="62"/>
        <w:jc w:val="both"/>
      </w:pPr>
      <w:r>
        <w:rPr/>
        <w:t>On the other </w:t>
      </w:r>
      <w:r>
        <w:rPr>
          <w:spacing w:val="-3"/>
        </w:rPr>
        <w:t>hand, </w:t>
      </w:r>
      <w:r>
        <w:rPr/>
        <w:t>the mRNA IFN-I(α) detected at 4 and 8 hpi </w:t>
      </w:r>
      <w:r>
        <w:rPr>
          <w:spacing w:val="-3"/>
        </w:rPr>
        <w:t>in </w:t>
      </w:r>
      <w:r>
        <w:rPr/>
        <w:t>cells infected with VR- 299 virus was significantly lower when was compared </w:t>
      </w:r>
      <w:r>
        <w:rPr>
          <w:spacing w:val="2"/>
        </w:rPr>
        <w:t>to </w:t>
      </w:r>
      <w:r>
        <w:rPr/>
        <w:t>the Sp Virus </w:t>
      </w:r>
      <w:r>
        <w:rPr>
          <w:spacing w:val="5"/>
        </w:rPr>
        <w:t>(</w:t>
      </w:r>
      <w:r>
        <w:rPr>
          <w:i/>
          <w:spacing w:val="5"/>
        </w:rPr>
        <w:t>P </w:t>
      </w:r>
      <w:r>
        <w:rPr>
          <w:i/>
        </w:rPr>
        <w:t>&lt; </w:t>
      </w:r>
      <w:r>
        <w:rPr/>
        <w:t>0.05</w:t>
      </w:r>
      <w:r>
        <w:rPr>
          <w:i/>
          <w:position w:val="9"/>
          <w:sz w:val="16"/>
        </w:rPr>
        <w:t>ab</w:t>
      </w:r>
      <w:r>
        <w:rPr/>
        <w:t>). Additionally,</w:t>
      </w:r>
      <w:r>
        <w:rPr>
          <w:spacing w:val="-5"/>
        </w:rPr>
        <w:t> </w:t>
      </w:r>
      <w:r>
        <w:rPr/>
        <w:t>the</w:t>
      </w:r>
      <w:r>
        <w:rPr>
          <w:spacing w:val="-3"/>
        </w:rPr>
        <w:t> </w:t>
      </w:r>
      <w:r>
        <w:rPr/>
        <w:t>interferon</w:t>
      </w:r>
      <w:r>
        <w:rPr>
          <w:spacing w:val="-12"/>
        </w:rPr>
        <w:t> </w:t>
      </w:r>
      <w:r>
        <w:rPr/>
        <w:t>expression</w:t>
      </w:r>
      <w:r>
        <w:rPr>
          <w:spacing w:val="-7"/>
        </w:rPr>
        <w:t> </w:t>
      </w:r>
      <w:r>
        <w:rPr/>
        <w:t>values</w:t>
      </w:r>
      <w:r>
        <w:rPr>
          <w:spacing w:val="-9"/>
        </w:rPr>
        <w:t> </w:t>
      </w:r>
      <w:r>
        <w:rPr/>
        <w:t>showed</w:t>
      </w:r>
      <w:r>
        <w:rPr>
          <w:spacing w:val="-7"/>
        </w:rPr>
        <w:t> </w:t>
      </w:r>
      <w:r>
        <w:rPr/>
        <w:t>significant</w:t>
      </w:r>
      <w:r>
        <w:rPr>
          <w:spacing w:val="-2"/>
        </w:rPr>
        <w:t> </w:t>
      </w:r>
      <w:r>
        <w:rPr/>
        <w:t>differences</w:t>
      </w:r>
      <w:r>
        <w:rPr>
          <w:spacing w:val="-9"/>
        </w:rPr>
        <w:t> </w:t>
      </w:r>
      <w:r>
        <w:rPr/>
        <w:t>at</w:t>
      </w:r>
      <w:r>
        <w:rPr>
          <w:spacing w:val="-2"/>
        </w:rPr>
        <w:t> </w:t>
      </w:r>
      <w:r>
        <w:rPr/>
        <w:t>8</w:t>
      </w:r>
      <w:r>
        <w:rPr>
          <w:spacing w:val="-7"/>
        </w:rPr>
        <w:t> </w:t>
      </w:r>
      <w:r>
        <w:rPr/>
        <w:t>and</w:t>
      </w:r>
      <w:r>
        <w:rPr>
          <w:spacing w:val="3"/>
        </w:rPr>
        <w:t> </w:t>
      </w:r>
      <w:r>
        <w:rPr/>
        <w:t>12</w:t>
      </w:r>
      <w:r>
        <w:rPr>
          <w:spacing w:val="-2"/>
        </w:rPr>
        <w:t> </w:t>
      </w:r>
      <w:r>
        <w:rPr/>
        <w:t>hpi (</w:t>
      </w:r>
      <w:r>
        <w:rPr>
          <w:i/>
        </w:rPr>
        <w:t>P &lt; </w:t>
      </w:r>
      <w:r>
        <w:rPr/>
        <w:t>0.05</w:t>
      </w:r>
      <w:r>
        <w:rPr>
          <w:i/>
        </w:rPr>
        <w:t>; </w:t>
      </w:r>
      <w:r>
        <w:rPr>
          <w:spacing w:val="-3"/>
        </w:rPr>
        <w:t>Figure </w:t>
      </w:r>
      <w:r>
        <w:rPr/>
        <w:t>2B), and values expression were subsequent irregulars for this case. However, the expression increase of VP2-VR-299 did not show a </w:t>
      </w:r>
      <w:r>
        <w:rPr>
          <w:spacing w:val="-3"/>
        </w:rPr>
        <w:t>clear </w:t>
      </w:r>
      <w:r>
        <w:rPr/>
        <w:t>relationship with the expression of this</w:t>
      </w:r>
      <w:r>
        <w:rPr>
          <w:spacing w:val="-18"/>
        </w:rPr>
        <w:t> </w:t>
      </w:r>
      <w:r>
        <w:rPr/>
        <w:t>cytokine.</w:t>
      </w:r>
    </w:p>
    <w:p>
      <w:pPr>
        <w:pStyle w:val="BodyText"/>
        <w:spacing w:line="357" w:lineRule="auto" w:before="6"/>
        <w:ind w:left="152" w:right="102"/>
        <w:jc w:val="both"/>
      </w:pPr>
      <w:r>
        <w:rPr/>
        <w:t>The STAT-1(α) mRNA </w:t>
      </w:r>
      <w:r>
        <w:rPr>
          <w:spacing w:val="-3"/>
        </w:rPr>
        <w:t>in </w:t>
      </w:r>
      <w:r>
        <w:rPr/>
        <w:t>infected cells with serotype Sp virus showed a kinetic similar expression to the detected by interferon from 4 to 60 hpi (Figure 2C). However, registered values at 4 and 8 hpi were higher compared to the expressed values </w:t>
      </w:r>
      <w:r>
        <w:rPr>
          <w:spacing w:val="-3"/>
        </w:rPr>
        <w:t>in </w:t>
      </w:r>
      <w:r>
        <w:rPr/>
        <w:t>infected cells with serotype</w:t>
      </w:r>
      <w:r>
        <w:rPr>
          <w:spacing w:val="-12"/>
        </w:rPr>
        <w:t> </w:t>
      </w:r>
      <w:r>
        <w:rPr/>
        <w:t>virus</w:t>
      </w:r>
      <w:r>
        <w:rPr>
          <w:spacing w:val="-17"/>
        </w:rPr>
        <w:t> </w:t>
      </w:r>
      <w:r>
        <w:rPr/>
        <w:t>VR-299</w:t>
      </w:r>
      <w:r>
        <w:rPr>
          <w:spacing w:val="-15"/>
        </w:rPr>
        <w:t> </w:t>
      </w:r>
      <w:r>
        <w:rPr/>
        <w:t>(</w:t>
      </w:r>
      <w:r>
        <w:rPr>
          <w:i/>
        </w:rPr>
        <w:t>P</w:t>
      </w:r>
      <w:r>
        <w:rPr>
          <w:i/>
          <w:spacing w:val="-17"/>
        </w:rPr>
        <w:t> </w:t>
      </w:r>
      <w:r>
        <w:rPr/>
        <w:t>&lt;</w:t>
      </w:r>
      <w:r>
        <w:rPr>
          <w:spacing w:val="-16"/>
        </w:rPr>
        <w:t> </w:t>
      </w:r>
      <w:r>
        <w:rPr/>
        <w:t>0.05</w:t>
      </w:r>
      <w:r>
        <w:rPr>
          <w:position w:val="9"/>
          <w:sz w:val="16"/>
        </w:rPr>
        <w:t>ab</w:t>
      </w:r>
      <w:r>
        <w:rPr/>
        <w:t>).</w:t>
      </w:r>
      <w:r>
        <w:rPr>
          <w:spacing w:val="33"/>
        </w:rPr>
        <w:t> </w:t>
      </w:r>
      <w:r>
        <w:rPr/>
        <w:t>Likewise,</w:t>
      </w:r>
      <w:r>
        <w:rPr>
          <w:spacing w:val="-9"/>
        </w:rPr>
        <w:t> </w:t>
      </w:r>
      <w:r>
        <w:rPr/>
        <w:t>mRNA</w:t>
      </w:r>
      <w:r>
        <w:rPr>
          <w:spacing w:val="-20"/>
        </w:rPr>
        <w:t> </w:t>
      </w:r>
      <w:r>
        <w:rPr/>
        <w:t>STAT-1(α)</w:t>
      </w:r>
      <w:r>
        <w:rPr>
          <w:spacing w:val="-9"/>
        </w:rPr>
        <w:t> </w:t>
      </w:r>
      <w:r>
        <w:rPr>
          <w:spacing w:val="-3"/>
        </w:rPr>
        <w:t>in</w:t>
      </w:r>
      <w:r>
        <w:rPr>
          <w:spacing w:val="-15"/>
        </w:rPr>
        <w:t> </w:t>
      </w:r>
      <w:r>
        <w:rPr/>
        <w:t>infected</w:t>
      </w:r>
      <w:r>
        <w:rPr>
          <w:spacing w:val="-15"/>
        </w:rPr>
        <w:t> </w:t>
      </w:r>
      <w:r>
        <w:rPr/>
        <w:t>cells</w:t>
      </w:r>
      <w:r>
        <w:rPr>
          <w:spacing w:val="-17"/>
        </w:rPr>
        <w:t> </w:t>
      </w:r>
      <w:r>
        <w:rPr/>
        <w:t>with</w:t>
      </w:r>
      <w:r>
        <w:rPr>
          <w:spacing w:val="-15"/>
        </w:rPr>
        <w:t> </w:t>
      </w:r>
      <w:r>
        <w:rPr/>
        <w:t>latter serotype</w:t>
      </w:r>
      <w:r>
        <w:rPr>
          <w:spacing w:val="-12"/>
        </w:rPr>
        <w:t> </w:t>
      </w:r>
      <w:r>
        <w:rPr/>
        <w:t>were</w:t>
      </w:r>
      <w:r>
        <w:rPr>
          <w:spacing w:val="-7"/>
        </w:rPr>
        <w:t> </w:t>
      </w:r>
      <w:r>
        <w:rPr/>
        <w:t>higher</w:t>
      </w:r>
      <w:r>
        <w:rPr>
          <w:spacing w:val="-9"/>
        </w:rPr>
        <w:t> </w:t>
      </w:r>
      <w:r>
        <w:rPr/>
        <w:t>at</w:t>
      </w:r>
      <w:r>
        <w:rPr>
          <w:spacing w:val="-7"/>
        </w:rPr>
        <w:t> </w:t>
      </w:r>
      <w:r>
        <w:rPr/>
        <w:t>24</w:t>
      </w:r>
      <w:r>
        <w:rPr>
          <w:spacing w:val="-15"/>
        </w:rPr>
        <w:t> </w:t>
      </w:r>
      <w:r>
        <w:rPr/>
        <w:t>and</w:t>
      </w:r>
      <w:r>
        <w:rPr>
          <w:spacing w:val="-11"/>
        </w:rPr>
        <w:t> </w:t>
      </w:r>
      <w:r>
        <w:rPr/>
        <w:t>60</w:t>
      </w:r>
      <w:r>
        <w:rPr>
          <w:spacing w:val="-11"/>
        </w:rPr>
        <w:t> </w:t>
      </w:r>
      <w:r>
        <w:rPr/>
        <w:t>hpi</w:t>
      </w:r>
      <w:r>
        <w:rPr>
          <w:spacing w:val="-17"/>
        </w:rPr>
        <w:t> </w:t>
      </w:r>
      <w:r>
        <w:rPr/>
        <w:t>when</w:t>
      </w:r>
      <w:r>
        <w:rPr>
          <w:spacing w:val="-15"/>
        </w:rPr>
        <w:t> </w:t>
      </w:r>
      <w:r>
        <w:rPr/>
        <w:t>was</w:t>
      </w:r>
      <w:r>
        <w:rPr>
          <w:spacing w:val="-13"/>
        </w:rPr>
        <w:t> </w:t>
      </w:r>
      <w:r>
        <w:rPr/>
        <w:t>compared</w:t>
      </w:r>
      <w:r>
        <w:rPr>
          <w:spacing w:val="-11"/>
        </w:rPr>
        <w:t> </w:t>
      </w:r>
      <w:r>
        <w:rPr/>
        <w:t>with</w:t>
      </w:r>
      <w:r>
        <w:rPr>
          <w:spacing w:val="-15"/>
        </w:rPr>
        <w:t> </w:t>
      </w:r>
      <w:r>
        <w:rPr/>
        <w:t>serotype</w:t>
      </w:r>
      <w:r>
        <w:rPr>
          <w:spacing w:val="-12"/>
        </w:rPr>
        <w:t> </w:t>
      </w:r>
      <w:r>
        <w:rPr/>
        <w:t>Sp</w:t>
      </w:r>
      <w:r>
        <w:rPr>
          <w:spacing w:val="-11"/>
        </w:rPr>
        <w:t> </w:t>
      </w:r>
      <w:r>
        <w:rPr/>
        <w:t>virus.</w:t>
      </w:r>
      <w:r>
        <w:rPr>
          <w:spacing w:val="-9"/>
        </w:rPr>
        <w:t> </w:t>
      </w:r>
      <w:r>
        <w:rPr/>
        <w:t>Moreover, STAT-1(α) mRNA showed a kinetic similar expression to the registered by IFN-I(</w:t>
      </w:r>
      <w:r>
        <w:rPr>
          <w:i/>
        </w:rPr>
        <w:t>α</w:t>
      </w:r>
      <w:r>
        <w:rPr/>
        <w:t>), showing increase and decrease </w:t>
      </w:r>
      <w:r>
        <w:rPr>
          <w:spacing w:val="-3"/>
        </w:rPr>
        <w:t>in </w:t>
      </w:r>
      <w:r>
        <w:rPr/>
        <w:t>the same time points </w:t>
      </w:r>
      <w:r>
        <w:rPr>
          <w:spacing w:val="3"/>
        </w:rPr>
        <w:t>(</w:t>
      </w:r>
      <w:r>
        <w:rPr>
          <w:i/>
          <w:spacing w:val="3"/>
        </w:rPr>
        <w:t>r </w:t>
      </w:r>
      <w:r>
        <w:rPr/>
        <w:t>= 0.85, p &lt;</w:t>
      </w:r>
      <w:r>
        <w:rPr>
          <w:spacing w:val="-20"/>
        </w:rPr>
        <w:t> </w:t>
      </w:r>
      <w:r>
        <w:rPr/>
        <w:t>0.0001).</w:t>
      </w:r>
    </w:p>
    <w:p>
      <w:pPr>
        <w:pStyle w:val="BodyText"/>
        <w:spacing w:line="360" w:lineRule="auto" w:before="7"/>
        <w:ind w:left="152" w:right="107"/>
        <w:jc w:val="both"/>
      </w:pPr>
      <w:r>
        <w:rPr/>
        <w:t>According to Mx-1 </w:t>
      </w:r>
      <w:r>
        <w:rPr>
          <w:spacing w:val="-3"/>
        </w:rPr>
        <w:t>mRNA, </w:t>
      </w:r>
      <w:r>
        <w:rPr/>
        <w:t>a rapid expression was obtained at 4 hpi </w:t>
      </w:r>
      <w:r>
        <w:rPr>
          <w:spacing w:val="-3"/>
        </w:rPr>
        <w:t>in </w:t>
      </w:r>
      <w:r>
        <w:rPr/>
        <w:t>infected cells with serotype Sp virus, although a significant expression decrease at 8, 12 and 36 hpi was found (</w:t>
      </w:r>
      <w:r>
        <w:rPr>
          <w:i/>
        </w:rPr>
        <w:t>P</w:t>
      </w:r>
      <w:r>
        <w:rPr>
          <w:i/>
          <w:spacing w:val="-5"/>
        </w:rPr>
        <w:t> </w:t>
      </w:r>
      <w:r>
        <w:rPr/>
        <w:t>&lt;</w:t>
      </w:r>
      <w:r>
        <w:rPr>
          <w:spacing w:val="-3"/>
        </w:rPr>
        <w:t> </w:t>
      </w:r>
      <w:r>
        <w:rPr/>
        <w:t>0.05;</w:t>
      </w:r>
      <w:r>
        <w:rPr>
          <w:spacing w:val="-7"/>
        </w:rPr>
        <w:t> </w:t>
      </w:r>
      <w:r>
        <w:rPr/>
        <w:t>Figure</w:t>
      </w:r>
      <w:r>
        <w:rPr>
          <w:spacing w:val="-1"/>
        </w:rPr>
        <w:t> </w:t>
      </w:r>
      <w:r>
        <w:rPr/>
        <w:t>2E).</w:t>
      </w:r>
      <w:r>
        <w:rPr>
          <w:spacing w:val="-5"/>
        </w:rPr>
        <w:t> </w:t>
      </w:r>
      <w:r>
        <w:rPr/>
        <w:t>Contrary,</w:t>
      </w:r>
      <w:r>
        <w:rPr>
          <w:spacing w:val="-5"/>
        </w:rPr>
        <w:t> </w:t>
      </w:r>
      <w:r>
        <w:rPr/>
        <w:t>the</w:t>
      </w:r>
      <w:r>
        <w:rPr>
          <w:spacing w:val="-3"/>
        </w:rPr>
        <w:t> </w:t>
      </w:r>
      <w:r>
        <w:rPr/>
        <w:t>Mx-1</w:t>
      </w:r>
      <w:r>
        <w:rPr>
          <w:spacing w:val="-2"/>
        </w:rPr>
        <w:t> </w:t>
      </w:r>
      <w:r>
        <w:rPr/>
        <w:t>transcript</w:t>
      </w:r>
      <w:r>
        <w:rPr>
          <w:spacing w:val="-2"/>
        </w:rPr>
        <w:t> </w:t>
      </w:r>
      <w:r>
        <w:rPr/>
        <w:t>expressed</w:t>
      </w:r>
      <w:r>
        <w:rPr>
          <w:spacing w:val="-2"/>
        </w:rPr>
        <w:t> </w:t>
      </w:r>
      <w:r>
        <w:rPr/>
        <w:t>at</w:t>
      </w:r>
      <w:r>
        <w:rPr>
          <w:spacing w:val="2"/>
        </w:rPr>
        <w:t> </w:t>
      </w:r>
      <w:r>
        <w:rPr/>
        <w:t>4</w:t>
      </w:r>
      <w:r>
        <w:rPr>
          <w:spacing w:val="-7"/>
        </w:rPr>
        <w:t> </w:t>
      </w:r>
      <w:r>
        <w:rPr/>
        <w:t>hpi</w:t>
      </w:r>
      <w:r>
        <w:rPr>
          <w:spacing w:val="-7"/>
        </w:rPr>
        <w:t> </w:t>
      </w:r>
      <w:r>
        <w:rPr>
          <w:spacing w:val="-3"/>
        </w:rPr>
        <w:t>in</w:t>
      </w:r>
      <w:r>
        <w:rPr>
          <w:spacing w:val="-2"/>
        </w:rPr>
        <w:t> </w:t>
      </w:r>
      <w:r>
        <w:rPr/>
        <w:t>infected</w:t>
      </w:r>
      <w:r>
        <w:rPr>
          <w:spacing w:val="-2"/>
        </w:rPr>
        <w:t> </w:t>
      </w:r>
      <w:r>
        <w:rPr/>
        <w:t>cells</w:t>
      </w:r>
      <w:r>
        <w:rPr>
          <w:spacing w:val="-4"/>
        </w:rPr>
        <w:t> </w:t>
      </w:r>
      <w:r>
        <w:rPr/>
        <w:t>with</w:t>
      </w:r>
    </w:p>
    <w:p>
      <w:pPr>
        <w:spacing w:after="0" w:line="360" w:lineRule="auto"/>
        <w:jc w:val="both"/>
        <w:sectPr>
          <w:pgSz w:w="12240" w:h="15840"/>
          <w:pgMar w:header="0" w:footer="1322" w:top="1500" w:bottom="1580" w:left="1720" w:right="1420"/>
        </w:sectPr>
      </w:pPr>
    </w:p>
    <w:p>
      <w:pPr>
        <w:pStyle w:val="BodyText"/>
        <w:spacing w:before="7"/>
        <w:rPr>
          <w:sz w:val="25"/>
        </w:rPr>
      </w:pPr>
    </w:p>
    <w:p>
      <w:pPr>
        <w:pStyle w:val="BodyText"/>
        <w:spacing w:line="360" w:lineRule="auto" w:before="70"/>
        <w:ind w:left="152" w:right="103"/>
        <w:jc w:val="both"/>
      </w:pPr>
      <w:r>
        <w:rPr/>
        <w:t>serotype VR-299 virus was lower, when was compared with obtained value in infected cells with serotype Sp virus. In addition, Mx-1 expression values (Figure 2F) were similar to the observed in the infected cells with serotype Sp virus in other time-points coinciding with an increase of viral replication.</w:t>
      </w:r>
    </w:p>
    <w:p>
      <w:pPr>
        <w:pStyle w:val="BodyText"/>
        <w:spacing w:line="357" w:lineRule="auto" w:before="4"/>
        <w:ind w:left="152" w:right="107" w:firstLine="705"/>
        <w:jc w:val="both"/>
      </w:pPr>
      <w:r>
        <w:rPr>
          <w:i/>
        </w:rPr>
        <w:t>Y701-STAT1(α/β) phosphorylation expressed in infected RTG-2 cells </w:t>
      </w:r>
      <w:r>
        <w:rPr>
          <w:i/>
          <w:spacing w:val="-3"/>
        </w:rPr>
        <w:t>with </w:t>
      </w:r>
      <w:r>
        <w:rPr>
          <w:i/>
        </w:rPr>
        <w:t>IPNV. − </w:t>
      </w:r>
      <w:r>
        <w:rPr/>
        <w:t>STAT1 (α/β) activation was induced </w:t>
      </w:r>
      <w:r>
        <w:rPr>
          <w:spacing w:val="-3"/>
        </w:rPr>
        <w:t>in </w:t>
      </w:r>
      <w:r>
        <w:rPr/>
        <w:t>infected cells with both IPNV serotypes </w:t>
      </w:r>
      <w:r>
        <w:rPr>
          <w:spacing w:val="-3"/>
        </w:rPr>
        <w:t>in </w:t>
      </w:r>
      <w:r>
        <w:rPr/>
        <w:t>early infection</w:t>
      </w:r>
      <w:r>
        <w:rPr>
          <w:spacing w:val="-14"/>
        </w:rPr>
        <w:t> </w:t>
      </w:r>
      <w:r>
        <w:rPr/>
        <w:t>stage.</w:t>
      </w:r>
      <w:r>
        <w:rPr>
          <w:spacing w:val="-9"/>
        </w:rPr>
        <w:t> </w:t>
      </w:r>
      <w:r>
        <w:rPr/>
        <w:t>However,</w:t>
      </w:r>
      <w:r>
        <w:rPr>
          <w:spacing w:val="-9"/>
        </w:rPr>
        <w:t> </w:t>
      </w:r>
      <w:r>
        <w:rPr>
          <w:spacing w:val="-3"/>
        </w:rPr>
        <w:t>in</w:t>
      </w:r>
      <w:r>
        <w:rPr>
          <w:spacing w:val="-14"/>
        </w:rPr>
        <w:t> </w:t>
      </w:r>
      <w:r>
        <w:rPr/>
        <w:t>cells</w:t>
      </w:r>
      <w:r>
        <w:rPr>
          <w:spacing w:val="-3"/>
        </w:rPr>
        <w:t> </w:t>
      </w:r>
      <w:r>
        <w:rPr/>
        <w:t>infected</w:t>
      </w:r>
      <w:r>
        <w:rPr>
          <w:spacing w:val="-11"/>
        </w:rPr>
        <w:t> </w:t>
      </w:r>
      <w:r>
        <w:rPr/>
        <w:t>with</w:t>
      </w:r>
      <w:r>
        <w:rPr>
          <w:spacing w:val="-14"/>
        </w:rPr>
        <w:t> </w:t>
      </w:r>
      <w:r>
        <w:rPr/>
        <w:t>serotype</w:t>
      </w:r>
      <w:r>
        <w:rPr>
          <w:spacing w:val="-11"/>
        </w:rPr>
        <w:t> </w:t>
      </w:r>
      <w:r>
        <w:rPr/>
        <w:t>Sp</w:t>
      </w:r>
      <w:r>
        <w:rPr>
          <w:spacing w:val="-6"/>
        </w:rPr>
        <w:t> </w:t>
      </w:r>
      <w:r>
        <w:rPr/>
        <w:t>virus</w:t>
      </w:r>
      <w:r>
        <w:rPr>
          <w:spacing w:val="-12"/>
        </w:rPr>
        <w:t> </w:t>
      </w:r>
      <w:r>
        <w:rPr/>
        <w:t>the</w:t>
      </w:r>
      <w:r>
        <w:rPr>
          <w:spacing w:val="-11"/>
        </w:rPr>
        <w:t> </w:t>
      </w:r>
      <w:r>
        <w:rPr/>
        <w:t>activation</w:t>
      </w:r>
      <w:r>
        <w:rPr>
          <w:spacing w:val="-11"/>
        </w:rPr>
        <w:t> </w:t>
      </w:r>
      <w:r>
        <w:rPr/>
        <w:t>level</w:t>
      </w:r>
      <w:r>
        <w:rPr>
          <w:spacing w:val="-14"/>
        </w:rPr>
        <w:t> </w:t>
      </w:r>
      <w:r>
        <w:rPr/>
        <w:t>showed a</w:t>
      </w:r>
      <w:r>
        <w:rPr>
          <w:spacing w:val="-7"/>
        </w:rPr>
        <w:t> </w:t>
      </w:r>
      <w:r>
        <w:rPr/>
        <w:t>significant</w:t>
      </w:r>
      <w:r>
        <w:rPr>
          <w:spacing w:val="3"/>
        </w:rPr>
        <w:t> </w:t>
      </w:r>
      <w:r>
        <w:rPr/>
        <w:t>increase</w:t>
      </w:r>
      <w:r>
        <w:rPr>
          <w:spacing w:val="-7"/>
        </w:rPr>
        <w:t> </w:t>
      </w:r>
      <w:r>
        <w:rPr/>
        <w:t>at</w:t>
      </w:r>
      <w:r>
        <w:rPr>
          <w:spacing w:val="-1"/>
        </w:rPr>
        <w:t> </w:t>
      </w:r>
      <w:r>
        <w:rPr/>
        <w:t>4,</w:t>
      </w:r>
      <w:r>
        <w:rPr>
          <w:spacing w:val="-4"/>
        </w:rPr>
        <w:t> </w:t>
      </w:r>
      <w:r>
        <w:rPr/>
        <w:t>8,</w:t>
      </w:r>
      <w:r>
        <w:rPr>
          <w:spacing w:val="-4"/>
        </w:rPr>
        <w:t> </w:t>
      </w:r>
      <w:r>
        <w:rPr/>
        <w:t>12</w:t>
      </w:r>
      <w:r>
        <w:rPr>
          <w:spacing w:val="-6"/>
        </w:rPr>
        <w:t> </w:t>
      </w:r>
      <w:r>
        <w:rPr/>
        <w:t>y</w:t>
      </w:r>
      <w:r>
        <w:rPr>
          <w:spacing w:val="-15"/>
        </w:rPr>
        <w:t> </w:t>
      </w:r>
      <w:r>
        <w:rPr/>
        <w:t>24</w:t>
      </w:r>
      <w:r>
        <w:rPr>
          <w:spacing w:val="-1"/>
        </w:rPr>
        <w:t> </w:t>
      </w:r>
      <w:r>
        <w:rPr/>
        <w:t>hpi</w:t>
      </w:r>
      <w:r>
        <w:rPr>
          <w:spacing w:val="-10"/>
        </w:rPr>
        <w:t> </w:t>
      </w:r>
      <w:r>
        <w:rPr/>
        <w:t>(Figure</w:t>
      </w:r>
      <w:r>
        <w:rPr>
          <w:spacing w:val="-7"/>
        </w:rPr>
        <w:t> </w:t>
      </w:r>
      <w:r>
        <w:rPr/>
        <w:t>3A)</w:t>
      </w:r>
      <w:r>
        <w:rPr>
          <w:spacing w:val="-4"/>
        </w:rPr>
        <w:t> </w:t>
      </w:r>
      <w:r>
        <w:rPr/>
        <w:t>compared</w:t>
      </w:r>
      <w:r>
        <w:rPr>
          <w:spacing w:val="-6"/>
        </w:rPr>
        <w:t> </w:t>
      </w:r>
      <w:r>
        <w:rPr>
          <w:spacing w:val="2"/>
        </w:rPr>
        <w:t>to</w:t>
      </w:r>
      <w:r>
        <w:rPr>
          <w:spacing w:val="-1"/>
        </w:rPr>
        <w:t> </w:t>
      </w:r>
      <w:r>
        <w:rPr/>
        <w:t>activation</w:t>
      </w:r>
      <w:r>
        <w:rPr>
          <w:spacing w:val="-6"/>
        </w:rPr>
        <w:t> </w:t>
      </w:r>
      <w:r>
        <w:rPr/>
        <w:t>level</w:t>
      </w:r>
      <w:r>
        <w:rPr>
          <w:spacing w:val="-1"/>
        </w:rPr>
        <w:t> </w:t>
      </w:r>
      <w:r>
        <w:rPr/>
        <w:t>registered </w:t>
      </w:r>
      <w:r>
        <w:rPr>
          <w:spacing w:val="-3"/>
        </w:rPr>
        <w:t>in </w:t>
      </w:r>
      <w:r>
        <w:rPr/>
        <w:t>infected cells with serotype VR-299 virus (</w:t>
      </w:r>
      <w:r>
        <w:rPr>
          <w:i/>
        </w:rPr>
        <w:t>P &lt; 0.05</w:t>
      </w:r>
      <w:r>
        <w:rPr>
          <w:i/>
          <w:position w:val="9"/>
          <w:sz w:val="16"/>
        </w:rPr>
        <w:t>ab</w:t>
      </w:r>
      <w:r>
        <w:rPr/>
        <w:t>). Further, the </w:t>
      </w:r>
      <w:r>
        <w:rPr>
          <w:i/>
        </w:rPr>
        <w:t>Y701-STAT1(α/β) </w:t>
      </w:r>
      <w:r>
        <w:rPr/>
        <w:t>activation </w:t>
      </w:r>
      <w:r>
        <w:rPr>
          <w:spacing w:val="-3"/>
        </w:rPr>
        <w:t>in </w:t>
      </w:r>
      <w:r>
        <w:rPr/>
        <w:t>infected cell with serotype Sp virus was increasing from zero minutes (0 </w:t>
      </w:r>
      <w:r>
        <w:rPr>
          <w:spacing w:val="-3"/>
        </w:rPr>
        <w:t>hpi) </w:t>
      </w:r>
      <w:r>
        <w:rPr/>
        <w:t>until</w:t>
      </w:r>
      <w:r>
        <w:rPr>
          <w:spacing w:val="-15"/>
        </w:rPr>
        <w:t> </w:t>
      </w:r>
      <w:r>
        <w:rPr/>
        <w:t>12</w:t>
      </w:r>
      <w:r>
        <w:rPr>
          <w:spacing w:val="-6"/>
        </w:rPr>
        <w:t> </w:t>
      </w:r>
      <w:r>
        <w:rPr>
          <w:spacing w:val="-3"/>
        </w:rPr>
        <w:t>hpi,</w:t>
      </w:r>
      <w:r>
        <w:rPr>
          <w:spacing w:val="-4"/>
        </w:rPr>
        <w:t> </w:t>
      </w:r>
      <w:r>
        <w:rPr/>
        <w:t>showing</w:t>
      </w:r>
      <w:r>
        <w:rPr>
          <w:spacing w:val="49"/>
        </w:rPr>
        <w:t> </w:t>
      </w:r>
      <w:r>
        <w:rPr/>
        <w:t>a</w:t>
      </w:r>
      <w:r>
        <w:rPr>
          <w:spacing w:val="-7"/>
        </w:rPr>
        <w:t> </w:t>
      </w:r>
      <w:r>
        <w:rPr/>
        <w:t>significant</w:t>
      </w:r>
      <w:r>
        <w:rPr>
          <w:spacing w:val="-1"/>
        </w:rPr>
        <w:t> </w:t>
      </w:r>
      <w:r>
        <w:rPr/>
        <w:t>phosphorylation</w:t>
      </w:r>
      <w:r>
        <w:rPr>
          <w:spacing w:val="-11"/>
        </w:rPr>
        <w:t> </w:t>
      </w:r>
      <w:r>
        <w:rPr/>
        <w:t>peaks</w:t>
      </w:r>
      <w:r>
        <w:rPr>
          <w:spacing w:val="-8"/>
        </w:rPr>
        <w:t> </w:t>
      </w:r>
      <w:r>
        <w:rPr/>
        <w:t>at</w:t>
      </w:r>
      <w:r>
        <w:rPr>
          <w:spacing w:val="-5"/>
        </w:rPr>
        <w:t> </w:t>
      </w:r>
      <w:r>
        <w:rPr/>
        <w:t>12 and</w:t>
      </w:r>
      <w:r>
        <w:rPr>
          <w:spacing w:val="-6"/>
        </w:rPr>
        <w:t> </w:t>
      </w:r>
      <w:r>
        <w:rPr/>
        <w:t>24</w:t>
      </w:r>
      <w:r>
        <w:rPr>
          <w:spacing w:val="-11"/>
        </w:rPr>
        <w:t> </w:t>
      </w:r>
      <w:r>
        <w:rPr/>
        <w:t>hpi</w:t>
      </w:r>
      <w:r>
        <w:rPr>
          <w:spacing w:val="-15"/>
        </w:rPr>
        <w:t> </w:t>
      </w:r>
      <w:r>
        <w:rPr/>
        <w:t>(2.7</w:t>
      </w:r>
      <w:r>
        <w:rPr>
          <w:spacing w:val="-6"/>
        </w:rPr>
        <w:t> </w:t>
      </w:r>
      <w:r>
        <w:rPr/>
        <w:t>and</w:t>
      </w:r>
      <w:r>
        <w:rPr>
          <w:spacing w:val="-6"/>
        </w:rPr>
        <w:t> </w:t>
      </w:r>
      <w:r>
        <w:rPr/>
        <w:t>1.36</w:t>
      </w:r>
      <w:r>
        <w:rPr>
          <w:spacing w:val="-6"/>
        </w:rPr>
        <w:t> </w:t>
      </w:r>
      <w:r>
        <w:rPr>
          <w:spacing w:val="-4"/>
        </w:rPr>
        <w:t>fold </w:t>
      </w:r>
      <w:r>
        <w:rPr/>
        <w:t>respectively) compared to control group </w:t>
      </w:r>
      <w:r>
        <w:rPr>
          <w:spacing w:val="3"/>
        </w:rPr>
        <w:t>(P </w:t>
      </w:r>
      <w:r>
        <w:rPr/>
        <w:t>&lt; 0.05). However, contrary, the level phosphorylation revealed </w:t>
      </w:r>
      <w:r>
        <w:rPr>
          <w:spacing w:val="-3"/>
        </w:rPr>
        <w:t>in </w:t>
      </w:r>
      <w:r>
        <w:rPr/>
        <w:t>infected cell with serotype VR-299 virus did not show a significant difference </w:t>
      </w:r>
      <w:r>
        <w:rPr>
          <w:spacing w:val="-3"/>
        </w:rPr>
        <w:t>in </w:t>
      </w:r>
      <w:r>
        <w:rPr/>
        <w:t>the same time-points (P &gt; 0.05; Figure 3B), however, the phosphorylation peaks were at 12 and 24 hpi also (~ 0.175 </w:t>
      </w:r>
      <w:r>
        <w:rPr>
          <w:spacing w:val="-4"/>
        </w:rPr>
        <w:t>fold </w:t>
      </w:r>
      <w:r>
        <w:rPr>
          <w:spacing w:val="-3"/>
        </w:rPr>
        <w:t>in </w:t>
      </w:r>
      <w:r>
        <w:rPr/>
        <w:t>each time point), but the values were</w:t>
      </w:r>
      <w:r>
        <w:rPr>
          <w:spacing w:val="-7"/>
        </w:rPr>
        <w:t> </w:t>
      </w:r>
      <w:r>
        <w:rPr/>
        <w:t>lower.</w:t>
      </w:r>
    </w:p>
    <w:p>
      <w:pPr>
        <w:pStyle w:val="BodyText"/>
      </w:pPr>
    </w:p>
    <w:p>
      <w:pPr>
        <w:pStyle w:val="Heading1"/>
        <w:spacing w:before="153"/>
        <w:jc w:val="both"/>
      </w:pPr>
      <w:r>
        <w:rPr/>
        <w:t>DISCUSSION</w:t>
      </w:r>
    </w:p>
    <w:p>
      <w:pPr>
        <w:pStyle w:val="BodyText"/>
        <w:spacing w:line="360" w:lineRule="auto" w:before="132"/>
        <w:ind w:left="152" w:right="103" w:firstLine="916"/>
        <w:jc w:val="both"/>
      </w:pPr>
      <w:r>
        <w:rPr/>
        <w:t>The</w:t>
      </w:r>
      <w:r>
        <w:rPr>
          <w:spacing w:val="-14"/>
        </w:rPr>
        <w:t> </w:t>
      </w:r>
      <w:r>
        <w:rPr/>
        <w:t>IPNV</w:t>
      </w:r>
      <w:r>
        <w:rPr>
          <w:spacing w:val="-9"/>
        </w:rPr>
        <w:t> </w:t>
      </w:r>
      <w:r>
        <w:rPr/>
        <w:t>infection</w:t>
      </w:r>
      <w:r>
        <w:rPr>
          <w:spacing w:val="-10"/>
        </w:rPr>
        <w:t> </w:t>
      </w:r>
      <w:r>
        <w:rPr/>
        <w:t>induces</w:t>
      </w:r>
      <w:r>
        <w:rPr>
          <w:spacing w:val="-15"/>
        </w:rPr>
        <w:t> </w:t>
      </w:r>
      <w:r>
        <w:rPr/>
        <w:t>the</w:t>
      </w:r>
      <w:r>
        <w:rPr>
          <w:spacing w:val="-14"/>
        </w:rPr>
        <w:t> </w:t>
      </w:r>
      <w:r>
        <w:rPr/>
        <w:t>synthesis</w:t>
      </w:r>
      <w:r>
        <w:rPr>
          <w:spacing w:val="-15"/>
        </w:rPr>
        <w:t> </w:t>
      </w:r>
      <w:r>
        <w:rPr>
          <w:spacing w:val="4"/>
        </w:rPr>
        <w:t>of</w:t>
      </w:r>
      <w:r>
        <w:rPr>
          <w:spacing w:val="-20"/>
        </w:rPr>
        <w:t> </w:t>
      </w:r>
      <w:r>
        <w:rPr/>
        <w:t>genes</w:t>
      </w:r>
      <w:r>
        <w:rPr>
          <w:spacing w:val="-10"/>
        </w:rPr>
        <w:t> </w:t>
      </w:r>
      <w:r>
        <w:rPr/>
        <w:t>involved</w:t>
      </w:r>
      <w:r>
        <w:rPr>
          <w:spacing w:val="-8"/>
        </w:rPr>
        <w:t> </w:t>
      </w:r>
      <w:r>
        <w:rPr>
          <w:spacing w:val="-3"/>
        </w:rPr>
        <w:t>in</w:t>
      </w:r>
      <w:r>
        <w:rPr>
          <w:spacing w:val="-13"/>
        </w:rPr>
        <w:t> </w:t>
      </w:r>
      <w:r>
        <w:rPr/>
        <w:t>nonspecific</w:t>
      </w:r>
      <w:r>
        <w:rPr>
          <w:spacing w:val="-9"/>
        </w:rPr>
        <w:t> </w:t>
      </w:r>
      <w:r>
        <w:rPr/>
        <w:t>immune response (Robertsen 2008). Although, the relationship between the response level and the virus strain virulence </w:t>
      </w:r>
      <w:r>
        <w:rPr>
          <w:spacing w:val="-5"/>
        </w:rPr>
        <w:t>is </w:t>
      </w:r>
      <w:r>
        <w:rPr/>
        <w:t>not clear. In the present study, we evaluated two IPNV serotypes </w:t>
      </w:r>
      <w:r>
        <w:rPr>
          <w:spacing w:val="2"/>
        </w:rPr>
        <w:t>to </w:t>
      </w:r>
      <w:r>
        <w:rPr/>
        <w:t>know </w:t>
      </w:r>
      <w:r>
        <w:rPr>
          <w:spacing w:val="-3"/>
        </w:rPr>
        <w:t>if </w:t>
      </w:r>
      <w:r>
        <w:rPr/>
        <w:t>the infectivity level </w:t>
      </w:r>
      <w:r>
        <w:rPr>
          <w:spacing w:val="4"/>
        </w:rPr>
        <w:t>of </w:t>
      </w:r>
      <w:r>
        <w:rPr/>
        <w:t>the strains affect the signaling pathway of type I interferon alpha (IFN-I(α)) </w:t>
      </w:r>
      <w:r>
        <w:rPr>
          <w:spacing w:val="-3"/>
        </w:rPr>
        <w:t>in </w:t>
      </w:r>
      <w:r>
        <w:rPr/>
        <w:t>RTG-2 cells. The experiment which evaluate the viral replication, indicates higher virulence of the Sp virus (Wolf 1988; Dobos 1995), which involved the Sp strains </w:t>
      </w:r>
      <w:r>
        <w:rPr>
          <w:spacing w:val="-3"/>
        </w:rPr>
        <w:t>in </w:t>
      </w:r>
      <w:r>
        <w:rPr/>
        <w:t>cases of high mortality rates or severe clinical pictures (Santi et </w:t>
      </w:r>
      <w:r>
        <w:rPr>
          <w:spacing w:val="-4"/>
        </w:rPr>
        <w:t>al. </w:t>
      </w:r>
      <w:r>
        <w:rPr/>
        <w:t>2004; Santi et </w:t>
      </w:r>
      <w:r>
        <w:rPr>
          <w:spacing w:val="-3"/>
        </w:rPr>
        <w:t>al.</w:t>
      </w:r>
      <w:r>
        <w:rPr>
          <w:spacing w:val="-8"/>
        </w:rPr>
        <w:t> </w:t>
      </w:r>
      <w:r>
        <w:rPr/>
        <w:t>2005).</w:t>
      </w:r>
      <w:r>
        <w:rPr>
          <w:spacing w:val="-12"/>
        </w:rPr>
        <w:t> </w:t>
      </w:r>
      <w:r>
        <w:rPr/>
        <w:t>Sano</w:t>
      </w:r>
      <w:r>
        <w:rPr>
          <w:spacing w:val="-6"/>
        </w:rPr>
        <w:t> </w:t>
      </w:r>
      <w:r>
        <w:rPr>
          <w:spacing w:val="-3"/>
        </w:rPr>
        <w:t>et</w:t>
      </w:r>
      <w:r>
        <w:rPr>
          <w:spacing w:val="-9"/>
        </w:rPr>
        <w:t> </w:t>
      </w:r>
      <w:r>
        <w:rPr>
          <w:spacing w:val="-4"/>
        </w:rPr>
        <w:t>al.</w:t>
      </w:r>
      <w:r>
        <w:rPr>
          <w:spacing w:val="-8"/>
        </w:rPr>
        <w:t> </w:t>
      </w:r>
      <w:r>
        <w:rPr/>
        <w:t>(1992),</w:t>
      </w:r>
      <w:r>
        <w:rPr>
          <w:spacing w:val="-17"/>
        </w:rPr>
        <w:t> </w:t>
      </w:r>
      <w:r>
        <w:rPr/>
        <w:t>related</w:t>
      </w:r>
      <w:r>
        <w:rPr>
          <w:spacing w:val="-14"/>
        </w:rPr>
        <w:t> </w:t>
      </w:r>
      <w:r>
        <w:rPr/>
        <w:t>to</w:t>
      </w:r>
      <w:r>
        <w:rPr>
          <w:spacing w:val="-14"/>
        </w:rPr>
        <w:t> </w:t>
      </w:r>
      <w:r>
        <w:rPr/>
        <w:t>the</w:t>
      </w:r>
      <w:r>
        <w:rPr>
          <w:spacing w:val="-11"/>
        </w:rPr>
        <w:t> </w:t>
      </w:r>
      <w:r>
        <w:rPr/>
        <w:t>IPNV</w:t>
      </w:r>
      <w:r>
        <w:rPr>
          <w:spacing w:val="-11"/>
        </w:rPr>
        <w:t> </w:t>
      </w:r>
      <w:r>
        <w:rPr/>
        <w:t>virulence</w:t>
      </w:r>
      <w:r>
        <w:rPr>
          <w:spacing w:val="-11"/>
        </w:rPr>
        <w:t> </w:t>
      </w:r>
      <w:r>
        <w:rPr/>
        <w:t>with</w:t>
      </w:r>
      <w:r>
        <w:rPr>
          <w:spacing w:val="-14"/>
        </w:rPr>
        <w:t> </w:t>
      </w:r>
      <w:r>
        <w:rPr/>
        <w:t>segment</w:t>
      </w:r>
      <w:r>
        <w:rPr>
          <w:spacing w:val="-6"/>
        </w:rPr>
        <w:t> </w:t>
      </w:r>
      <w:r>
        <w:rPr>
          <w:spacing w:val="-3"/>
        </w:rPr>
        <w:t>A,</w:t>
      </w:r>
      <w:r>
        <w:rPr>
          <w:spacing w:val="-8"/>
        </w:rPr>
        <w:t> </w:t>
      </w:r>
      <w:r>
        <w:rPr/>
        <w:t>although</w:t>
      </w:r>
      <w:r>
        <w:rPr>
          <w:spacing w:val="-14"/>
        </w:rPr>
        <w:t> </w:t>
      </w:r>
      <w:r>
        <w:rPr/>
        <w:t>recently was</w:t>
      </w:r>
      <w:r>
        <w:rPr>
          <w:spacing w:val="-11"/>
        </w:rPr>
        <w:t> </w:t>
      </w:r>
      <w:r>
        <w:rPr/>
        <w:t>associated</w:t>
      </w:r>
      <w:r>
        <w:rPr>
          <w:spacing w:val="-9"/>
        </w:rPr>
        <w:t> </w:t>
      </w:r>
      <w:r>
        <w:rPr/>
        <w:t>to</w:t>
      </w:r>
      <w:r>
        <w:rPr>
          <w:spacing w:val="-13"/>
        </w:rPr>
        <w:t> </w:t>
      </w:r>
      <w:r>
        <w:rPr/>
        <w:t>the</w:t>
      </w:r>
      <w:r>
        <w:rPr>
          <w:spacing w:val="-10"/>
        </w:rPr>
        <w:t> </w:t>
      </w:r>
      <w:r>
        <w:rPr/>
        <w:t>residues</w:t>
      </w:r>
      <w:r>
        <w:rPr>
          <w:spacing w:val="-11"/>
        </w:rPr>
        <w:t> </w:t>
      </w:r>
      <w:r>
        <w:rPr/>
        <w:t>217</w:t>
      </w:r>
      <w:r>
        <w:rPr>
          <w:spacing w:val="-9"/>
        </w:rPr>
        <w:t> </w:t>
      </w:r>
      <w:r>
        <w:rPr/>
        <w:t>and</w:t>
      </w:r>
      <w:r>
        <w:rPr>
          <w:spacing w:val="-9"/>
        </w:rPr>
        <w:t> </w:t>
      </w:r>
      <w:r>
        <w:rPr/>
        <w:t>221</w:t>
      </w:r>
      <w:r>
        <w:rPr>
          <w:spacing w:val="-9"/>
        </w:rPr>
        <w:t> </w:t>
      </w:r>
      <w:r>
        <w:rPr/>
        <w:t>of</w:t>
      </w:r>
      <w:r>
        <w:rPr>
          <w:spacing w:val="-17"/>
        </w:rPr>
        <w:t> </w:t>
      </w:r>
      <w:r>
        <w:rPr/>
        <w:t>VP2</w:t>
      </w:r>
      <w:r>
        <w:rPr>
          <w:spacing w:val="-8"/>
        </w:rPr>
        <w:t> </w:t>
      </w:r>
      <w:r>
        <w:rPr/>
        <w:t>protein</w:t>
      </w:r>
      <w:r>
        <w:rPr>
          <w:spacing w:val="-13"/>
        </w:rPr>
        <w:t> </w:t>
      </w:r>
      <w:r>
        <w:rPr/>
        <w:t>(Santi</w:t>
      </w:r>
      <w:r>
        <w:rPr>
          <w:spacing w:val="-18"/>
        </w:rPr>
        <w:t> </w:t>
      </w:r>
      <w:r>
        <w:rPr/>
        <w:t>et</w:t>
      </w:r>
      <w:r>
        <w:rPr>
          <w:spacing w:val="-5"/>
        </w:rPr>
        <w:t> </w:t>
      </w:r>
      <w:r>
        <w:rPr>
          <w:spacing w:val="-4"/>
        </w:rPr>
        <w:t>al.</w:t>
      </w:r>
      <w:r>
        <w:rPr>
          <w:spacing w:val="-8"/>
        </w:rPr>
        <w:t> </w:t>
      </w:r>
      <w:r>
        <w:rPr/>
        <w:t>2004). Highly</w:t>
      </w:r>
      <w:r>
        <w:rPr>
          <w:spacing w:val="-9"/>
        </w:rPr>
        <w:t> </w:t>
      </w:r>
      <w:r>
        <w:rPr/>
        <w:t>virulent isolates</w:t>
      </w:r>
      <w:r>
        <w:rPr>
          <w:spacing w:val="-8"/>
        </w:rPr>
        <w:t> </w:t>
      </w:r>
      <w:r>
        <w:rPr/>
        <w:t>posses</w:t>
      </w:r>
      <w:r>
        <w:rPr>
          <w:spacing w:val="-8"/>
        </w:rPr>
        <w:t> </w:t>
      </w:r>
      <w:r>
        <w:rPr/>
        <w:t>residues</w:t>
      </w:r>
      <w:r>
        <w:rPr>
          <w:spacing w:val="-8"/>
        </w:rPr>
        <w:t> </w:t>
      </w:r>
      <w:r>
        <w:rPr/>
        <w:t>Thr217</w:t>
      </w:r>
      <w:r>
        <w:rPr>
          <w:spacing w:val="-6"/>
        </w:rPr>
        <w:t> </w:t>
      </w:r>
      <w:r>
        <w:rPr/>
        <w:t>and</w:t>
      </w:r>
      <w:r>
        <w:rPr>
          <w:spacing w:val="-2"/>
        </w:rPr>
        <w:t> </w:t>
      </w:r>
      <w:r>
        <w:rPr/>
        <w:t>Ala221;</w:t>
      </w:r>
      <w:r>
        <w:rPr>
          <w:spacing w:val="-6"/>
        </w:rPr>
        <w:t> </w:t>
      </w:r>
      <w:r>
        <w:rPr/>
        <w:t>moderate-</w:t>
      </w:r>
      <w:r>
        <w:rPr>
          <w:spacing w:val="-9"/>
        </w:rPr>
        <w:t> </w:t>
      </w:r>
      <w:r>
        <w:rPr/>
        <w:t>to</w:t>
      </w:r>
      <w:r>
        <w:rPr>
          <w:spacing w:val="-5"/>
        </w:rPr>
        <w:t> </w:t>
      </w:r>
      <w:r>
        <w:rPr/>
        <w:t>low-virulence</w:t>
      </w:r>
      <w:r>
        <w:rPr>
          <w:spacing w:val="-7"/>
        </w:rPr>
        <w:t> </w:t>
      </w:r>
      <w:r>
        <w:rPr/>
        <w:t>strains</w:t>
      </w:r>
      <w:r>
        <w:rPr>
          <w:spacing w:val="-8"/>
        </w:rPr>
        <w:t> </w:t>
      </w:r>
      <w:r>
        <w:rPr/>
        <w:t>have</w:t>
      </w:r>
      <w:r>
        <w:rPr>
          <w:spacing w:val="-7"/>
        </w:rPr>
        <w:t> </w:t>
      </w:r>
      <w:r>
        <w:rPr/>
        <w:t>Pro217 and</w:t>
      </w:r>
      <w:r>
        <w:rPr>
          <w:spacing w:val="-4"/>
        </w:rPr>
        <w:t> </w:t>
      </w:r>
      <w:r>
        <w:rPr/>
        <w:t>Ala221;</w:t>
      </w:r>
      <w:r>
        <w:rPr>
          <w:spacing w:val="-12"/>
        </w:rPr>
        <w:t> </w:t>
      </w:r>
      <w:r>
        <w:rPr/>
        <w:t>and</w:t>
      </w:r>
      <w:r>
        <w:rPr>
          <w:spacing w:val="-8"/>
        </w:rPr>
        <w:t> </w:t>
      </w:r>
      <w:r>
        <w:rPr/>
        <w:t>strains</w:t>
      </w:r>
      <w:r>
        <w:rPr>
          <w:spacing w:val="-10"/>
        </w:rPr>
        <w:t> </w:t>
      </w:r>
      <w:r>
        <w:rPr/>
        <w:t>containing</w:t>
      </w:r>
      <w:r>
        <w:rPr>
          <w:spacing w:val="-8"/>
        </w:rPr>
        <w:t> </w:t>
      </w:r>
      <w:r>
        <w:rPr/>
        <w:t>Thr221</w:t>
      </w:r>
      <w:r>
        <w:rPr>
          <w:spacing w:val="-8"/>
        </w:rPr>
        <w:t> </w:t>
      </w:r>
      <w:r>
        <w:rPr/>
        <w:t>are</w:t>
      </w:r>
      <w:r>
        <w:rPr>
          <w:spacing w:val="-9"/>
        </w:rPr>
        <w:t> </w:t>
      </w:r>
      <w:r>
        <w:rPr/>
        <w:t>almost</w:t>
      </w:r>
      <w:r>
        <w:rPr>
          <w:spacing w:val="-4"/>
        </w:rPr>
        <w:t> </w:t>
      </w:r>
      <w:r>
        <w:rPr/>
        <w:t>avirulent,</w:t>
      </w:r>
      <w:r>
        <w:rPr>
          <w:spacing w:val="-10"/>
        </w:rPr>
        <w:t> </w:t>
      </w:r>
      <w:r>
        <w:rPr/>
        <w:t>irrespective</w:t>
      </w:r>
      <w:r>
        <w:rPr>
          <w:spacing w:val="-9"/>
        </w:rPr>
        <w:t> </w:t>
      </w:r>
      <w:r>
        <w:rPr/>
        <w:t>to</w:t>
      </w:r>
      <w:r>
        <w:rPr>
          <w:spacing w:val="-12"/>
        </w:rPr>
        <w:t> </w:t>
      </w:r>
      <w:r>
        <w:rPr/>
        <w:t>the</w:t>
      </w:r>
      <w:r>
        <w:rPr>
          <w:spacing w:val="-9"/>
        </w:rPr>
        <w:t> </w:t>
      </w:r>
      <w:r>
        <w:rPr/>
        <w:t>residue</w:t>
      </w:r>
      <w:r>
        <w:rPr>
          <w:spacing w:val="-9"/>
        </w:rPr>
        <w:t> </w:t>
      </w:r>
      <w:r>
        <w:rPr/>
        <w:t>at</w:t>
      </w:r>
    </w:p>
    <w:p>
      <w:pPr>
        <w:spacing w:after="0" w:line="360" w:lineRule="auto"/>
        <w:jc w:val="both"/>
        <w:sectPr>
          <w:footerReference w:type="default" r:id="rId47"/>
          <w:pgSz w:w="12240" w:h="15840"/>
          <w:pgMar w:footer="1382" w:header="0" w:top="1500" w:bottom="1580" w:left="1720" w:right="1420"/>
        </w:sectPr>
      </w:pPr>
    </w:p>
    <w:p>
      <w:pPr>
        <w:pStyle w:val="BodyText"/>
        <w:spacing w:before="7"/>
        <w:rPr>
          <w:sz w:val="25"/>
        </w:rPr>
      </w:pPr>
    </w:p>
    <w:p>
      <w:pPr>
        <w:pStyle w:val="BodyText"/>
        <w:spacing w:line="360" w:lineRule="auto" w:before="70"/>
        <w:ind w:left="152" w:right="106"/>
        <w:jc w:val="both"/>
      </w:pPr>
      <w:r>
        <w:rPr/>
        <w:t>position 217 (Song </w:t>
      </w:r>
      <w:r>
        <w:rPr>
          <w:spacing w:val="-3"/>
        </w:rPr>
        <w:t>et </w:t>
      </w:r>
      <w:r>
        <w:rPr>
          <w:spacing w:val="-4"/>
        </w:rPr>
        <w:t>al. </w:t>
      </w:r>
      <w:r>
        <w:rPr/>
        <w:t>2005). Based on the above, strains used </w:t>
      </w:r>
      <w:r>
        <w:rPr>
          <w:spacing w:val="-3"/>
        </w:rPr>
        <w:t>in </w:t>
      </w:r>
      <w:r>
        <w:rPr/>
        <w:t>this study</w:t>
      </w:r>
      <w:r>
        <w:rPr>
          <w:spacing w:val="-43"/>
        </w:rPr>
        <w:t> </w:t>
      </w:r>
      <w:r>
        <w:rPr/>
        <w:t>corresponding to moderate virulence (Sp serotype) and avirulent (VR-299). Although, Smail et </w:t>
      </w:r>
      <w:r>
        <w:rPr>
          <w:spacing w:val="-4"/>
        </w:rPr>
        <w:t>al. </w:t>
      </w:r>
      <w:r>
        <w:rPr/>
        <w:t>(2006) did</w:t>
      </w:r>
      <w:r>
        <w:rPr>
          <w:spacing w:val="-12"/>
        </w:rPr>
        <w:t> </w:t>
      </w:r>
      <w:r>
        <w:rPr/>
        <w:t>not</w:t>
      </w:r>
      <w:r>
        <w:rPr>
          <w:spacing w:val="-7"/>
        </w:rPr>
        <w:t> </w:t>
      </w:r>
      <w:r>
        <w:rPr>
          <w:spacing w:val="-4"/>
        </w:rPr>
        <w:t>find</w:t>
      </w:r>
      <w:r>
        <w:rPr>
          <w:spacing w:val="42"/>
        </w:rPr>
        <w:t> </w:t>
      </w:r>
      <w:r>
        <w:rPr/>
        <w:t>mortality</w:t>
      </w:r>
      <w:r>
        <w:rPr>
          <w:spacing w:val="-20"/>
        </w:rPr>
        <w:t> </w:t>
      </w:r>
      <w:r>
        <w:rPr/>
        <w:t>differences</w:t>
      </w:r>
      <w:r>
        <w:rPr>
          <w:spacing w:val="-14"/>
        </w:rPr>
        <w:t> </w:t>
      </w:r>
      <w:r>
        <w:rPr/>
        <w:t>to</w:t>
      </w:r>
      <w:r>
        <w:rPr>
          <w:spacing w:val="-11"/>
        </w:rPr>
        <w:t> </w:t>
      </w:r>
      <w:r>
        <w:rPr/>
        <w:t>compare</w:t>
      </w:r>
      <w:r>
        <w:rPr>
          <w:spacing w:val="-13"/>
        </w:rPr>
        <w:t> </w:t>
      </w:r>
      <w:r>
        <w:rPr/>
        <w:t>a</w:t>
      </w:r>
      <w:r>
        <w:rPr>
          <w:spacing w:val="-13"/>
        </w:rPr>
        <w:t> </w:t>
      </w:r>
      <w:r>
        <w:rPr/>
        <w:t>high</w:t>
      </w:r>
      <w:r>
        <w:rPr>
          <w:spacing w:val="-16"/>
        </w:rPr>
        <w:t> </w:t>
      </w:r>
      <w:r>
        <w:rPr/>
        <w:t>virulent</w:t>
      </w:r>
      <w:r>
        <w:rPr>
          <w:spacing w:val="-7"/>
        </w:rPr>
        <w:t> </w:t>
      </w:r>
      <w:r>
        <w:rPr/>
        <w:t>strain</w:t>
      </w:r>
      <w:r>
        <w:rPr>
          <w:spacing w:val="-16"/>
        </w:rPr>
        <w:t> </w:t>
      </w:r>
      <w:r>
        <w:rPr/>
        <w:t>with</w:t>
      </w:r>
      <w:r>
        <w:rPr>
          <w:spacing w:val="-16"/>
        </w:rPr>
        <w:t> </w:t>
      </w:r>
      <w:r>
        <w:rPr/>
        <w:t>a</w:t>
      </w:r>
      <w:r>
        <w:rPr>
          <w:spacing w:val="-13"/>
        </w:rPr>
        <w:t> </w:t>
      </w:r>
      <w:r>
        <w:rPr/>
        <w:t>moderate</w:t>
      </w:r>
      <w:r>
        <w:rPr>
          <w:spacing w:val="-13"/>
        </w:rPr>
        <w:t> </w:t>
      </w:r>
      <w:r>
        <w:rPr/>
        <w:t>virulence strain, suggesting that others factors associated to the strain or immune response possibly affect the infection findings (Ortega </w:t>
      </w:r>
      <w:r>
        <w:rPr>
          <w:spacing w:val="-3"/>
        </w:rPr>
        <w:t>et </w:t>
      </w:r>
      <w:r>
        <w:rPr>
          <w:spacing w:val="-4"/>
        </w:rPr>
        <w:t>al. </w:t>
      </w:r>
      <w:r>
        <w:rPr/>
        <w:t>2011). In our study, we </w:t>
      </w:r>
      <w:r>
        <w:rPr>
          <w:spacing w:val="-3"/>
        </w:rPr>
        <w:t>might </w:t>
      </w:r>
      <w:r>
        <w:rPr/>
        <w:t>hypothesize that higher viral replication before 24 hpi are associated with a greater penetration for serotype Sp virus, linked to the </w:t>
      </w:r>
      <w:r>
        <w:rPr>
          <w:spacing w:val="-4"/>
        </w:rPr>
        <w:t>amino </w:t>
      </w:r>
      <w:r>
        <w:rPr/>
        <w:t>acids residue sequences of the hypervariable region of VP2 binding protein. In addition, this region might interact with cell receptors </w:t>
      </w:r>
      <w:r>
        <w:rPr>
          <w:spacing w:val="-3"/>
        </w:rPr>
        <w:t>in </w:t>
      </w:r>
      <w:r>
        <w:rPr/>
        <w:t>a different way (Dobos 1995; Kuznar et </w:t>
      </w:r>
      <w:r>
        <w:rPr>
          <w:spacing w:val="-4"/>
        </w:rPr>
        <w:t>al. </w:t>
      </w:r>
      <w:r>
        <w:rPr/>
        <w:t>1995; Granzow et </w:t>
      </w:r>
      <w:r>
        <w:rPr>
          <w:spacing w:val="-4"/>
        </w:rPr>
        <w:t>al.</w:t>
      </w:r>
      <w:r>
        <w:rPr>
          <w:spacing w:val="11"/>
        </w:rPr>
        <w:t> </w:t>
      </w:r>
      <w:r>
        <w:rPr/>
        <w:t>1997).</w:t>
      </w:r>
    </w:p>
    <w:p>
      <w:pPr>
        <w:pStyle w:val="BodyText"/>
        <w:spacing w:line="360" w:lineRule="auto" w:before="4"/>
        <w:ind w:left="152" w:right="100"/>
        <w:jc w:val="both"/>
      </w:pPr>
      <w:r>
        <w:rPr/>
        <w:t>Earlier work demonstrated that peptide derived of VP2 maturation </w:t>
      </w:r>
      <w:r>
        <w:rPr>
          <w:spacing w:val="4"/>
        </w:rPr>
        <w:t>of </w:t>
      </w:r>
      <w:r>
        <w:rPr/>
        <w:t>infectious </w:t>
      </w:r>
      <w:r>
        <w:rPr>
          <w:spacing w:val="2"/>
        </w:rPr>
        <w:t>bursal </w:t>
      </w:r>
      <w:r>
        <w:rPr/>
        <w:t>disease virus (IBDV) participates </w:t>
      </w:r>
      <w:r>
        <w:rPr>
          <w:spacing w:val="-3"/>
        </w:rPr>
        <w:t>in </w:t>
      </w:r>
      <w:r>
        <w:rPr/>
        <w:t>the virus-cell entry suggesting that peptide 46 (pep 46) has</w:t>
      </w:r>
      <w:r>
        <w:rPr>
          <w:spacing w:val="-14"/>
        </w:rPr>
        <w:t> </w:t>
      </w:r>
      <w:r>
        <w:rPr/>
        <w:t>a</w:t>
      </w:r>
      <w:r>
        <w:rPr>
          <w:spacing w:val="-13"/>
        </w:rPr>
        <w:t> </w:t>
      </w:r>
      <w:r>
        <w:rPr/>
        <w:t>domain</w:t>
      </w:r>
      <w:r>
        <w:rPr>
          <w:spacing w:val="-16"/>
        </w:rPr>
        <w:t> </w:t>
      </w:r>
      <w:r>
        <w:rPr/>
        <w:t>rich</w:t>
      </w:r>
      <w:r>
        <w:rPr>
          <w:spacing w:val="-12"/>
        </w:rPr>
        <w:t> </w:t>
      </w:r>
      <w:r>
        <w:rPr>
          <w:spacing w:val="-3"/>
        </w:rPr>
        <w:t>in</w:t>
      </w:r>
      <w:r>
        <w:rPr>
          <w:spacing w:val="-16"/>
        </w:rPr>
        <w:t> </w:t>
      </w:r>
      <w:r>
        <w:rPr/>
        <w:t>proline</w:t>
      </w:r>
      <w:r>
        <w:rPr>
          <w:spacing w:val="-13"/>
        </w:rPr>
        <w:t> </w:t>
      </w:r>
      <w:r>
        <w:rPr/>
        <w:t>(positions</w:t>
      </w:r>
      <w:r>
        <w:rPr>
          <w:spacing w:val="-14"/>
        </w:rPr>
        <w:t> </w:t>
      </w:r>
      <w:r>
        <w:rPr/>
        <w:t>458,</w:t>
      </w:r>
      <w:r>
        <w:rPr>
          <w:spacing w:val="-10"/>
        </w:rPr>
        <w:t> </w:t>
      </w:r>
      <w:r>
        <w:rPr/>
        <w:t>465,</w:t>
      </w:r>
      <w:r>
        <w:rPr>
          <w:spacing w:val="-14"/>
        </w:rPr>
        <w:t> </w:t>
      </w:r>
      <w:r>
        <w:rPr/>
        <w:t>469)</w:t>
      </w:r>
      <w:r>
        <w:rPr>
          <w:spacing w:val="-15"/>
        </w:rPr>
        <w:t> </w:t>
      </w:r>
      <w:r>
        <w:rPr/>
        <w:t>that</w:t>
      </w:r>
      <w:r>
        <w:rPr>
          <w:spacing w:val="-7"/>
        </w:rPr>
        <w:t> </w:t>
      </w:r>
      <w:r>
        <w:rPr/>
        <w:t>disrupt</w:t>
      </w:r>
      <w:r>
        <w:rPr>
          <w:spacing w:val="-7"/>
        </w:rPr>
        <w:t> </w:t>
      </w:r>
      <w:r>
        <w:rPr/>
        <w:t>cell</w:t>
      </w:r>
      <w:r>
        <w:rPr>
          <w:spacing w:val="-11"/>
        </w:rPr>
        <w:t> </w:t>
      </w:r>
      <w:r>
        <w:rPr/>
        <w:t>membrane</w:t>
      </w:r>
      <w:r>
        <w:rPr>
          <w:spacing w:val="-13"/>
        </w:rPr>
        <w:t> </w:t>
      </w:r>
      <w:r>
        <w:rPr/>
        <w:t>and</w:t>
      </w:r>
      <w:r>
        <w:rPr>
          <w:spacing w:val="-7"/>
        </w:rPr>
        <w:t> </w:t>
      </w:r>
      <w:r>
        <w:rPr/>
        <w:t>induces pores</w:t>
      </w:r>
      <w:r>
        <w:rPr>
          <w:spacing w:val="-17"/>
        </w:rPr>
        <w:t> </w:t>
      </w:r>
      <w:r>
        <w:rPr/>
        <w:t>(Galloux</w:t>
      </w:r>
      <w:r>
        <w:rPr>
          <w:spacing w:val="-14"/>
        </w:rPr>
        <w:t> </w:t>
      </w:r>
      <w:r>
        <w:rPr/>
        <w:t>et</w:t>
      </w:r>
      <w:r>
        <w:rPr>
          <w:spacing w:val="-9"/>
        </w:rPr>
        <w:t> </w:t>
      </w:r>
      <w:r>
        <w:rPr>
          <w:spacing w:val="-4"/>
        </w:rPr>
        <w:t>al.</w:t>
      </w:r>
      <w:r>
        <w:rPr>
          <w:spacing w:val="-8"/>
        </w:rPr>
        <w:t> </w:t>
      </w:r>
      <w:r>
        <w:rPr/>
        <w:t>2007).</w:t>
      </w:r>
      <w:r>
        <w:rPr>
          <w:spacing w:val="-12"/>
        </w:rPr>
        <w:t> </w:t>
      </w:r>
      <w:r>
        <w:rPr/>
        <w:t>However,</w:t>
      </w:r>
      <w:r>
        <w:rPr>
          <w:spacing w:val="-8"/>
        </w:rPr>
        <w:t> </w:t>
      </w:r>
      <w:r>
        <w:rPr>
          <w:spacing w:val="-3"/>
        </w:rPr>
        <w:t>in</w:t>
      </w:r>
      <w:r>
        <w:rPr>
          <w:spacing w:val="-14"/>
        </w:rPr>
        <w:t> </w:t>
      </w:r>
      <w:r>
        <w:rPr/>
        <w:t>our</w:t>
      </w:r>
      <w:r>
        <w:rPr>
          <w:spacing w:val="-13"/>
        </w:rPr>
        <w:t> </w:t>
      </w:r>
      <w:r>
        <w:rPr/>
        <w:t>work</w:t>
      </w:r>
      <w:r>
        <w:rPr>
          <w:spacing w:val="-19"/>
        </w:rPr>
        <w:t> </w:t>
      </w:r>
      <w:r>
        <w:rPr/>
        <w:t>we</w:t>
      </w:r>
      <w:r>
        <w:rPr>
          <w:spacing w:val="-11"/>
        </w:rPr>
        <w:t> </w:t>
      </w:r>
      <w:r>
        <w:rPr>
          <w:spacing w:val="-4"/>
        </w:rPr>
        <w:t>did</w:t>
      </w:r>
      <w:r>
        <w:rPr>
          <w:spacing w:val="-10"/>
        </w:rPr>
        <w:t> </w:t>
      </w:r>
      <w:r>
        <w:rPr/>
        <w:t>not</w:t>
      </w:r>
      <w:r>
        <w:rPr>
          <w:spacing w:val="-9"/>
        </w:rPr>
        <w:t> </w:t>
      </w:r>
      <w:r>
        <w:rPr/>
        <w:t>find</w:t>
      </w:r>
      <w:r>
        <w:rPr>
          <w:spacing w:val="-10"/>
        </w:rPr>
        <w:t> </w:t>
      </w:r>
      <w:r>
        <w:rPr/>
        <w:t>differences</w:t>
      </w:r>
      <w:r>
        <w:rPr>
          <w:spacing w:val="-12"/>
        </w:rPr>
        <w:t> </w:t>
      </w:r>
      <w:r>
        <w:rPr/>
        <w:t>between</w:t>
      </w:r>
      <w:r>
        <w:rPr>
          <w:spacing w:val="-14"/>
        </w:rPr>
        <w:t> </w:t>
      </w:r>
      <w:r>
        <w:rPr/>
        <w:t>strains </w:t>
      </w:r>
      <w:r>
        <w:rPr>
          <w:spacing w:val="-3"/>
        </w:rPr>
        <w:t>in </w:t>
      </w:r>
      <w:r>
        <w:rPr/>
        <w:t>VP2 for peptide 46 (results not shown), therefore, both viruses should behave similarly, so this peptide 46 </w:t>
      </w:r>
      <w:r>
        <w:rPr>
          <w:spacing w:val="-3"/>
        </w:rPr>
        <w:t>is </w:t>
      </w:r>
      <w:r>
        <w:rPr/>
        <w:t>not implicated </w:t>
      </w:r>
      <w:r>
        <w:rPr>
          <w:spacing w:val="-3"/>
        </w:rPr>
        <w:t>in </w:t>
      </w:r>
      <w:r>
        <w:rPr/>
        <w:t>viral replication difference between both serotypes. Therefore, viral replication differences </w:t>
      </w:r>
      <w:r>
        <w:rPr>
          <w:spacing w:val="-3"/>
        </w:rPr>
        <w:t>might </w:t>
      </w:r>
      <w:r>
        <w:rPr/>
        <w:t>to </w:t>
      </w:r>
      <w:r>
        <w:rPr>
          <w:spacing w:val="-3"/>
        </w:rPr>
        <w:t>be </w:t>
      </w:r>
      <w:r>
        <w:rPr/>
        <w:t>associated with other structural and functional aspects that have been implicated to IBDV replication (Da Costa </w:t>
      </w:r>
      <w:r>
        <w:rPr>
          <w:spacing w:val="-3"/>
        </w:rPr>
        <w:t>et </w:t>
      </w:r>
      <w:r>
        <w:rPr>
          <w:spacing w:val="-4"/>
        </w:rPr>
        <w:t>al.</w:t>
      </w:r>
      <w:r>
        <w:rPr>
          <w:spacing w:val="-15"/>
        </w:rPr>
        <w:t> </w:t>
      </w:r>
      <w:r>
        <w:rPr/>
        <w:t>2002).</w:t>
      </w:r>
    </w:p>
    <w:p>
      <w:pPr>
        <w:pStyle w:val="BodyText"/>
        <w:spacing w:line="360" w:lineRule="auto" w:before="4"/>
        <w:ind w:left="152" w:right="114"/>
        <w:jc w:val="both"/>
      </w:pPr>
      <w:r>
        <w:rPr/>
        <w:t>Some proteases </w:t>
      </w:r>
      <w:r>
        <w:rPr>
          <w:spacing w:val="-3"/>
        </w:rPr>
        <w:t>like </w:t>
      </w:r>
      <w:r>
        <w:rPr/>
        <w:t>IPNV-VP4 protein have been considered as virulence factors;</w:t>
      </w:r>
      <w:r>
        <w:rPr>
          <w:spacing w:val="-28"/>
        </w:rPr>
        <w:t> </w:t>
      </w:r>
      <w:r>
        <w:rPr/>
        <w:t>however, this</w:t>
      </w:r>
      <w:r>
        <w:rPr>
          <w:spacing w:val="-14"/>
        </w:rPr>
        <w:t> </w:t>
      </w:r>
      <w:r>
        <w:rPr/>
        <w:t>finding</w:t>
      </w:r>
      <w:r>
        <w:rPr>
          <w:spacing w:val="-12"/>
        </w:rPr>
        <w:t> </w:t>
      </w:r>
      <w:r>
        <w:rPr>
          <w:spacing w:val="-3"/>
        </w:rPr>
        <w:t>is</w:t>
      </w:r>
      <w:r>
        <w:rPr>
          <w:spacing w:val="-14"/>
        </w:rPr>
        <w:t> </w:t>
      </w:r>
      <w:r>
        <w:rPr/>
        <w:t>not</w:t>
      </w:r>
      <w:r>
        <w:rPr>
          <w:spacing w:val="-11"/>
        </w:rPr>
        <w:t> </w:t>
      </w:r>
      <w:r>
        <w:rPr/>
        <w:t>been</w:t>
      </w:r>
      <w:r>
        <w:rPr>
          <w:spacing w:val="-21"/>
        </w:rPr>
        <w:t> </w:t>
      </w:r>
      <w:r>
        <w:rPr/>
        <w:t>shown</w:t>
      </w:r>
      <w:r>
        <w:rPr>
          <w:spacing w:val="-17"/>
        </w:rPr>
        <w:t> </w:t>
      </w:r>
      <w:r>
        <w:rPr/>
        <w:t>yet</w:t>
      </w:r>
      <w:r>
        <w:rPr>
          <w:spacing w:val="-11"/>
        </w:rPr>
        <w:t> </w:t>
      </w:r>
      <w:r>
        <w:rPr/>
        <w:t>(Skjesol</w:t>
      </w:r>
      <w:r>
        <w:rPr>
          <w:spacing w:val="-25"/>
        </w:rPr>
        <w:t> </w:t>
      </w:r>
      <w:r>
        <w:rPr/>
        <w:t>et</w:t>
      </w:r>
      <w:r>
        <w:rPr>
          <w:spacing w:val="-11"/>
        </w:rPr>
        <w:t> </w:t>
      </w:r>
      <w:r>
        <w:rPr>
          <w:spacing w:val="-4"/>
        </w:rPr>
        <w:t>al.</w:t>
      </w:r>
      <w:r>
        <w:rPr>
          <w:spacing w:val="-14"/>
        </w:rPr>
        <w:t> </w:t>
      </w:r>
      <w:r>
        <w:rPr/>
        <w:t>2009);</w:t>
      </w:r>
      <w:r>
        <w:rPr>
          <w:spacing w:val="-21"/>
        </w:rPr>
        <w:t> </w:t>
      </w:r>
      <w:r>
        <w:rPr/>
        <w:t>additionally,</w:t>
      </w:r>
      <w:r>
        <w:rPr>
          <w:spacing w:val="-14"/>
        </w:rPr>
        <w:t> </w:t>
      </w:r>
      <w:r>
        <w:rPr/>
        <w:t>the</w:t>
      </w:r>
      <w:r>
        <w:rPr>
          <w:spacing w:val="-17"/>
        </w:rPr>
        <w:t> </w:t>
      </w:r>
      <w:r>
        <w:rPr/>
        <w:t>possible</w:t>
      </w:r>
      <w:r>
        <w:rPr>
          <w:spacing w:val="-13"/>
        </w:rPr>
        <w:t> </w:t>
      </w:r>
      <w:r>
        <w:rPr/>
        <w:t>involvement of VP5 protein as a virulence factor has been</w:t>
      </w:r>
      <w:r>
        <w:rPr>
          <w:spacing w:val="-19"/>
        </w:rPr>
        <w:t> </w:t>
      </w:r>
      <w:r>
        <w:rPr/>
        <w:t>discarded.</w:t>
      </w:r>
    </w:p>
    <w:p>
      <w:pPr>
        <w:pStyle w:val="BodyText"/>
        <w:spacing w:line="360" w:lineRule="auto" w:before="8"/>
        <w:ind w:left="152" w:right="110"/>
        <w:jc w:val="both"/>
      </w:pPr>
      <w:r>
        <w:rPr>
          <w:spacing w:val="-3"/>
        </w:rPr>
        <w:t>We </w:t>
      </w:r>
      <w:r>
        <w:rPr/>
        <w:t>demonstrated that, apparently others viral and cellular factors have influenced that serotype</w:t>
      </w:r>
      <w:r>
        <w:rPr>
          <w:spacing w:val="-7"/>
        </w:rPr>
        <w:t> </w:t>
      </w:r>
      <w:r>
        <w:rPr/>
        <w:t>Sp</w:t>
      </w:r>
      <w:r>
        <w:rPr>
          <w:spacing w:val="-6"/>
        </w:rPr>
        <w:t> </w:t>
      </w:r>
      <w:r>
        <w:rPr/>
        <w:t>virus</w:t>
      </w:r>
      <w:r>
        <w:rPr>
          <w:spacing w:val="-8"/>
        </w:rPr>
        <w:t> </w:t>
      </w:r>
      <w:r>
        <w:rPr/>
        <w:t>show</w:t>
      </w:r>
      <w:r>
        <w:rPr>
          <w:spacing w:val="-6"/>
        </w:rPr>
        <w:t> </w:t>
      </w:r>
      <w:r>
        <w:rPr/>
        <w:t>a</w:t>
      </w:r>
      <w:r>
        <w:rPr>
          <w:spacing w:val="-7"/>
        </w:rPr>
        <w:t> </w:t>
      </w:r>
      <w:r>
        <w:rPr>
          <w:spacing w:val="-2"/>
        </w:rPr>
        <w:t>higher</w:t>
      </w:r>
      <w:r>
        <w:rPr>
          <w:spacing w:val="-4"/>
        </w:rPr>
        <w:t> </w:t>
      </w:r>
      <w:r>
        <w:rPr/>
        <w:t>replication.</w:t>
      </w:r>
      <w:r>
        <w:rPr>
          <w:spacing w:val="-4"/>
        </w:rPr>
        <w:t> </w:t>
      </w:r>
      <w:r>
        <w:rPr/>
        <w:t>Interestingly</w:t>
      </w:r>
      <w:r>
        <w:rPr>
          <w:spacing w:val="-15"/>
        </w:rPr>
        <w:t> </w:t>
      </w:r>
      <w:r>
        <w:rPr/>
        <w:t>the</w:t>
      </w:r>
      <w:r>
        <w:rPr>
          <w:spacing w:val="-7"/>
        </w:rPr>
        <w:t> </w:t>
      </w:r>
      <w:r>
        <w:rPr/>
        <w:t>serotype</w:t>
      </w:r>
      <w:r>
        <w:rPr>
          <w:spacing w:val="-7"/>
        </w:rPr>
        <w:t> </w:t>
      </w:r>
      <w:r>
        <w:rPr/>
        <w:t>VR-299</w:t>
      </w:r>
      <w:r>
        <w:rPr>
          <w:spacing w:val="-6"/>
        </w:rPr>
        <w:t> </w:t>
      </w:r>
      <w:r>
        <w:rPr/>
        <w:t>virus</w:t>
      </w:r>
      <w:r>
        <w:rPr>
          <w:spacing w:val="-8"/>
        </w:rPr>
        <w:t> </w:t>
      </w:r>
      <w:r>
        <w:rPr/>
        <w:t>reached replication values higher to the Sp at 60 </w:t>
      </w:r>
      <w:r>
        <w:rPr>
          <w:spacing w:val="-3"/>
        </w:rPr>
        <w:t>hpi. </w:t>
      </w:r>
      <w:r>
        <w:rPr/>
        <w:t>Studies by Kuznar et </w:t>
      </w:r>
      <w:r>
        <w:rPr>
          <w:spacing w:val="-4"/>
        </w:rPr>
        <w:t>al. </w:t>
      </w:r>
      <w:r>
        <w:rPr/>
        <w:t>(1995) showed that </w:t>
      </w:r>
      <w:r>
        <w:rPr>
          <w:spacing w:val="-3"/>
        </w:rPr>
        <w:t>at </w:t>
      </w:r>
      <w:r>
        <w:rPr/>
        <w:t>10 </w:t>
      </w:r>
      <w:r>
        <w:rPr>
          <w:spacing w:val="-3"/>
        </w:rPr>
        <w:t>hpi, </w:t>
      </w:r>
      <w:r>
        <w:rPr/>
        <w:t>viral </w:t>
      </w:r>
      <w:r>
        <w:rPr>
          <w:spacing w:val="2"/>
        </w:rPr>
        <w:t>RNA </w:t>
      </w:r>
      <w:r>
        <w:rPr>
          <w:spacing w:val="-5"/>
        </w:rPr>
        <w:t>is </w:t>
      </w:r>
      <w:r>
        <w:rPr/>
        <w:t>detected and at 14 hpi mature particles were detected also, </w:t>
      </w:r>
      <w:r>
        <w:rPr>
          <w:spacing w:val="-4"/>
        </w:rPr>
        <w:t>so </w:t>
      </w:r>
      <w:r>
        <w:rPr/>
        <w:t>this situation might </w:t>
      </w:r>
      <w:r>
        <w:rPr>
          <w:spacing w:val="-3"/>
        </w:rPr>
        <w:t>be </w:t>
      </w:r>
      <w:r>
        <w:rPr/>
        <w:t>associated with a random value of viral multiplicity because at this time- points,  more than  two replication cycles have elapsed (Espinoza et </w:t>
      </w:r>
      <w:r>
        <w:rPr>
          <w:spacing w:val="-4"/>
        </w:rPr>
        <w:t>al.</w:t>
      </w:r>
      <w:r>
        <w:rPr>
          <w:spacing w:val="-25"/>
        </w:rPr>
        <w:t> </w:t>
      </w:r>
      <w:r>
        <w:rPr/>
        <w:t>2000).</w:t>
      </w:r>
    </w:p>
    <w:p>
      <w:pPr>
        <w:pStyle w:val="BodyText"/>
        <w:spacing w:line="360" w:lineRule="auto" w:before="4"/>
        <w:ind w:left="152" w:right="108"/>
        <w:jc w:val="both"/>
      </w:pPr>
      <w:r>
        <w:rPr/>
        <w:t>IPNV infection induced the expression </w:t>
      </w:r>
      <w:r>
        <w:rPr>
          <w:spacing w:val="4"/>
        </w:rPr>
        <w:t>of </w:t>
      </w:r>
      <w:r>
        <w:rPr/>
        <w:t>IFN-I(α) that module an antiviral response stimulating the other gene effectors (Saint-Jean and Pérez-Prieto 2007). Our results indicate that  replication  increase  </w:t>
      </w:r>
      <w:r>
        <w:rPr>
          <w:spacing w:val="-3"/>
        </w:rPr>
        <w:t>in  </w:t>
      </w:r>
      <w:r>
        <w:rPr/>
        <w:t>both serotypes (Sp  serotype  virus  higher  than VR-299)</w:t>
      </w:r>
      <w:r>
        <w:rPr>
          <w:spacing w:val="52"/>
        </w:rPr>
        <w:t> </w:t>
      </w:r>
      <w:r>
        <w:rPr/>
        <w:t>was</w:t>
      </w:r>
    </w:p>
    <w:p>
      <w:pPr>
        <w:spacing w:after="0" w:line="360" w:lineRule="auto"/>
        <w:jc w:val="both"/>
        <w:sectPr>
          <w:footerReference w:type="default" r:id="rId48"/>
          <w:pgSz w:w="12240" w:h="15840"/>
          <w:pgMar w:footer="1382" w:header="0" w:top="1500" w:bottom="1580" w:left="1720" w:right="1420"/>
          <w:pgNumType w:start="61"/>
        </w:sectPr>
      </w:pPr>
    </w:p>
    <w:p>
      <w:pPr>
        <w:pStyle w:val="BodyText"/>
        <w:spacing w:before="7"/>
        <w:rPr>
          <w:sz w:val="25"/>
        </w:rPr>
      </w:pPr>
    </w:p>
    <w:p>
      <w:pPr>
        <w:pStyle w:val="BodyText"/>
        <w:spacing w:line="360" w:lineRule="auto" w:before="70"/>
        <w:ind w:left="152" w:right="106"/>
        <w:jc w:val="both"/>
      </w:pPr>
      <w:r>
        <w:rPr/>
        <w:t>associated a decreased </w:t>
      </w:r>
      <w:r>
        <w:rPr>
          <w:spacing w:val="4"/>
        </w:rPr>
        <w:t>of </w:t>
      </w:r>
      <w:r>
        <w:rPr/>
        <w:t>IFN-I </w:t>
      </w:r>
      <w:r>
        <w:rPr>
          <w:spacing w:val="-3"/>
        </w:rPr>
        <w:t>mRNA, </w:t>
      </w:r>
      <w:r>
        <w:rPr/>
        <w:t>suggesting that, inhibition </w:t>
      </w:r>
      <w:r>
        <w:rPr>
          <w:spacing w:val="4"/>
        </w:rPr>
        <w:t>of </w:t>
      </w:r>
      <w:r>
        <w:rPr/>
        <w:t>alpha interferon signaling</w:t>
      </w:r>
      <w:r>
        <w:rPr>
          <w:spacing w:val="-12"/>
        </w:rPr>
        <w:t> </w:t>
      </w:r>
      <w:r>
        <w:rPr>
          <w:spacing w:val="-3"/>
        </w:rPr>
        <w:t>is</w:t>
      </w:r>
      <w:r>
        <w:rPr>
          <w:spacing w:val="-18"/>
        </w:rPr>
        <w:t> </w:t>
      </w:r>
      <w:r>
        <w:rPr/>
        <w:t>required</w:t>
      </w:r>
      <w:r>
        <w:rPr>
          <w:spacing w:val="-12"/>
        </w:rPr>
        <w:t> </w:t>
      </w:r>
      <w:r>
        <w:rPr/>
        <w:t>for</w:t>
      </w:r>
      <w:r>
        <w:rPr>
          <w:spacing w:val="-14"/>
        </w:rPr>
        <w:t> </w:t>
      </w:r>
      <w:r>
        <w:rPr/>
        <w:t>viral</w:t>
      </w:r>
      <w:r>
        <w:rPr>
          <w:spacing w:val="-25"/>
        </w:rPr>
        <w:t> </w:t>
      </w:r>
      <w:r>
        <w:rPr/>
        <w:t>replication</w:t>
      </w:r>
      <w:r>
        <w:rPr>
          <w:spacing w:val="-15"/>
        </w:rPr>
        <w:t> </w:t>
      </w:r>
      <w:r>
        <w:rPr>
          <w:spacing w:val="-3"/>
        </w:rPr>
        <w:t>in</w:t>
      </w:r>
      <w:r>
        <w:rPr>
          <w:spacing w:val="-20"/>
        </w:rPr>
        <w:t> </w:t>
      </w:r>
      <w:r>
        <w:rPr/>
        <w:t>early</w:t>
      </w:r>
      <w:r>
        <w:rPr>
          <w:spacing w:val="-20"/>
        </w:rPr>
        <w:t> </w:t>
      </w:r>
      <w:r>
        <w:rPr/>
        <w:t>stages</w:t>
      </w:r>
      <w:r>
        <w:rPr>
          <w:spacing w:val="-18"/>
        </w:rPr>
        <w:t> </w:t>
      </w:r>
      <w:r>
        <w:rPr/>
        <w:t>of</w:t>
      </w:r>
      <w:r>
        <w:rPr>
          <w:spacing w:val="-19"/>
        </w:rPr>
        <w:t> </w:t>
      </w:r>
      <w:r>
        <w:rPr/>
        <w:t>infection.</w:t>
      </w:r>
      <w:r>
        <w:rPr>
          <w:spacing w:val="-13"/>
        </w:rPr>
        <w:t> </w:t>
      </w:r>
      <w:r>
        <w:rPr/>
        <w:t>This</w:t>
      </w:r>
      <w:r>
        <w:rPr>
          <w:spacing w:val="-13"/>
        </w:rPr>
        <w:t> </w:t>
      </w:r>
      <w:r>
        <w:rPr/>
        <w:t>finding</w:t>
      </w:r>
      <w:r>
        <w:rPr>
          <w:spacing w:val="-12"/>
        </w:rPr>
        <w:t> </w:t>
      </w:r>
      <w:r>
        <w:rPr>
          <w:spacing w:val="-3"/>
        </w:rPr>
        <w:t>is</w:t>
      </w:r>
      <w:r>
        <w:rPr>
          <w:spacing w:val="-18"/>
        </w:rPr>
        <w:t> </w:t>
      </w:r>
      <w:r>
        <w:rPr/>
        <w:t>consistent with observations from (Skjesol et </w:t>
      </w:r>
      <w:r>
        <w:rPr>
          <w:spacing w:val="-4"/>
        </w:rPr>
        <w:t>al. </w:t>
      </w:r>
      <w:r>
        <w:rPr/>
        <w:t>2009) that described the ability </w:t>
      </w:r>
      <w:r>
        <w:rPr>
          <w:spacing w:val="4"/>
        </w:rPr>
        <w:t>of </w:t>
      </w:r>
      <w:r>
        <w:rPr/>
        <w:t>IPNV to reduce the interferon</w:t>
      </w:r>
      <w:r>
        <w:rPr>
          <w:spacing w:val="-12"/>
        </w:rPr>
        <w:t> </w:t>
      </w:r>
      <w:r>
        <w:rPr/>
        <w:t>immune</w:t>
      </w:r>
      <w:r>
        <w:rPr>
          <w:spacing w:val="-13"/>
        </w:rPr>
        <w:t> </w:t>
      </w:r>
      <w:r>
        <w:rPr/>
        <w:t>response;</w:t>
      </w:r>
      <w:r>
        <w:rPr>
          <w:spacing w:val="-15"/>
        </w:rPr>
        <w:t> </w:t>
      </w:r>
      <w:r>
        <w:rPr/>
        <w:t>however,</w:t>
      </w:r>
      <w:r>
        <w:rPr>
          <w:spacing w:val="-10"/>
        </w:rPr>
        <w:t> </w:t>
      </w:r>
      <w:r>
        <w:rPr/>
        <w:t>contrary</w:t>
      </w:r>
      <w:r>
        <w:rPr>
          <w:spacing w:val="-20"/>
        </w:rPr>
        <w:t> </w:t>
      </w:r>
      <w:r>
        <w:rPr>
          <w:spacing w:val="2"/>
        </w:rPr>
        <w:t>to</w:t>
      </w:r>
      <w:r>
        <w:rPr>
          <w:spacing w:val="-15"/>
        </w:rPr>
        <w:t> </w:t>
      </w:r>
      <w:r>
        <w:rPr/>
        <w:t>the</w:t>
      </w:r>
      <w:r>
        <w:rPr>
          <w:spacing w:val="-8"/>
        </w:rPr>
        <w:t> </w:t>
      </w:r>
      <w:r>
        <w:rPr/>
        <w:t>hypothesized;</w:t>
      </w:r>
      <w:r>
        <w:rPr>
          <w:spacing w:val="-15"/>
        </w:rPr>
        <w:t> </w:t>
      </w:r>
      <w:r>
        <w:rPr/>
        <w:t>the</w:t>
      </w:r>
      <w:r>
        <w:rPr>
          <w:spacing w:val="-13"/>
        </w:rPr>
        <w:t> </w:t>
      </w:r>
      <w:r>
        <w:rPr/>
        <w:t>IFN-I(α)</w:t>
      </w:r>
      <w:r>
        <w:rPr>
          <w:spacing w:val="35"/>
        </w:rPr>
        <w:t> </w:t>
      </w:r>
      <w:r>
        <w:rPr/>
        <w:t>expression was higher </w:t>
      </w:r>
      <w:r>
        <w:rPr>
          <w:spacing w:val="-3"/>
        </w:rPr>
        <w:t>in </w:t>
      </w:r>
      <w:r>
        <w:rPr/>
        <w:t>infected cells with serotype Sp virus, suggesting a lineal positive correlation between</w:t>
      </w:r>
      <w:r>
        <w:rPr>
          <w:spacing w:val="-17"/>
        </w:rPr>
        <w:t> </w:t>
      </w:r>
      <w:r>
        <w:rPr/>
        <w:t>strain</w:t>
      </w:r>
      <w:r>
        <w:rPr>
          <w:spacing w:val="-13"/>
        </w:rPr>
        <w:t> </w:t>
      </w:r>
      <w:r>
        <w:rPr/>
        <w:t>virulences</w:t>
      </w:r>
      <w:r>
        <w:rPr>
          <w:spacing w:val="-15"/>
        </w:rPr>
        <w:t> </w:t>
      </w:r>
      <w:r>
        <w:rPr/>
        <w:t>and</w:t>
      </w:r>
      <w:r>
        <w:rPr>
          <w:spacing w:val="-13"/>
        </w:rPr>
        <w:t> </w:t>
      </w:r>
      <w:r>
        <w:rPr/>
        <w:t>alpha</w:t>
      </w:r>
      <w:r>
        <w:rPr>
          <w:spacing w:val="-9"/>
        </w:rPr>
        <w:t> </w:t>
      </w:r>
      <w:r>
        <w:rPr/>
        <w:t>interferon</w:t>
      </w:r>
      <w:r>
        <w:rPr>
          <w:spacing w:val="-13"/>
        </w:rPr>
        <w:t> </w:t>
      </w:r>
      <w:r>
        <w:rPr/>
        <w:t>immune</w:t>
      </w:r>
      <w:r>
        <w:rPr>
          <w:spacing w:val="-14"/>
        </w:rPr>
        <w:t> </w:t>
      </w:r>
      <w:r>
        <w:rPr/>
        <w:t>response.</w:t>
      </w:r>
      <w:r>
        <w:rPr>
          <w:spacing w:val="-11"/>
        </w:rPr>
        <w:t> </w:t>
      </w:r>
      <w:r>
        <w:rPr/>
        <w:t>Although</w:t>
      </w:r>
      <w:r>
        <w:rPr>
          <w:spacing w:val="-17"/>
        </w:rPr>
        <w:t> </w:t>
      </w:r>
      <w:r>
        <w:rPr/>
        <w:t>a</w:t>
      </w:r>
      <w:r>
        <w:rPr>
          <w:spacing w:val="-9"/>
        </w:rPr>
        <w:t> </w:t>
      </w:r>
      <w:r>
        <w:rPr/>
        <w:t>high</w:t>
      </w:r>
      <w:r>
        <w:rPr>
          <w:spacing w:val="-17"/>
        </w:rPr>
        <w:t> </w:t>
      </w:r>
      <w:r>
        <w:rPr/>
        <w:t>expression of this cytokine </w:t>
      </w:r>
      <w:r>
        <w:rPr>
          <w:spacing w:val="-3"/>
        </w:rPr>
        <w:t>might </w:t>
      </w:r>
      <w:r>
        <w:rPr/>
        <w:t>produce a negative effect </w:t>
      </w:r>
      <w:r>
        <w:rPr>
          <w:spacing w:val="-3"/>
        </w:rPr>
        <w:t>in cells </w:t>
      </w:r>
      <w:r>
        <w:rPr/>
        <w:t>implicated </w:t>
      </w:r>
      <w:r>
        <w:rPr>
          <w:spacing w:val="-3"/>
        </w:rPr>
        <w:t>in </w:t>
      </w:r>
      <w:r>
        <w:rPr/>
        <w:t>high mortality caused by</w:t>
      </w:r>
      <w:r>
        <w:rPr>
          <w:spacing w:val="-13"/>
        </w:rPr>
        <w:t> </w:t>
      </w:r>
      <w:r>
        <w:rPr/>
        <w:t>the</w:t>
      </w:r>
      <w:r>
        <w:rPr>
          <w:spacing w:val="-10"/>
        </w:rPr>
        <w:t> </w:t>
      </w:r>
      <w:r>
        <w:rPr/>
        <w:t>cell</w:t>
      </w:r>
      <w:r>
        <w:rPr>
          <w:spacing w:val="-17"/>
        </w:rPr>
        <w:t> </w:t>
      </w:r>
      <w:r>
        <w:rPr/>
        <w:t>production</w:t>
      </w:r>
      <w:r>
        <w:rPr>
          <w:spacing w:val="-13"/>
        </w:rPr>
        <w:t> </w:t>
      </w:r>
      <w:r>
        <w:rPr/>
        <w:t>of</w:t>
      </w:r>
      <w:r>
        <w:rPr>
          <w:spacing w:val="-17"/>
        </w:rPr>
        <w:t> </w:t>
      </w:r>
      <w:r>
        <w:rPr/>
        <w:t>proteases</w:t>
      </w:r>
      <w:r>
        <w:rPr>
          <w:spacing w:val="-11"/>
        </w:rPr>
        <w:t> </w:t>
      </w:r>
      <w:r>
        <w:rPr/>
        <w:t>and</w:t>
      </w:r>
      <w:r>
        <w:rPr>
          <w:spacing w:val="-9"/>
        </w:rPr>
        <w:t> </w:t>
      </w:r>
      <w:r>
        <w:rPr/>
        <w:t>other</w:t>
      </w:r>
      <w:r>
        <w:rPr>
          <w:spacing w:val="-7"/>
        </w:rPr>
        <w:t> </w:t>
      </w:r>
      <w:r>
        <w:rPr/>
        <w:t>proteins</w:t>
      </w:r>
      <w:r>
        <w:rPr>
          <w:spacing w:val="-11"/>
        </w:rPr>
        <w:t> </w:t>
      </w:r>
      <w:r>
        <w:rPr/>
        <w:t>that</w:t>
      </w:r>
      <w:r>
        <w:rPr>
          <w:spacing w:val="-4"/>
        </w:rPr>
        <w:t> </w:t>
      </w:r>
      <w:r>
        <w:rPr/>
        <w:t>contribute</w:t>
      </w:r>
      <w:r>
        <w:rPr>
          <w:spacing w:val="-7"/>
        </w:rPr>
        <w:t> </w:t>
      </w:r>
      <w:r>
        <w:rPr/>
        <w:t>to</w:t>
      </w:r>
      <w:r>
        <w:rPr>
          <w:spacing w:val="-4"/>
        </w:rPr>
        <w:t> </w:t>
      </w:r>
      <w:r>
        <w:rPr/>
        <w:t>cell</w:t>
      </w:r>
      <w:r>
        <w:rPr>
          <w:spacing w:val="-13"/>
        </w:rPr>
        <w:t> </w:t>
      </w:r>
      <w:r>
        <w:rPr/>
        <w:t>damage</w:t>
      </w:r>
      <w:r>
        <w:rPr>
          <w:spacing w:val="-10"/>
        </w:rPr>
        <w:t> </w:t>
      </w:r>
      <w:r>
        <w:rPr/>
        <w:t>(Hay</w:t>
      </w:r>
      <w:r>
        <w:rPr>
          <w:spacing w:val="-13"/>
        </w:rPr>
        <w:t> </w:t>
      </w:r>
      <w:r>
        <w:rPr/>
        <w:t>and Kannourakis</w:t>
      </w:r>
      <w:r>
        <w:rPr>
          <w:spacing w:val="-6"/>
        </w:rPr>
        <w:t> </w:t>
      </w:r>
      <w:r>
        <w:rPr/>
        <w:t>2002).</w:t>
      </w:r>
      <w:r>
        <w:rPr>
          <w:spacing w:val="-3"/>
        </w:rPr>
        <w:t> </w:t>
      </w:r>
      <w:r>
        <w:rPr/>
        <w:t>In</w:t>
      </w:r>
      <w:r>
        <w:rPr>
          <w:spacing w:val="-10"/>
        </w:rPr>
        <w:t> </w:t>
      </w:r>
      <w:r>
        <w:rPr/>
        <w:t>contrast</w:t>
      </w:r>
      <w:r>
        <w:rPr>
          <w:spacing w:val="-5"/>
        </w:rPr>
        <w:t> </w:t>
      </w:r>
      <w:r>
        <w:rPr/>
        <w:t>to</w:t>
      </w:r>
      <w:r>
        <w:rPr>
          <w:spacing w:val="-5"/>
        </w:rPr>
        <w:t> </w:t>
      </w:r>
      <w:r>
        <w:rPr/>
        <w:t>the</w:t>
      </w:r>
      <w:r>
        <w:rPr>
          <w:spacing w:val="-6"/>
        </w:rPr>
        <w:t> </w:t>
      </w:r>
      <w:r>
        <w:rPr/>
        <w:t>outcomes</w:t>
      </w:r>
      <w:r>
        <w:rPr>
          <w:spacing w:val="-3"/>
        </w:rPr>
        <w:t> in</w:t>
      </w:r>
      <w:r>
        <w:rPr>
          <w:spacing w:val="-1"/>
        </w:rPr>
        <w:t> </w:t>
      </w:r>
      <w:r>
        <w:rPr/>
        <w:t>infected</w:t>
      </w:r>
      <w:r>
        <w:rPr>
          <w:spacing w:val="-5"/>
        </w:rPr>
        <w:t> </w:t>
      </w:r>
      <w:r>
        <w:rPr/>
        <w:t>cells</w:t>
      </w:r>
      <w:r>
        <w:rPr>
          <w:spacing w:val="-7"/>
        </w:rPr>
        <w:t> </w:t>
      </w:r>
      <w:r>
        <w:rPr/>
        <w:t>with</w:t>
      </w:r>
      <w:r>
        <w:rPr>
          <w:spacing w:val="-10"/>
        </w:rPr>
        <w:t> </w:t>
      </w:r>
      <w:r>
        <w:rPr/>
        <w:t>VR-299</w:t>
      </w:r>
      <w:r>
        <w:rPr>
          <w:spacing w:val="-5"/>
        </w:rPr>
        <w:t> </w:t>
      </w:r>
      <w:r>
        <w:rPr/>
        <w:t>serotype</w:t>
      </w:r>
      <w:r>
        <w:rPr>
          <w:spacing w:val="-2"/>
        </w:rPr>
        <w:t> </w:t>
      </w:r>
      <w:r>
        <w:rPr/>
        <w:t>virus (avirulent strain), the cellular response was</w:t>
      </w:r>
      <w:r>
        <w:rPr>
          <w:spacing w:val="-22"/>
        </w:rPr>
        <w:t> </w:t>
      </w:r>
      <w:r>
        <w:rPr/>
        <w:t>attenuated.</w:t>
      </w:r>
    </w:p>
    <w:p>
      <w:pPr>
        <w:pStyle w:val="BodyText"/>
        <w:spacing w:line="360" w:lineRule="auto" w:before="4"/>
        <w:ind w:left="152" w:right="103"/>
        <w:jc w:val="both"/>
      </w:pPr>
      <w:r>
        <w:rPr/>
        <w:t>Additionally </w:t>
      </w:r>
      <w:r>
        <w:rPr>
          <w:spacing w:val="2"/>
        </w:rPr>
        <w:t>to </w:t>
      </w:r>
      <w:r>
        <w:rPr/>
        <w:t>this study, earlier work demonstrated that IPNV inhibits the mechanism of interferon</w:t>
      </w:r>
      <w:r>
        <w:rPr>
          <w:spacing w:val="-8"/>
        </w:rPr>
        <w:t> </w:t>
      </w:r>
      <w:r>
        <w:rPr/>
        <w:t>signaling</w:t>
      </w:r>
      <w:r>
        <w:rPr>
          <w:spacing w:val="-3"/>
        </w:rPr>
        <w:t> </w:t>
      </w:r>
      <w:r>
        <w:rPr/>
        <w:t>(Robertsen</w:t>
      </w:r>
      <w:r>
        <w:rPr>
          <w:spacing w:val="-8"/>
        </w:rPr>
        <w:t> </w:t>
      </w:r>
      <w:r>
        <w:rPr/>
        <w:t>2008).</w:t>
      </w:r>
      <w:r>
        <w:rPr>
          <w:spacing w:val="-6"/>
        </w:rPr>
        <w:t> </w:t>
      </w:r>
      <w:r>
        <w:rPr/>
        <w:t>In</w:t>
      </w:r>
      <w:r>
        <w:rPr>
          <w:spacing w:val="-8"/>
        </w:rPr>
        <w:t> </w:t>
      </w:r>
      <w:r>
        <w:rPr/>
        <w:t>relation</w:t>
      </w:r>
      <w:r>
        <w:rPr>
          <w:spacing w:val="-8"/>
        </w:rPr>
        <w:t> </w:t>
      </w:r>
      <w:r>
        <w:rPr/>
        <w:t>to</w:t>
      </w:r>
      <w:r>
        <w:rPr>
          <w:spacing w:val="-7"/>
        </w:rPr>
        <w:t> </w:t>
      </w:r>
      <w:r>
        <w:rPr/>
        <w:t>this,</w:t>
      </w:r>
      <w:r>
        <w:rPr>
          <w:spacing w:val="-1"/>
        </w:rPr>
        <w:t> </w:t>
      </w:r>
      <w:r>
        <w:rPr/>
        <w:t>we</w:t>
      </w:r>
      <w:r>
        <w:rPr>
          <w:spacing w:val="-5"/>
        </w:rPr>
        <w:t> </w:t>
      </w:r>
      <w:r>
        <w:rPr/>
        <w:t>showed</w:t>
      </w:r>
      <w:r>
        <w:rPr>
          <w:spacing w:val="-3"/>
        </w:rPr>
        <w:t> </w:t>
      </w:r>
      <w:r>
        <w:rPr/>
        <w:t>an</w:t>
      </w:r>
      <w:r>
        <w:rPr>
          <w:spacing w:val="-3"/>
        </w:rPr>
        <w:t> </w:t>
      </w:r>
      <w:r>
        <w:rPr/>
        <w:t>indirect</w:t>
      </w:r>
      <w:r>
        <w:rPr>
          <w:spacing w:val="1"/>
        </w:rPr>
        <w:t> </w:t>
      </w:r>
      <w:r>
        <w:rPr/>
        <w:t>relationship between VP2-IPNV expression and mRNA STAT-1(α) expression, associated with a decrease</w:t>
      </w:r>
      <w:r>
        <w:rPr>
          <w:spacing w:val="-9"/>
        </w:rPr>
        <w:t> </w:t>
      </w:r>
      <w:r>
        <w:rPr/>
        <w:t>of</w:t>
      </w:r>
      <w:r>
        <w:rPr>
          <w:spacing w:val="-11"/>
        </w:rPr>
        <w:t> </w:t>
      </w:r>
      <w:r>
        <w:rPr/>
        <w:t>interferon</w:t>
      </w:r>
      <w:r>
        <w:rPr>
          <w:spacing w:val="-12"/>
        </w:rPr>
        <w:t> </w:t>
      </w:r>
      <w:r>
        <w:rPr/>
        <w:t>transcript</w:t>
      </w:r>
      <w:r>
        <w:rPr>
          <w:spacing w:val="-3"/>
        </w:rPr>
        <w:t> </w:t>
      </w:r>
      <w:r>
        <w:rPr/>
        <w:t>simultaneously,</w:t>
      </w:r>
      <w:r>
        <w:rPr>
          <w:spacing w:val="-6"/>
        </w:rPr>
        <w:t> </w:t>
      </w:r>
      <w:r>
        <w:rPr/>
        <w:t>explained</w:t>
      </w:r>
      <w:r>
        <w:rPr>
          <w:spacing w:val="-3"/>
        </w:rPr>
        <w:t> </w:t>
      </w:r>
      <w:r>
        <w:rPr/>
        <w:t>by</w:t>
      </w:r>
      <w:r>
        <w:rPr>
          <w:spacing w:val="-16"/>
        </w:rPr>
        <w:t> </w:t>
      </w:r>
      <w:r>
        <w:rPr/>
        <w:t>STAT-1(α)</w:t>
      </w:r>
      <w:r>
        <w:rPr>
          <w:spacing w:val="-6"/>
        </w:rPr>
        <w:t> </w:t>
      </w:r>
      <w:r>
        <w:rPr>
          <w:spacing w:val="-3"/>
        </w:rPr>
        <w:t>is</w:t>
      </w:r>
      <w:r>
        <w:rPr>
          <w:spacing w:val="-10"/>
        </w:rPr>
        <w:t> </w:t>
      </w:r>
      <w:r>
        <w:rPr/>
        <w:t>ISGs.</w:t>
      </w:r>
      <w:r>
        <w:rPr>
          <w:spacing w:val="-6"/>
        </w:rPr>
        <w:t> </w:t>
      </w:r>
      <w:r>
        <w:rPr/>
        <w:t>However, our research also showed that </w:t>
      </w:r>
      <w:r>
        <w:rPr>
          <w:spacing w:val="-2"/>
        </w:rPr>
        <w:t>higher </w:t>
      </w:r>
      <w:r>
        <w:rPr/>
        <w:t>virulence strain </w:t>
      </w:r>
      <w:r>
        <w:rPr>
          <w:spacing w:val="-3"/>
        </w:rPr>
        <w:t>is </w:t>
      </w:r>
      <w:r>
        <w:rPr/>
        <w:t>not associated with a greater effect for blocking of alpha interferon signaling. </w:t>
      </w:r>
      <w:r>
        <w:rPr>
          <w:spacing w:val="-3"/>
        </w:rPr>
        <w:t>This </w:t>
      </w:r>
      <w:r>
        <w:rPr/>
        <w:t>outcome can </w:t>
      </w:r>
      <w:r>
        <w:rPr>
          <w:spacing w:val="-3"/>
        </w:rPr>
        <w:t>be </w:t>
      </w:r>
      <w:r>
        <w:rPr/>
        <w:t>explained by STAT-1(α) expression was higher at 8 hpi </w:t>
      </w:r>
      <w:r>
        <w:rPr>
          <w:spacing w:val="-3"/>
        </w:rPr>
        <w:t>in </w:t>
      </w:r>
      <w:r>
        <w:rPr/>
        <w:t>infected cells with serotype Sp virus. Additionally, this latter finding </w:t>
      </w:r>
      <w:r>
        <w:rPr>
          <w:spacing w:val="-5"/>
        </w:rPr>
        <w:t>is </w:t>
      </w:r>
      <w:r>
        <w:rPr/>
        <w:t>supported by higher STAT1(α/β) phosphorylation level induced by serotype Sp virus compared to serotype VR-299 virus between 4 and 24 hpi</w:t>
      </w:r>
      <w:r>
        <w:rPr>
          <w:spacing w:val="-43"/>
        </w:rPr>
        <w:t> </w:t>
      </w:r>
      <w:r>
        <w:rPr/>
        <w:t>(phosphorylation peak at 12</w:t>
      </w:r>
      <w:r>
        <w:rPr>
          <w:spacing w:val="-9"/>
        </w:rPr>
        <w:t> </w:t>
      </w:r>
      <w:r>
        <w:rPr/>
        <w:t>hpi).</w:t>
      </w:r>
    </w:p>
    <w:p>
      <w:pPr>
        <w:pStyle w:val="BodyText"/>
        <w:spacing w:line="360" w:lineRule="auto" w:before="8"/>
        <w:ind w:left="152" w:right="105"/>
        <w:jc w:val="both"/>
      </w:pPr>
      <w:r>
        <w:rPr/>
        <w:t>Additionally, we demonstrated that Mx-1 protein </w:t>
      </w:r>
      <w:r>
        <w:rPr>
          <w:spacing w:val="-3"/>
        </w:rPr>
        <w:t>inhibit </w:t>
      </w:r>
      <w:r>
        <w:rPr/>
        <w:t>IPNV replication (Larsen et </w:t>
      </w:r>
      <w:r>
        <w:rPr>
          <w:spacing w:val="-4"/>
        </w:rPr>
        <w:t>al. </w:t>
      </w:r>
      <w:r>
        <w:rPr/>
        <w:t>2004;</w:t>
      </w:r>
      <w:r>
        <w:rPr>
          <w:spacing w:val="-12"/>
        </w:rPr>
        <w:t> </w:t>
      </w:r>
      <w:r>
        <w:rPr/>
        <w:t>Jørgensen</w:t>
      </w:r>
      <w:r>
        <w:rPr>
          <w:spacing w:val="-13"/>
        </w:rPr>
        <w:t> </w:t>
      </w:r>
      <w:r>
        <w:rPr/>
        <w:t>et</w:t>
      </w:r>
      <w:r>
        <w:rPr>
          <w:spacing w:val="-8"/>
        </w:rPr>
        <w:t> </w:t>
      </w:r>
      <w:r>
        <w:rPr>
          <w:spacing w:val="-4"/>
        </w:rPr>
        <w:t>al.</w:t>
      </w:r>
      <w:r>
        <w:rPr>
          <w:spacing w:val="-7"/>
        </w:rPr>
        <w:t> </w:t>
      </w:r>
      <w:r>
        <w:rPr/>
        <w:t>2007).</w:t>
      </w:r>
      <w:r>
        <w:rPr>
          <w:spacing w:val="-10"/>
        </w:rPr>
        <w:t> </w:t>
      </w:r>
      <w:r>
        <w:rPr/>
        <w:t>However,</w:t>
      </w:r>
      <w:r>
        <w:rPr>
          <w:spacing w:val="-7"/>
        </w:rPr>
        <w:t> </w:t>
      </w:r>
      <w:r>
        <w:rPr/>
        <w:t>Mx-1</w:t>
      </w:r>
      <w:r>
        <w:rPr>
          <w:spacing w:val="-13"/>
        </w:rPr>
        <w:t> </w:t>
      </w:r>
      <w:r>
        <w:rPr/>
        <w:t>transcript</w:t>
      </w:r>
      <w:r>
        <w:rPr>
          <w:spacing w:val="-4"/>
        </w:rPr>
        <w:t> </w:t>
      </w:r>
      <w:r>
        <w:rPr/>
        <w:t>was</w:t>
      </w:r>
      <w:r>
        <w:rPr>
          <w:spacing w:val="-10"/>
        </w:rPr>
        <w:t> </w:t>
      </w:r>
      <w:r>
        <w:rPr/>
        <w:t>down-regulated</w:t>
      </w:r>
      <w:r>
        <w:rPr>
          <w:spacing w:val="-8"/>
        </w:rPr>
        <w:t> </w:t>
      </w:r>
      <w:r>
        <w:rPr/>
        <w:t>simultaneously, the virus replication increased. Possibly, because RTG-2 </w:t>
      </w:r>
      <w:r>
        <w:rPr>
          <w:spacing w:val="-3"/>
        </w:rPr>
        <w:t>cells </w:t>
      </w:r>
      <w:r>
        <w:rPr/>
        <w:t>were not priory stimulated with IFN-I or Poly: IC (Skjesol et </w:t>
      </w:r>
      <w:r>
        <w:rPr>
          <w:spacing w:val="-4"/>
        </w:rPr>
        <w:t>al. </w:t>
      </w:r>
      <w:r>
        <w:rPr/>
        <w:t>2009). Interestingly, the Mx-1 transcript level between both strains was similar to other study (Ortega et </w:t>
      </w:r>
      <w:r>
        <w:rPr>
          <w:spacing w:val="-3"/>
        </w:rPr>
        <w:t>al. </w:t>
      </w:r>
      <w:r>
        <w:rPr/>
        <w:t>2011), which reported virulence strain does not affect the Mx expression; we suggest that both strains has a similar antiviral sensitivity against the interferon response and ISGs such as Mx protein. A positive effect Mx</w:t>
      </w:r>
      <w:r>
        <w:rPr>
          <w:spacing w:val="-11"/>
        </w:rPr>
        <w:t> </w:t>
      </w:r>
      <w:r>
        <w:rPr/>
        <w:t>protein</w:t>
      </w:r>
      <w:r>
        <w:rPr>
          <w:spacing w:val="-11"/>
        </w:rPr>
        <w:t> </w:t>
      </w:r>
      <w:r>
        <w:rPr/>
        <w:t>against</w:t>
      </w:r>
      <w:r>
        <w:rPr>
          <w:spacing w:val="-1"/>
        </w:rPr>
        <w:t> </w:t>
      </w:r>
      <w:r>
        <w:rPr/>
        <w:t>infection</w:t>
      </w:r>
      <w:r>
        <w:rPr>
          <w:spacing w:val="-11"/>
        </w:rPr>
        <w:t> </w:t>
      </w:r>
      <w:r>
        <w:rPr/>
        <w:t>IPNV</w:t>
      </w:r>
      <w:r>
        <w:rPr>
          <w:spacing w:val="-7"/>
        </w:rPr>
        <w:t> </w:t>
      </w:r>
      <w:r>
        <w:rPr/>
        <w:t>possibly</w:t>
      </w:r>
      <w:r>
        <w:rPr>
          <w:spacing w:val="-6"/>
        </w:rPr>
        <w:t> </w:t>
      </w:r>
      <w:r>
        <w:rPr>
          <w:spacing w:val="-3"/>
        </w:rPr>
        <w:t>is </w:t>
      </w:r>
      <w:r>
        <w:rPr/>
        <w:t>mediated</w:t>
      </w:r>
      <w:r>
        <w:rPr>
          <w:spacing w:val="-6"/>
        </w:rPr>
        <w:t> </w:t>
      </w:r>
      <w:r>
        <w:rPr/>
        <w:t>by</w:t>
      </w:r>
      <w:r>
        <w:rPr>
          <w:spacing w:val="-14"/>
        </w:rPr>
        <w:t> </w:t>
      </w:r>
      <w:r>
        <w:rPr/>
        <w:t>other</w:t>
      </w:r>
      <w:r>
        <w:rPr>
          <w:spacing w:val="-4"/>
        </w:rPr>
        <w:t> </w:t>
      </w:r>
      <w:r>
        <w:rPr/>
        <w:t>factors</w:t>
      </w:r>
      <w:r>
        <w:rPr>
          <w:spacing w:val="-8"/>
        </w:rPr>
        <w:t> </w:t>
      </w:r>
      <w:r>
        <w:rPr/>
        <w:t>such</w:t>
      </w:r>
      <w:r>
        <w:rPr>
          <w:spacing w:val="-11"/>
        </w:rPr>
        <w:t> </w:t>
      </w:r>
      <w:r>
        <w:rPr/>
        <w:t>as</w:t>
      </w:r>
      <w:r>
        <w:rPr>
          <w:spacing w:val="-3"/>
        </w:rPr>
        <w:t> </w:t>
      </w:r>
      <w:r>
        <w:rPr/>
        <w:t>isoform</w:t>
      </w:r>
      <w:r>
        <w:rPr>
          <w:spacing w:val="-14"/>
        </w:rPr>
        <w:t> </w:t>
      </w:r>
      <w:r>
        <w:rPr/>
        <w:t>and amount of protein, cells type, infection temperature among others (Arguedas et </w:t>
      </w:r>
      <w:r>
        <w:rPr>
          <w:spacing w:val="-4"/>
        </w:rPr>
        <w:t>al.</w:t>
      </w:r>
      <w:r>
        <w:rPr>
          <w:spacing w:val="-13"/>
        </w:rPr>
        <w:t> </w:t>
      </w:r>
      <w:r>
        <w:rPr/>
        <w:t>2015).</w:t>
      </w:r>
    </w:p>
    <w:p>
      <w:pPr>
        <w:spacing w:after="0" w:line="360" w:lineRule="auto"/>
        <w:jc w:val="both"/>
        <w:sectPr>
          <w:pgSz w:w="12240" w:h="15840"/>
          <w:pgMar w:header="0" w:footer="1382" w:top="1500" w:bottom="1580" w:left="1720" w:right="1420"/>
        </w:sectPr>
      </w:pPr>
    </w:p>
    <w:p>
      <w:pPr>
        <w:pStyle w:val="BodyText"/>
        <w:spacing w:before="7"/>
        <w:rPr>
          <w:sz w:val="25"/>
        </w:rPr>
      </w:pPr>
    </w:p>
    <w:p>
      <w:pPr>
        <w:pStyle w:val="BodyText"/>
        <w:spacing w:line="360" w:lineRule="auto" w:before="70"/>
        <w:ind w:left="152" w:right="104"/>
        <w:jc w:val="both"/>
      </w:pPr>
      <w:r>
        <w:rPr/>
        <w:t>The Y-701 STAT1(α/β) phosphorylation mediates rapid and robust activity and expression specific transcriptional of genes for the activating of cytokines and cell factors growth (Decker et al. 2002; Skjesol et al. 2010). Our results showed that STAT1(α/β) -pY701 level was significantly increased in infected cells serotype Sp virus, determined by a significant increase of IFN-I(α) expression at an early point after infection (4 and 8 hpi) compared to values observed in infected cell serotype VR-299 virus. This suggest that, 701 STAT1(α/β) tyrosine was activated by interferon type I(α) in trout, but not by intracellular type (iIFN-Ib) that was reported for the first time in vertebrates (</w:t>
      </w:r>
      <w:r>
        <w:rPr>
          <w:i/>
        </w:rPr>
        <w:t>rainbow trout</w:t>
      </w:r>
      <w:r>
        <w:rPr/>
        <w:t>), not showing biological activity on STAT1 and STAT2 phosphorylation (Chang et al. 2013).</w:t>
      </w:r>
    </w:p>
    <w:p>
      <w:pPr>
        <w:pStyle w:val="BodyText"/>
        <w:spacing w:line="360" w:lineRule="auto" w:before="4"/>
        <w:ind w:left="152" w:right="99"/>
        <w:jc w:val="both"/>
      </w:pPr>
      <w:r>
        <w:rPr/>
        <w:t>The alpha interferon response against IPNV infection induced 701-STAT1(α/β) phosphorylation with both serotypes. Fascinatingly, this observation illustrate that </w:t>
      </w:r>
      <w:r>
        <w:rPr>
          <w:spacing w:val="3"/>
        </w:rPr>
        <w:t>IPNV </w:t>
      </w:r>
      <w:r>
        <w:rPr/>
        <w:t>does not </w:t>
      </w:r>
      <w:r>
        <w:rPr>
          <w:spacing w:val="-3"/>
        </w:rPr>
        <w:t>inhibit </w:t>
      </w:r>
      <w:r>
        <w:rPr/>
        <w:t>the phosphorylation of 701-tyrosine-STAT1(α/β) stimulated by IFN-I(α), contrary</w:t>
      </w:r>
      <w:r>
        <w:rPr>
          <w:spacing w:val="-15"/>
        </w:rPr>
        <w:t> </w:t>
      </w:r>
      <w:r>
        <w:rPr/>
        <w:t>to</w:t>
      </w:r>
      <w:r>
        <w:rPr>
          <w:spacing w:val="-10"/>
        </w:rPr>
        <w:t> </w:t>
      </w:r>
      <w:r>
        <w:rPr/>
        <w:t>other</w:t>
      </w:r>
      <w:r>
        <w:rPr>
          <w:spacing w:val="-4"/>
        </w:rPr>
        <w:t> </w:t>
      </w:r>
      <w:r>
        <w:rPr/>
        <w:t>RNA</w:t>
      </w:r>
      <w:r>
        <w:rPr>
          <w:spacing w:val="-12"/>
        </w:rPr>
        <w:t> </w:t>
      </w:r>
      <w:r>
        <w:rPr/>
        <w:t>viruses</w:t>
      </w:r>
      <w:r>
        <w:rPr>
          <w:spacing w:val="-8"/>
        </w:rPr>
        <w:t> </w:t>
      </w:r>
      <w:r>
        <w:rPr/>
        <w:t>(Horvath</w:t>
      </w:r>
      <w:r>
        <w:rPr>
          <w:spacing w:val="-11"/>
        </w:rPr>
        <w:t> </w:t>
      </w:r>
      <w:r>
        <w:rPr/>
        <w:t>2004;</w:t>
      </w:r>
      <w:r>
        <w:rPr>
          <w:spacing w:val="-10"/>
        </w:rPr>
        <w:t> </w:t>
      </w:r>
      <w:r>
        <w:rPr/>
        <w:t>Randall</w:t>
      </w:r>
      <w:r>
        <w:rPr>
          <w:spacing w:val="-15"/>
        </w:rPr>
        <w:t> </w:t>
      </w:r>
      <w:r>
        <w:rPr/>
        <w:t>and</w:t>
      </w:r>
      <w:r>
        <w:rPr>
          <w:spacing w:val="-6"/>
        </w:rPr>
        <w:t> </w:t>
      </w:r>
      <w:r>
        <w:rPr/>
        <w:t>Goodbourn,</w:t>
      </w:r>
      <w:r>
        <w:rPr>
          <w:spacing w:val="-4"/>
        </w:rPr>
        <w:t> </w:t>
      </w:r>
      <w:r>
        <w:rPr/>
        <w:t>2008).</w:t>
      </w:r>
      <w:r>
        <w:rPr>
          <w:spacing w:val="-8"/>
        </w:rPr>
        <w:t> </w:t>
      </w:r>
      <w:r>
        <w:rPr/>
        <w:t>Nevertheless, the</w:t>
      </w:r>
      <w:r>
        <w:rPr>
          <w:spacing w:val="-2"/>
        </w:rPr>
        <w:t> </w:t>
      </w:r>
      <w:r>
        <w:rPr/>
        <w:t>level</w:t>
      </w:r>
      <w:r>
        <w:rPr>
          <w:spacing w:val="-10"/>
        </w:rPr>
        <w:t> </w:t>
      </w:r>
      <w:r>
        <w:rPr/>
        <w:t>Y701-STAT1(α/β)</w:t>
      </w:r>
      <w:r>
        <w:rPr>
          <w:spacing w:val="-4"/>
        </w:rPr>
        <w:t> </w:t>
      </w:r>
      <w:r>
        <w:rPr/>
        <w:t>activation</w:t>
      </w:r>
      <w:r>
        <w:rPr>
          <w:spacing w:val="-6"/>
        </w:rPr>
        <w:t> </w:t>
      </w:r>
      <w:r>
        <w:rPr>
          <w:spacing w:val="-3"/>
        </w:rPr>
        <w:t>is</w:t>
      </w:r>
      <w:r>
        <w:rPr>
          <w:spacing w:val="-8"/>
        </w:rPr>
        <w:t> </w:t>
      </w:r>
      <w:r>
        <w:rPr/>
        <w:t>directly</w:t>
      </w:r>
      <w:r>
        <w:rPr>
          <w:spacing w:val="-11"/>
        </w:rPr>
        <w:t> </w:t>
      </w:r>
      <w:r>
        <w:rPr/>
        <w:t>correlated</w:t>
      </w:r>
      <w:r>
        <w:rPr>
          <w:spacing w:val="-6"/>
        </w:rPr>
        <w:t> </w:t>
      </w:r>
      <w:r>
        <w:rPr/>
        <w:t>with</w:t>
      </w:r>
      <w:r>
        <w:rPr>
          <w:spacing w:val="-11"/>
        </w:rPr>
        <w:t> </w:t>
      </w:r>
      <w:r>
        <w:rPr/>
        <w:t>the</w:t>
      </w:r>
      <w:r>
        <w:rPr>
          <w:spacing w:val="-7"/>
        </w:rPr>
        <w:t> </w:t>
      </w:r>
      <w:r>
        <w:rPr/>
        <w:t>strains</w:t>
      </w:r>
      <w:r>
        <w:rPr>
          <w:spacing w:val="-8"/>
        </w:rPr>
        <w:t> </w:t>
      </w:r>
      <w:r>
        <w:rPr/>
        <w:t>IPNV</w:t>
      </w:r>
      <w:r>
        <w:rPr>
          <w:spacing w:val="-7"/>
        </w:rPr>
        <w:t> </w:t>
      </w:r>
      <w:r>
        <w:rPr/>
        <w:t>virulence. Activation</w:t>
      </w:r>
      <w:r>
        <w:rPr>
          <w:spacing w:val="-20"/>
        </w:rPr>
        <w:t> </w:t>
      </w:r>
      <w:r>
        <w:rPr/>
        <w:t>of</w:t>
      </w:r>
      <w:r>
        <w:rPr>
          <w:spacing w:val="-23"/>
        </w:rPr>
        <w:t> </w:t>
      </w:r>
      <w:r>
        <w:rPr/>
        <w:t>STAT1(α/β)</w:t>
      </w:r>
      <w:r>
        <w:rPr>
          <w:spacing w:val="-10"/>
        </w:rPr>
        <w:t> </w:t>
      </w:r>
      <w:r>
        <w:rPr>
          <w:spacing w:val="-3"/>
        </w:rPr>
        <w:t>in</w:t>
      </w:r>
      <w:r>
        <w:rPr>
          <w:spacing w:val="-15"/>
        </w:rPr>
        <w:t> </w:t>
      </w:r>
      <w:r>
        <w:rPr/>
        <w:t>mammals</w:t>
      </w:r>
      <w:r>
        <w:rPr>
          <w:spacing w:val="-14"/>
        </w:rPr>
        <w:t> </w:t>
      </w:r>
      <w:r>
        <w:rPr/>
        <w:t>contributes</w:t>
      </w:r>
      <w:r>
        <w:rPr>
          <w:spacing w:val="-18"/>
        </w:rPr>
        <w:t> </w:t>
      </w:r>
      <w:r>
        <w:rPr/>
        <w:t>to</w:t>
      </w:r>
      <w:r>
        <w:rPr>
          <w:spacing w:val="-20"/>
        </w:rPr>
        <w:t> </w:t>
      </w:r>
      <w:r>
        <w:rPr/>
        <w:t>the</w:t>
      </w:r>
      <w:r>
        <w:rPr>
          <w:spacing w:val="-13"/>
        </w:rPr>
        <w:t> </w:t>
      </w:r>
      <w:r>
        <w:rPr/>
        <w:t>maximum</w:t>
      </w:r>
      <w:r>
        <w:rPr>
          <w:spacing w:val="-25"/>
        </w:rPr>
        <w:t> </w:t>
      </w:r>
      <w:r>
        <w:rPr/>
        <w:t>transcriptional</w:t>
      </w:r>
      <w:r>
        <w:rPr>
          <w:spacing w:val="-20"/>
        </w:rPr>
        <w:t> </w:t>
      </w:r>
      <w:r>
        <w:rPr/>
        <w:t>activation and</w:t>
      </w:r>
      <w:r>
        <w:rPr>
          <w:spacing w:val="-9"/>
        </w:rPr>
        <w:t> </w:t>
      </w:r>
      <w:r>
        <w:rPr/>
        <w:t>apoptosis</w:t>
      </w:r>
      <w:r>
        <w:rPr>
          <w:spacing w:val="-11"/>
        </w:rPr>
        <w:t> </w:t>
      </w:r>
      <w:r>
        <w:rPr/>
        <w:t>(Sironi</w:t>
      </w:r>
      <w:r>
        <w:rPr>
          <w:spacing w:val="-18"/>
        </w:rPr>
        <w:t> </w:t>
      </w:r>
      <w:r>
        <w:rPr/>
        <w:t>and</w:t>
      </w:r>
      <w:r>
        <w:rPr>
          <w:spacing w:val="-9"/>
        </w:rPr>
        <w:t> </w:t>
      </w:r>
      <w:r>
        <w:rPr/>
        <w:t>Ouchi</w:t>
      </w:r>
      <w:r>
        <w:rPr>
          <w:spacing w:val="-18"/>
        </w:rPr>
        <w:t> </w:t>
      </w:r>
      <w:r>
        <w:rPr/>
        <w:t>2004;</w:t>
      </w:r>
      <w:r>
        <w:rPr>
          <w:spacing w:val="-13"/>
        </w:rPr>
        <w:t> </w:t>
      </w:r>
      <w:r>
        <w:rPr/>
        <w:t>Thomas</w:t>
      </w:r>
      <w:r>
        <w:rPr>
          <w:spacing w:val="-11"/>
        </w:rPr>
        <w:t> </w:t>
      </w:r>
      <w:r>
        <w:rPr/>
        <w:t>et</w:t>
      </w:r>
      <w:r>
        <w:rPr>
          <w:spacing w:val="-4"/>
        </w:rPr>
        <w:t> </w:t>
      </w:r>
      <w:r>
        <w:rPr>
          <w:spacing w:val="-6"/>
        </w:rPr>
        <w:t>al.</w:t>
      </w:r>
      <w:r>
        <w:rPr>
          <w:spacing w:val="-7"/>
        </w:rPr>
        <w:t> </w:t>
      </w:r>
      <w:r>
        <w:rPr/>
        <w:t>2004;</w:t>
      </w:r>
      <w:r>
        <w:rPr>
          <w:spacing w:val="-13"/>
        </w:rPr>
        <w:t> </w:t>
      </w:r>
      <w:r>
        <w:rPr/>
        <w:t>Townsend</w:t>
      </w:r>
      <w:r>
        <w:rPr>
          <w:spacing w:val="-9"/>
        </w:rPr>
        <w:t> </w:t>
      </w:r>
      <w:r>
        <w:rPr/>
        <w:t>et</w:t>
      </w:r>
      <w:r>
        <w:rPr>
          <w:spacing w:val="-4"/>
        </w:rPr>
        <w:t> al.</w:t>
      </w:r>
      <w:r>
        <w:rPr>
          <w:spacing w:val="-7"/>
        </w:rPr>
        <w:t> </w:t>
      </w:r>
      <w:r>
        <w:rPr/>
        <w:t>2004).</w:t>
      </w:r>
      <w:r>
        <w:rPr>
          <w:spacing w:val="-7"/>
        </w:rPr>
        <w:t> </w:t>
      </w:r>
      <w:r>
        <w:rPr/>
        <w:t>Apoptosis previously documented by </w:t>
      </w:r>
      <w:r>
        <w:rPr>
          <w:i/>
        </w:rPr>
        <w:t>IPNV </w:t>
      </w:r>
      <w:r>
        <w:rPr/>
        <w:t>infected fish both </w:t>
      </w:r>
      <w:r>
        <w:rPr>
          <w:i/>
        </w:rPr>
        <w:t>in vitro </w:t>
      </w:r>
      <w:r>
        <w:rPr/>
        <w:t>and </w:t>
      </w:r>
      <w:r>
        <w:rPr>
          <w:i/>
        </w:rPr>
        <w:t>in vivo </w:t>
      </w:r>
      <w:r>
        <w:rPr/>
        <w:t>independently strain virulence (Hong et </w:t>
      </w:r>
      <w:r>
        <w:rPr>
          <w:spacing w:val="-4"/>
        </w:rPr>
        <w:t>al. </w:t>
      </w:r>
      <w:r>
        <w:rPr/>
        <w:t>1999; Espinoza et </w:t>
      </w:r>
      <w:r>
        <w:rPr>
          <w:spacing w:val="-4"/>
        </w:rPr>
        <w:t>al. </w:t>
      </w:r>
      <w:r>
        <w:rPr/>
        <w:t>2005; Ortega </w:t>
      </w:r>
      <w:r>
        <w:rPr>
          <w:spacing w:val="-3"/>
        </w:rPr>
        <w:t>et </w:t>
      </w:r>
      <w:r>
        <w:rPr>
          <w:spacing w:val="-4"/>
        </w:rPr>
        <w:t>al. </w:t>
      </w:r>
      <w:r>
        <w:rPr/>
        <w:t>2014). Hence, our results of higher STAT1(α/β) activation found </w:t>
      </w:r>
      <w:r>
        <w:rPr>
          <w:spacing w:val="-3"/>
        </w:rPr>
        <w:t>in </w:t>
      </w:r>
      <w:r>
        <w:rPr/>
        <w:t>infected cell with serotype Sp virus indicates apparently</w:t>
      </w:r>
      <w:r>
        <w:rPr>
          <w:spacing w:val="-19"/>
        </w:rPr>
        <w:t> </w:t>
      </w:r>
      <w:r>
        <w:rPr/>
        <w:t>that</w:t>
      </w:r>
      <w:r>
        <w:rPr>
          <w:spacing w:val="-9"/>
        </w:rPr>
        <w:t> </w:t>
      </w:r>
      <w:r>
        <w:rPr/>
        <w:t>apoptosis</w:t>
      </w:r>
      <w:r>
        <w:rPr>
          <w:spacing w:val="-12"/>
        </w:rPr>
        <w:t> </w:t>
      </w:r>
      <w:r>
        <w:rPr/>
        <w:t>mechanism</w:t>
      </w:r>
      <w:r>
        <w:rPr>
          <w:spacing w:val="-19"/>
        </w:rPr>
        <w:t> </w:t>
      </w:r>
      <w:r>
        <w:rPr/>
        <w:t>was</w:t>
      </w:r>
      <w:r>
        <w:rPr>
          <w:spacing w:val="-17"/>
        </w:rPr>
        <w:t> </w:t>
      </w:r>
      <w:r>
        <w:rPr/>
        <w:t>required</w:t>
      </w:r>
      <w:r>
        <w:rPr>
          <w:spacing w:val="-10"/>
        </w:rPr>
        <w:t> </w:t>
      </w:r>
      <w:r>
        <w:rPr/>
        <w:t>for</w:t>
      </w:r>
      <w:r>
        <w:rPr>
          <w:spacing w:val="-18"/>
        </w:rPr>
        <w:t> </w:t>
      </w:r>
      <w:r>
        <w:rPr/>
        <w:t>rapid</w:t>
      </w:r>
      <w:r>
        <w:rPr>
          <w:spacing w:val="-14"/>
        </w:rPr>
        <w:t> </w:t>
      </w:r>
      <w:r>
        <w:rPr/>
        <w:t>elimination</w:t>
      </w:r>
      <w:r>
        <w:rPr>
          <w:spacing w:val="-19"/>
        </w:rPr>
        <w:t> </w:t>
      </w:r>
      <w:r>
        <w:rPr/>
        <w:t>of</w:t>
      </w:r>
      <w:r>
        <w:rPr>
          <w:spacing w:val="-18"/>
        </w:rPr>
        <w:t> </w:t>
      </w:r>
      <w:r>
        <w:rPr/>
        <w:t>infected</w:t>
      </w:r>
      <w:r>
        <w:rPr>
          <w:spacing w:val="-14"/>
        </w:rPr>
        <w:t> </w:t>
      </w:r>
      <w:r>
        <w:rPr>
          <w:spacing w:val="-3"/>
        </w:rPr>
        <w:t>cell,</w:t>
      </w:r>
      <w:r>
        <w:rPr>
          <w:spacing w:val="34"/>
        </w:rPr>
        <w:t> </w:t>
      </w:r>
      <w:r>
        <w:rPr/>
        <w:t>such as high cellular response </w:t>
      </w:r>
      <w:r>
        <w:rPr>
          <w:spacing w:val="2"/>
        </w:rPr>
        <w:t>to </w:t>
      </w:r>
      <w:r>
        <w:rPr/>
        <w:t>the strain virulence. Additionally the STAT-1(α) and IFN-I(α) expression were down-regulated, that </w:t>
      </w:r>
      <w:r>
        <w:rPr>
          <w:spacing w:val="-3"/>
        </w:rPr>
        <w:t>might be </w:t>
      </w:r>
      <w:r>
        <w:rPr/>
        <w:t>associated to a lower quantity of </w:t>
      </w:r>
      <w:r>
        <w:rPr>
          <w:spacing w:val="-3"/>
        </w:rPr>
        <w:t>live </w:t>
      </w:r>
      <w:r>
        <w:rPr/>
        <w:t>cells. Contrary, the up-regulation gene expression found </w:t>
      </w:r>
      <w:r>
        <w:rPr>
          <w:spacing w:val="-3"/>
        </w:rPr>
        <w:t>in </w:t>
      </w:r>
      <w:r>
        <w:rPr/>
        <w:t>infected cell with serotype VR-299 virus at 24 and 60 hpi which could </w:t>
      </w:r>
      <w:r>
        <w:rPr>
          <w:spacing w:val="-3"/>
        </w:rPr>
        <w:t>be </w:t>
      </w:r>
      <w:r>
        <w:rPr/>
        <w:t>a consequence of a </w:t>
      </w:r>
      <w:r>
        <w:rPr>
          <w:spacing w:val="-2"/>
        </w:rPr>
        <w:t>higher </w:t>
      </w:r>
      <w:r>
        <w:rPr/>
        <w:t>cell’s ability </w:t>
      </w:r>
      <w:r>
        <w:rPr>
          <w:spacing w:val="2"/>
        </w:rPr>
        <w:t>to </w:t>
      </w:r>
      <w:r>
        <w:rPr/>
        <w:t>establish an antiviral effect. However, information associated with STAT1(α/β) phosphorylation after IPNV</w:t>
      </w:r>
      <w:r>
        <w:rPr>
          <w:spacing w:val="-15"/>
        </w:rPr>
        <w:t> </w:t>
      </w:r>
      <w:r>
        <w:rPr/>
        <w:t>infection</w:t>
      </w:r>
      <w:r>
        <w:rPr>
          <w:spacing w:val="-14"/>
        </w:rPr>
        <w:t> </w:t>
      </w:r>
      <w:r>
        <w:rPr>
          <w:spacing w:val="-3"/>
        </w:rPr>
        <w:t>in</w:t>
      </w:r>
      <w:r>
        <w:rPr>
          <w:spacing w:val="-19"/>
        </w:rPr>
        <w:t> </w:t>
      </w:r>
      <w:r>
        <w:rPr/>
        <w:t>teleost</w:t>
      </w:r>
      <w:r>
        <w:rPr>
          <w:spacing w:val="-9"/>
        </w:rPr>
        <w:t> </w:t>
      </w:r>
      <w:r>
        <w:rPr>
          <w:spacing w:val="-5"/>
        </w:rPr>
        <w:t>is</w:t>
      </w:r>
      <w:r>
        <w:rPr>
          <w:spacing w:val="-12"/>
        </w:rPr>
        <w:t> </w:t>
      </w:r>
      <w:r>
        <w:rPr/>
        <w:t>limited</w:t>
      </w:r>
      <w:r>
        <w:rPr>
          <w:spacing w:val="-14"/>
        </w:rPr>
        <w:t> </w:t>
      </w:r>
      <w:r>
        <w:rPr/>
        <w:t>and</w:t>
      </w:r>
      <w:r>
        <w:rPr>
          <w:spacing w:val="-14"/>
        </w:rPr>
        <w:t> </w:t>
      </w:r>
      <w:r>
        <w:rPr/>
        <w:t>the</w:t>
      </w:r>
      <w:r>
        <w:rPr>
          <w:spacing w:val="-15"/>
        </w:rPr>
        <w:t> </w:t>
      </w:r>
      <w:r>
        <w:rPr/>
        <w:t>apoptosis</w:t>
      </w:r>
      <w:r>
        <w:rPr>
          <w:spacing w:val="-17"/>
        </w:rPr>
        <w:t> </w:t>
      </w:r>
      <w:r>
        <w:rPr/>
        <w:t>depend</w:t>
      </w:r>
      <w:r>
        <w:rPr>
          <w:spacing w:val="-14"/>
        </w:rPr>
        <w:t> </w:t>
      </w:r>
      <w:r>
        <w:rPr/>
        <w:t>completely</w:t>
      </w:r>
      <w:r>
        <w:rPr>
          <w:spacing w:val="-19"/>
        </w:rPr>
        <w:t> </w:t>
      </w:r>
      <w:r>
        <w:rPr/>
        <w:t>on</w:t>
      </w:r>
      <w:r>
        <w:rPr>
          <w:spacing w:val="-19"/>
        </w:rPr>
        <w:t> </w:t>
      </w:r>
      <w:r>
        <w:rPr/>
        <w:t>the</w:t>
      </w:r>
      <w:r>
        <w:rPr>
          <w:spacing w:val="-15"/>
        </w:rPr>
        <w:t> </w:t>
      </w:r>
      <w:r>
        <w:rPr/>
        <w:t>Y-701STAT1 (α/β) phosphorylation and </w:t>
      </w:r>
      <w:r>
        <w:rPr>
          <w:spacing w:val="-5"/>
        </w:rPr>
        <w:t>it </w:t>
      </w:r>
      <w:r>
        <w:rPr>
          <w:spacing w:val="-3"/>
        </w:rPr>
        <w:t>is </w:t>
      </w:r>
      <w:r>
        <w:rPr/>
        <w:t>an interesting question that needs to </w:t>
      </w:r>
      <w:r>
        <w:rPr>
          <w:spacing w:val="-3"/>
        </w:rPr>
        <w:t>be </w:t>
      </w:r>
      <w:r>
        <w:rPr/>
        <w:t>addressed </w:t>
      </w:r>
      <w:r>
        <w:rPr>
          <w:spacing w:val="-3"/>
        </w:rPr>
        <w:t>in </w:t>
      </w:r>
      <w:r>
        <w:rPr/>
        <w:t>future studies.</w:t>
      </w:r>
      <w:r>
        <w:rPr>
          <w:spacing w:val="49"/>
        </w:rPr>
        <w:t> </w:t>
      </w:r>
      <w:r>
        <w:rPr/>
        <w:t>Our</w:t>
      </w:r>
      <w:r>
        <w:rPr>
          <w:spacing w:val="-10"/>
        </w:rPr>
        <w:t> </w:t>
      </w:r>
      <w:r>
        <w:rPr/>
        <w:t>data</w:t>
      </w:r>
      <w:r>
        <w:rPr>
          <w:spacing w:val="-13"/>
        </w:rPr>
        <w:t> </w:t>
      </w:r>
      <w:r>
        <w:rPr/>
        <w:t>indicates</w:t>
      </w:r>
      <w:r>
        <w:rPr>
          <w:spacing w:val="-9"/>
        </w:rPr>
        <w:t> </w:t>
      </w:r>
      <w:r>
        <w:rPr/>
        <w:t>a</w:t>
      </w:r>
      <w:r>
        <w:rPr>
          <w:spacing w:val="-8"/>
        </w:rPr>
        <w:t> </w:t>
      </w:r>
      <w:r>
        <w:rPr/>
        <w:t>negative</w:t>
      </w:r>
      <w:r>
        <w:rPr>
          <w:spacing w:val="-8"/>
        </w:rPr>
        <w:t> </w:t>
      </w:r>
      <w:r>
        <w:rPr/>
        <w:t>effect</w:t>
      </w:r>
      <w:r>
        <w:rPr>
          <w:spacing w:val="-2"/>
        </w:rPr>
        <w:t> </w:t>
      </w:r>
      <w:r>
        <w:rPr/>
        <w:t>by</w:t>
      </w:r>
      <w:r>
        <w:rPr>
          <w:spacing w:val="-16"/>
        </w:rPr>
        <w:t> </w:t>
      </w:r>
      <w:r>
        <w:rPr/>
        <w:t>IPNV</w:t>
      </w:r>
      <w:r>
        <w:rPr>
          <w:spacing w:val="-13"/>
        </w:rPr>
        <w:t> </w:t>
      </w:r>
      <w:r>
        <w:rPr/>
        <w:t>on</w:t>
      </w:r>
      <w:r>
        <w:rPr>
          <w:spacing w:val="-12"/>
        </w:rPr>
        <w:t> </w:t>
      </w:r>
      <w:r>
        <w:rPr/>
        <w:t>signaling</w:t>
      </w:r>
      <w:r>
        <w:rPr>
          <w:spacing w:val="-7"/>
        </w:rPr>
        <w:t> </w:t>
      </w:r>
      <w:r>
        <w:rPr/>
        <w:t>alpha</w:t>
      </w:r>
      <w:r>
        <w:rPr>
          <w:spacing w:val="3"/>
        </w:rPr>
        <w:t> </w:t>
      </w:r>
      <w:r>
        <w:rPr/>
        <w:t>interferon</w:t>
      </w:r>
      <w:r>
        <w:rPr>
          <w:spacing w:val="-12"/>
        </w:rPr>
        <w:t> </w:t>
      </w:r>
      <w:r>
        <w:rPr/>
        <w:t>and</w:t>
      </w:r>
      <w:r>
        <w:rPr>
          <w:spacing w:val="-7"/>
        </w:rPr>
        <w:t> </w:t>
      </w:r>
      <w:r>
        <w:rPr/>
        <w:t>ISGs independently </w:t>
      </w:r>
      <w:r>
        <w:rPr>
          <w:spacing w:val="2"/>
        </w:rPr>
        <w:t>to </w:t>
      </w:r>
      <w:r>
        <w:rPr/>
        <w:t>the strain virulence. IPNV does not block the phosphorylation</w:t>
      </w:r>
      <w:r>
        <w:rPr>
          <w:spacing w:val="31"/>
        </w:rPr>
        <w:t> </w:t>
      </w:r>
      <w:r>
        <w:rPr/>
        <w:t>701STAT1</w:t>
      </w:r>
    </w:p>
    <w:p>
      <w:pPr>
        <w:spacing w:after="0" w:line="360" w:lineRule="auto"/>
        <w:jc w:val="both"/>
        <w:sectPr>
          <w:pgSz w:w="12240" w:h="15840"/>
          <w:pgMar w:header="0" w:footer="1382" w:top="1500" w:bottom="1580" w:left="1720" w:right="1420"/>
        </w:sectPr>
      </w:pPr>
    </w:p>
    <w:p>
      <w:pPr>
        <w:pStyle w:val="BodyText"/>
        <w:spacing w:before="7"/>
        <w:rPr>
          <w:sz w:val="25"/>
        </w:rPr>
      </w:pPr>
    </w:p>
    <w:p>
      <w:pPr>
        <w:pStyle w:val="BodyText"/>
        <w:spacing w:line="360" w:lineRule="auto" w:before="70"/>
        <w:ind w:left="152" w:right="151"/>
        <w:jc w:val="both"/>
      </w:pPr>
      <w:r>
        <w:rPr/>
        <w:t>(α/β) tyrosine contrary to other RNA viruses. Further studies are clearly needed in order to identify others molecular mechanisms how IPNV inhibits signaling pathway alpha interferon.</w:t>
      </w:r>
    </w:p>
    <w:p>
      <w:pPr>
        <w:pStyle w:val="BodyText"/>
      </w:pPr>
    </w:p>
    <w:p>
      <w:pPr>
        <w:pStyle w:val="Heading1"/>
        <w:spacing w:before="150"/>
        <w:jc w:val="both"/>
      </w:pPr>
      <w:r>
        <w:rPr/>
        <w:t>ACKNOWLEDGEMENTS</w:t>
      </w:r>
    </w:p>
    <w:p>
      <w:pPr>
        <w:pStyle w:val="BodyText"/>
        <w:spacing w:line="360" w:lineRule="auto" w:before="132"/>
        <w:ind w:left="152" w:right="150" w:firstLine="705"/>
        <w:jc w:val="both"/>
      </w:pPr>
      <w:r>
        <w:rPr/>
        <w:t>This document was supported by the research project No. 99736 (CONACYT) and would not have been possible without the allocation of the scholarship agreement: CONACYT-IICA, Registration No. 283454. We are thankful for FONDAP 15110027: Interdisciplinary Center for Aquaculture Research (INCAR). Special thanks, also, to the excellent technical assistance of Mónica Monrás Santamaría in handling cell line. There is no conflict of interest related to this manuscript.</w:t>
      </w:r>
    </w:p>
    <w:p>
      <w:pPr>
        <w:pStyle w:val="BodyText"/>
        <w:rPr>
          <w:sz w:val="20"/>
        </w:rPr>
      </w:pPr>
    </w:p>
    <w:p>
      <w:pPr>
        <w:pStyle w:val="BodyText"/>
        <w:rPr>
          <w:sz w:val="20"/>
        </w:rPr>
      </w:pPr>
    </w:p>
    <w:p>
      <w:pPr>
        <w:pStyle w:val="BodyText"/>
        <w:spacing w:before="5"/>
        <w:rPr>
          <w:sz w:val="21"/>
        </w:rPr>
      </w:pPr>
    </w:p>
    <w:p>
      <w:pPr>
        <w:spacing w:after="0"/>
        <w:rPr>
          <w:sz w:val="21"/>
        </w:rPr>
        <w:sectPr>
          <w:pgSz w:w="12240" w:h="15840"/>
          <w:pgMar w:header="0" w:footer="1382" w:top="1500" w:bottom="1580" w:left="1720" w:right="1380"/>
        </w:sectPr>
      </w:pPr>
    </w:p>
    <w:p>
      <w:pPr>
        <w:pStyle w:val="BodyText"/>
        <w:rPr>
          <w:sz w:val="22"/>
        </w:rPr>
      </w:pPr>
    </w:p>
    <w:p>
      <w:pPr>
        <w:pStyle w:val="BodyText"/>
        <w:spacing w:before="7"/>
      </w:pPr>
    </w:p>
    <w:p>
      <w:pPr>
        <w:spacing w:before="0"/>
        <w:ind w:left="858" w:right="0" w:firstLine="0"/>
        <w:jc w:val="left"/>
        <w:rPr>
          <w:rFonts w:ascii="Arial" w:hAnsi="Arial"/>
          <w:b/>
          <w:sz w:val="13"/>
        </w:rPr>
      </w:pPr>
      <w:r>
        <w:rPr/>
        <w:pict>
          <v:group style="position:absolute;margin-left:167.570435pt;margin-top:8.002771pt;width:7.5pt;height:38.75pt;mso-position-horizontal-relative:page;mso-position-vertical-relative:paragraph;z-index:-58840" coordorigin="3351,160" coordsize="150,775">
            <v:shape style="position:absolute;left:3405;top:160;width:97;height:775" coordorigin="3405,160" coordsize="97,775" path="m3462,160l3433,160,3433,188,3433,216,3433,245,3433,273,3433,301,3433,329,3433,358,3462,358,3462,329,3462,301,3462,273,3462,245,3462,216,3462,188,3462,160m3501,907l3462,907,3462,893,3462,864,3462,836,3462,808,3462,780,3462,752,3462,724,3462,695,3462,667,3462,639,3462,611,3462,583,3462,555,3462,526,3462,498,3462,470,3462,442,3462,414,3433,414,3433,442,3433,470,3433,498,3433,526,3433,555,3433,583,3433,611,3433,639,3433,667,3433,695,3433,724,3433,752,3433,780,3433,808,3433,836,3433,864,3433,893,3433,907,3405,907,3405,935,3501,935,3501,907e" filled="true" fillcolor="#000000" stroked="false">
              <v:path arrowok="t"/>
              <v:fill type="solid"/>
            </v:shape>
            <v:line style="position:absolute" from="3448,660" to="3366,660" stroked="true" strokeweight="1.407855pt" strokecolor="#000000"/>
            <w10:wrap type="none"/>
          </v:group>
        </w:pict>
      </w:r>
      <w:r>
        <w:rPr/>
        <w:pict>
          <v:shape style="position:absolute;margin-left:105.101044pt;margin-top:-52.301094pt;width:14.45pt;height:257.3500pt;mso-position-horizontal-relative:page;mso-position-vertical-relative:paragraph;z-index:1456" type="#_x0000_t202" filled="false" stroked="false">
            <v:textbox inset="0,0,0,0" style="layout-flow:vertical;mso-layout-flow-alt:bottom-to-top">
              <w:txbxContent>
                <w:p>
                  <w:pPr>
                    <w:spacing w:line="278" w:lineRule="exact" w:before="0"/>
                    <w:ind w:left="20" w:right="0" w:firstLine="0"/>
                    <w:jc w:val="left"/>
                    <w:rPr>
                      <w:rFonts w:ascii="Arial" w:hAnsi="Arial"/>
                      <w:b/>
                      <w:sz w:val="24"/>
                    </w:rPr>
                  </w:pPr>
                  <w:r>
                    <w:rPr>
                      <w:rFonts w:ascii="Arial" w:hAnsi="Arial"/>
                      <w:b/>
                      <w:spacing w:val="-9"/>
                      <w:w w:val="97"/>
                      <w:position w:val="1"/>
                      <w:sz w:val="24"/>
                    </w:rPr>
                    <w:t>I</w:t>
                  </w:r>
                  <w:r>
                    <w:rPr>
                      <w:rFonts w:ascii="Arial" w:hAnsi="Arial"/>
                      <w:b/>
                      <w:spacing w:val="-2"/>
                      <w:w w:val="97"/>
                      <w:position w:val="1"/>
                      <w:sz w:val="24"/>
                    </w:rPr>
                    <w:t>P</w:t>
                  </w:r>
                  <w:r>
                    <w:rPr>
                      <w:rFonts w:ascii="Arial" w:hAnsi="Arial"/>
                      <w:b/>
                      <w:w w:val="97"/>
                      <w:position w:val="1"/>
                      <w:sz w:val="24"/>
                    </w:rPr>
                    <w:t>NV</w:t>
                  </w:r>
                  <w:r>
                    <w:rPr>
                      <w:rFonts w:ascii="Arial" w:hAnsi="Arial"/>
                      <w:b/>
                      <w:spacing w:val="1"/>
                      <w:position w:val="1"/>
                      <w:sz w:val="24"/>
                    </w:rPr>
                    <w:t> </w:t>
                  </w:r>
                  <w:r>
                    <w:rPr>
                      <w:rFonts w:ascii="Arial" w:hAnsi="Arial"/>
                      <w:b/>
                      <w:spacing w:val="-2"/>
                      <w:w w:val="97"/>
                      <w:position w:val="1"/>
                      <w:sz w:val="24"/>
                    </w:rPr>
                    <w:t>VP</w:t>
                  </w:r>
                  <w:r>
                    <w:rPr>
                      <w:rFonts w:ascii="Arial" w:hAnsi="Arial"/>
                      <w:b/>
                      <w:w w:val="97"/>
                      <w:position w:val="1"/>
                      <w:sz w:val="24"/>
                    </w:rPr>
                    <w:t>2</w:t>
                  </w:r>
                  <w:r>
                    <w:rPr>
                      <w:rFonts w:ascii="Arial" w:hAnsi="Arial"/>
                      <w:b/>
                      <w:spacing w:val="-1"/>
                      <w:position w:val="1"/>
                      <w:sz w:val="24"/>
                    </w:rPr>
                    <w:t> </w:t>
                  </w:r>
                  <w:r>
                    <w:rPr>
                      <w:rFonts w:ascii="Arial" w:hAnsi="Arial"/>
                      <w:b/>
                      <w:spacing w:val="-4"/>
                      <w:w w:val="97"/>
                      <w:position w:val="1"/>
                      <w:sz w:val="24"/>
                    </w:rPr>
                    <w:t>ex</w:t>
                  </w:r>
                  <w:r>
                    <w:rPr>
                      <w:rFonts w:ascii="Arial" w:hAnsi="Arial"/>
                      <w:b/>
                      <w:spacing w:val="-3"/>
                      <w:w w:val="97"/>
                      <w:position w:val="1"/>
                      <w:sz w:val="24"/>
                    </w:rPr>
                    <w:t>p</w:t>
                  </w:r>
                  <w:r>
                    <w:rPr>
                      <w:rFonts w:ascii="Arial" w:hAnsi="Arial"/>
                      <w:b/>
                      <w:spacing w:val="7"/>
                      <w:w w:val="97"/>
                      <w:position w:val="1"/>
                      <w:sz w:val="24"/>
                    </w:rPr>
                    <w:t>r</w:t>
                  </w:r>
                  <w:r>
                    <w:rPr>
                      <w:rFonts w:ascii="Arial" w:hAnsi="Arial"/>
                      <w:b/>
                      <w:spacing w:val="-4"/>
                      <w:w w:val="97"/>
                      <w:position w:val="1"/>
                      <w:sz w:val="24"/>
                    </w:rPr>
                    <w:t>ess</w:t>
                  </w:r>
                  <w:r>
                    <w:rPr>
                      <w:rFonts w:ascii="Arial" w:hAnsi="Arial"/>
                      <w:b/>
                      <w:spacing w:val="-9"/>
                      <w:w w:val="97"/>
                      <w:position w:val="1"/>
                      <w:sz w:val="24"/>
                    </w:rPr>
                    <w:t>i</w:t>
                  </w:r>
                  <w:r>
                    <w:rPr>
                      <w:rFonts w:ascii="Arial" w:hAnsi="Arial"/>
                      <w:b/>
                      <w:spacing w:val="-3"/>
                      <w:w w:val="97"/>
                      <w:position w:val="1"/>
                      <w:sz w:val="24"/>
                    </w:rPr>
                    <w:t>o</w:t>
                  </w:r>
                  <w:r>
                    <w:rPr>
                      <w:rFonts w:ascii="Arial" w:hAnsi="Arial"/>
                      <w:b/>
                      <w:w w:val="97"/>
                      <w:position w:val="1"/>
                      <w:sz w:val="24"/>
                    </w:rPr>
                    <w:t>n</w:t>
                  </w:r>
                  <w:r>
                    <w:rPr>
                      <w:rFonts w:ascii="Arial" w:hAnsi="Arial"/>
                      <w:b/>
                      <w:position w:val="1"/>
                      <w:sz w:val="24"/>
                    </w:rPr>
                    <w:t> </w:t>
                  </w:r>
                  <w:r>
                    <w:rPr>
                      <w:rFonts w:ascii="Arial" w:hAnsi="Arial"/>
                      <w:b/>
                      <w:spacing w:val="-9"/>
                      <w:w w:val="97"/>
                      <w:position w:val="1"/>
                      <w:sz w:val="24"/>
                    </w:rPr>
                    <w:t>l</w:t>
                  </w:r>
                  <w:r>
                    <w:rPr>
                      <w:rFonts w:ascii="Arial" w:hAnsi="Arial"/>
                      <w:b/>
                      <w:spacing w:val="-4"/>
                      <w:w w:val="97"/>
                      <w:position w:val="1"/>
                      <w:sz w:val="24"/>
                    </w:rPr>
                    <w:t>eve</w:t>
                  </w:r>
                  <w:r>
                    <w:rPr>
                      <w:rFonts w:ascii="Arial" w:hAnsi="Arial"/>
                      <w:b/>
                      <w:w w:val="97"/>
                      <w:position w:val="1"/>
                      <w:sz w:val="24"/>
                    </w:rPr>
                    <w:t>l</w:t>
                  </w:r>
                  <w:r>
                    <w:rPr>
                      <w:rFonts w:ascii="Arial" w:hAnsi="Arial"/>
                      <w:b/>
                      <w:spacing w:val="-6"/>
                      <w:position w:val="1"/>
                      <w:sz w:val="24"/>
                    </w:rPr>
                    <w:t> </w:t>
                  </w:r>
                  <w:r>
                    <w:rPr>
                      <w:rFonts w:ascii="Arial" w:hAnsi="Arial"/>
                      <w:b/>
                      <w:spacing w:val="7"/>
                      <w:w w:val="97"/>
                      <w:position w:val="1"/>
                      <w:sz w:val="24"/>
                    </w:rPr>
                    <w:t>r</w:t>
                  </w:r>
                  <w:r>
                    <w:rPr>
                      <w:rFonts w:ascii="Arial" w:hAnsi="Arial"/>
                      <w:b/>
                      <w:spacing w:val="-4"/>
                      <w:w w:val="97"/>
                      <w:position w:val="1"/>
                      <w:sz w:val="24"/>
                    </w:rPr>
                    <w:t>e</w:t>
                  </w:r>
                  <w:r>
                    <w:rPr>
                      <w:rFonts w:ascii="Arial" w:hAnsi="Arial"/>
                      <w:b/>
                      <w:spacing w:val="-9"/>
                      <w:w w:val="97"/>
                      <w:position w:val="1"/>
                      <w:sz w:val="24"/>
                    </w:rPr>
                    <w:t>l</w:t>
                  </w:r>
                  <w:r>
                    <w:rPr>
                      <w:rFonts w:ascii="Arial" w:hAnsi="Arial"/>
                      <w:b/>
                      <w:spacing w:val="-4"/>
                      <w:w w:val="97"/>
                      <w:position w:val="1"/>
                      <w:sz w:val="24"/>
                    </w:rPr>
                    <w:t>a</w:t>
                  </w:r>
                  <w:r>
                    <w:rPr>
                      <w:rFonts w:ascii="Arial" w:hAnsi="Arial"/>
                      <w:b/>
                      <w:spacing w:val="6"/>
                      <w:w w:val="97"/>
                      <w:position w:val="1"/>
                      <w:sz w:val="24"/>
                    </w:rPr>
                    <w:t>t</w:t>
                  </w:r>
                  <w:r>
                    <w:rPr>
                      <w:rFonts w:ascii="Arial" w:hAnsi="Arial"/>
                      <w:b/>
                      <w:spacing w:val="-9"/>
                      <w:w w:val="97"/>
                      <w:position w:val="1"/>
                      <w:sz w:val="24"/>
                    </w:rPr>
                    <w:t>i</w:t>
                  </w:r>
                  <w:r>
                    <w:rPr>
                      <w:rFonts w:ascii="Arial" w:hAnsi="Arial"/>
                      <w:b/>
                      <w:spacing w:val="-4"/>
                      <w:w w:val="97"/>
                      <w:position w:val="1"/>
                      <w:sz w:val="24"/>
                    </w:rPr>
                    <w:t>v</w:t>
                  </w:r>
                  <w:r>
                    <w:rPr>
                      <w:rFonts w:ascii="Arial" w:hAnsi="Arial"/>
                      <w:b/>
                      <w:w w:val="97"/>
                      <w:position w:val="1"/>
                      <w:sz w:val="24"/>
                    </w:rPr>
                    <w:t>e</w:t>
                  </w:r>
                  <w:r>
                    <w:rPr>
                      <w:rFonts w:ascii="Arial" w:hAnsi="Arial"/>
                      <w:b/>
                      <w:spacing w:val="-1"/>
                      <w:position w:val="1"/>
                      <w:sz w:val="24"/>
                    </w:rPr>
                    <w:t> </w:t>
                  </w:r>
                  <w:r>
                    <w:rPr>
                      <w:rFonts w:ascii="Arial" w:hAnsi="Arial"/>
                      <w:b/>
                      <w:spacing w:val="6"/>
                      <w:w w:val="97"/>
                      <w:position w:val="1"/>
                      <w:sz w:val="24"/>
                    </w:rPr>
                    <w:t>t</w:t>
                  </w:r>
                  <w:r>
                    <w:rPr>
                      <w:rFonts w:ascii="Arial" w:hAnsi="Arial"/>
                      <w:b/>
                      <w:w w:val="97"/>
                      <w:position w:val="1"/>
                      <w:sz w:val="24"/>
                    </w:rPr>
                    <w:t>o</w:t>
                  </w:r>
                  <w:r>
                    <w:rPr>
                      <w:rFonts w:ascii="Arial" w:hAnsi="Arial"/>
                      <w:b/>
                      <w:position w:val="1"/>
                      <w:sz w:val="24"/>
                    </w:rPr>
                    <w:t> </w:t>
                  </w:r>
                  <w:r>
                    <w:rPr>
                      <w:rFonts w:ascii="Arial" w:hAnsi="Arial"/>
                      <w:b/>
                      <w:spacing w:val="-2"/>
                      <w:w w:val="97"/>
                      <w:position w:val="1"/>
                      <w:sz w:val="24"/>
                    </w:rPr>
                    <w:t>E</w:t>
                  </w:r>
                  <w:r>
                    <w:rPr>
                      <w:rFonts w:ascii="Arial" w:hAnsi="Arial"/>
                      <w:b/>
                      <w:spacing w:val="-3"/>
                      <w:w w:val="97"/>
                      <w:position w:val="1"/>
                      <w:sz w:val="24"/>
                    </w:rPr>
                    <w:t>LF</w:t>
                  </w:r>
                  <w:r>
                    <w:rPr>
                      <w:rFonts w:ascii="Arial" w:hAnsi="Arial"/>
                      <w:b/>
                      <w:spacing w:val="6"/>
                      <w:w w:val="97"/>
                      <w:position w:val="1"/>
                      <w:sz w:val="24"/>
                    </w:rPr>
                    <w:t>-</w:t>
                  </w:r>
                  <w:r>
                    <w:rPr>
                      <w:rFonts w:ascii="Arial" w:hAnsi="Arial"/>
                      <w:b/>
                      <w:spacing w:val="-4"/>
                      <w:w w:val="97"/>
                      <w:position w:val="1"/>
                      <w:sz w:val="24"/>
                    </w:rPr>
                    <w:t>1</w:t>
                  </w:r>
                  <w:r>
                    <w:rPr>
                      <w:rFonts w:ascii="Arial" w:hAnsi="Arial"/>
                      <w:b/>
                      <w:spacing w:val="11"/>
                      <w:w w:val="97"/>
                      <w:position w:val="1"/>
                      <w:sz w:val="24"/>
                    </w:rPr>
                    <w:t>(</w:t>
                  </w:r>
                  <w:r>
                    <w:rPr>
                      <w:rFonts w:ascii="Symbol" w:hAnsi="Symbol"/>
                      <w:b/>
                      <w:spacing w:val="20"/>
                      <w:w w:val="97"/>
                      <w:sz w:val="24"/>
                    </w:rPr>
                    <w:t></w:t>
                  </w:r>
                  <w:r>
                    <w:rPr>
                      <w:rFonts w:ascii="Arial" w:hAnsi="Arial"/>
                      <w:b/>
                      <w:w w:val="97"/>
                      <w:position w:val="1"/>
                      <w:sz w:val="24"/>
                    </w:rPr>
                    <w:t>)</w:t>
                  </w:r>
                </w:p>
              </w:txbxContent>
            </v:textbox>
            <w10:wrap type="none"/>
          </v:shape>
        </w:pict>
      </w:r>
      <w:r>
        <w:rPr>
          <w:rFonts w:ascii="Arial" w:hAnsi="Arial"/>
          <w:b/>
          <w:w w:val="105"/>
          <w:position w:val="1"/>
          <w:sz w:val="21"/>
        </w:rPr>
        <w:t>1.5</w:t>
      </w:r>
      <w:r>
        <w:rPr>
          <w:rFonts w:ascii="Symbol" w:hAnsi="Symbol"/>
          <w:b/>
          <w:w w:val="105"/>
          <w:sz w:val="20"/>
        </w:rPr>
        <w:t></w:t>
      </w:r>
      <w:r>
        <w:rPr>
          <w:rFonts w:ascii="Arial" w:hAnsi="Arial"/>
          <w:b/>
          <w:w w:val="105"/>
          <w:position w:val="1"/>
          <w:sz w:val="21"/>
        </w:rPr>
        <w:t>10</w:t>
      </w:r>
      <w:r>
        <w:rPr>
          <w:rFonts w:ascii="Arial" w:hAnsi="Arial"/>
          <w:b/>
          <w:w w:val="105"/>
          <w:position w:val="8"/>
          <w:sz w:val="13"/>
        </w:rPr>
        <w:t>9</w:t>
      </w:r>
      <w:r>
        <w:rPr>
          <w:rFonts w:ascii="Arial" w:hAnsi="Arial"/>
          <w:b/>
          <w:position w:val="8"/>
          <w:sz w:val="13"/>
        </w:rPr>
        <w:t>  </w:t>
      </w:r>
      <w:r>
        <w:rPr>
          <w:rFonts w:ascii="Arial" w:hAnsi="Arial"/>
          <w:b/>
          <w:w w:val="107"/>
          <w:position w:val="8"/>
          <w:sz w:val="13"/>
          <w:u w:val="thick"/>
        </w:rPr>
        <w:t> </w:t>
      </w:r>
      <w:r>
        <w:rPr>
          <w:rFonts w:ascii="Arial" w:hAnsi="Arial"/>
          <w:b/>
          <w:position w:val="8"/>
          <w:sz w:val="13"/>
          <w:u w:val="thick"/>
        </w:rPr>
        <w:t> </w:t>
      </w:r>
    </w:p>
    <w:p>
      <w:pPr>
        <w:spacing w:before="17"/>
        <w:ind w:left="858" w:right="0" w:firstLine="0"/>
        <w:jc w:val="left"/>
        <w:rPr>
          <w:rFonts w:ascii="Arial" w:hAnsi="Arial"/>
          <w:b/>
          <w:sz w:val="13"/>
        </w:rPr>
      </w:pPr>
      <w:r>
        <w:rPr>
          <w:rFonts w:ascii="Arial" w:hAnsi="Arial"/>
          <w:b/>
          <w:w w:val="105"/>
          <w:position w:val="1"/>
          <w:sz w:val="21"/>
        </w:rPr>
        <w:t>1.0</w:t>
      </w:r>
      <w:r>
        <w:rPr>
          <w:rFonts w:ascii="Symbol" w:hAnsi="Symbol"/>
          <w:b/>
          <w:w w:val="105"/>
          <w:sz w:val="20"/>
        </w:rPr>
        <w:t></w:t>
      </w:r>
      <w:r>
        <w:rPr>
          <w:rFonts w:ascii="Arial" w:hAnsi="Arial"/>
          <w:b/>
          <w:w w:val="105"/>
          <w:position w:val="1"/>
          <w:sz w:val="21"/>
        </w:rPr>
        <w:t>10</w:t>
      </w:r>
      <w:r>
        <w:rPr>
          <w:rFonts w:ascii="Arial" w:hAnsi="Arial"/>
          <w:b/>
          <w:w w:val="105"/>
          <w:position w:val="8"/>
          <w:sz w:val="13"/>
        </w:rPr>
        <w:t>9</w:t>
      </w:r>
      <w:r>
        <w:rPr>
          <w:rFonts w:ascii="Arial" w:hAnsi="Arial"/>
          <w:b/>
          <w:position w:val="8"/>
          <w:sz w:val="13"/>
        </w:rPr>
        <w:t>  </w:t>
      </w:r>
      <w:r>
        <w:rPr>
          <w:rFonts w:ascii="Arial" w:hAnsi="Arial"/>
          <w:b/>
          <w:w w:val="107"/>
          <w:position w:val="8"/>
          <w:sz w:val="13"/>
          <w:u w:val="thick"/>
        </w:rPr>
        <w:t> </w:t>
      </w:r>
      <w:r>
        <w:rPr>
          <w:rFonts w:ascii="Arial" w:hAnsi="Arial"/>
          <w:b/>
          <w:position w:val="8"/>
          <w:sz w:val="13"/>
          <w:u w:val="thick"/>
        </w:rPr>
        <w:t> </w:t>
      </w:r>
    </w:p>
    <w:p>
      <w:pPr>
        <w:spacing w:before="16"/>
        <w:ind w:left="858" w:right="0" w:firstLine="0"/>
        <w:jc w:val="left"/>
        <w:rPr>
          <w:rFonts w:ascii="Arial" w:hAnsi="Arial"/>
          <w:b/>
          <w:sz w:val="13"/>
        </w:rPr>
      </w:pPr>
      <w:r>
        <w:rPr>
          <w:rFonts w:ascii="Arial" w:hAnsi="Arial"/>
          <w:b/>
          <w:w w:val="105"/>
          <w:position w:val="1"/>
          <w:sz w:val="21"/>
        </w:rPr>
        <w:t>5.0</w:t>
      </w:r>
      <w:r>
        <w:rPr>
          <w:rFonts w:ascii="Symbol" w:hAnsi="Symbol"/>
          <w:b/>
          <w:w w:val="105"/>
          <w:sz w:val="20"/>
        </w:rPr>
        <w:t></w:t>
      </w:r>
      <w:r>
        <w:rPr>
          <w:rFonts w:ascii="Arial" w:hAnsi="Arial"/>
          <w:b/>
          <w:w w:val="105"/>
          <w:position w:val="1"/>
          <w:sz w:val="21"/>
        </w:rPr>
        <w:t>10</w:t>
      </w:r>
      <w:r>
        <w:rPr>
          <w:rFonts w:ascii="Arial" w:hAnsi="Arial"/>
          <w:b/>
          <w:w w:val="105"/>
          <w:position w:val="8"/>
          <w:sz w:val="13"/>
        </w:rPr>
        <w:t>8</w:t>
      </w:r>
    </w:p>
    <w:p>
      <w:pPr>
        <w:pStyle w:val="BodyText"/>
        <w:spacing w:before="11"/>
        <w:rPr>
          <w:rFonts w:ascii="Arial"/>
          <w:b/>
          <w:sz w:val="26"/>
        </w:rPr>
      </w:pPr>
    </w:p>
    <w:p>
      <w:pPr>
        <w:spacing w:line="215" w:lineRule="exact" w:before="0"/>
        <w:ind w:left="945" w:right="0" w:firstLine="0"/>
        <w:jc w:val="left"/>
        <w:rPr>
          <w:rFonts w:ascii="Arial" w:hAnsi="Arial"/>
          <w:b/>
          <w:sz w:val="13"/>
        </w:rPr>
      </w:pPr>
      <w:r>
        <w:rPr/>
        <w:pict>
          <v:group style="position:absolute;margin-left:167.570435pt;margin-top:1.081694pt;width:7.5pt;height:41.35pt;mso-position-horizontal-relative:page;mso-position-vertical-relative:paragraph;z-index:-58864" coordorigin="3351,22" coordsize="150,827">
            <v:shape style="position:absolute;left:3433;top:45;width:29;height:789" coordorigin="3433,45" coordsize="29,789" path="m3462,327l3433,327,3433,355,3433,383,3433,411,3433,439,3433,467,3433,496,3433,524,3433,552,3433,580,3433,608,3433,636,3433,664,3433,693,3433,721,3433,749,3433,777,3433,806,3433,834,3462,834,3462,806,3462,777,3462,749,3462,721,3462,693,3462,664,3462,636,3462,608,3462,580,3462,552,3462,524,3462,496,3462,467,3462,439,3462,411,3462,383,3462,355,3462,327m3462,158l3433,158,3433,186,3433,214,3433,242,3433,270,3462,270,3462,242,3462,214,3462,186,3462,158m3462,45l3433,45,3433,73,3433,101,3462,101,3462,73,3462,45e" filled="true" fillcolor="#000000" stroked="false">
              <v:path arrowok="t"/>
              <v:fill type="solid"/>
            </v:shape>
            <v:line style="position:absolute" from="3433,40" to="3462,40" stroked="true" strokeweight=".46922pt" strokecolor="#000000"/>
            <v:shape style="position:absolute;left:3405;top:22;width:97;height:827" coordorigin="3405,22" coordsize="97,827" path="m3501,820l3405,820,3405,848,3501,848,3501,820m3501,22l3405,22,3405,50,3501,50,3501,22e" filled="true" fillcolor="#000000" stroked="false">
              <v:path arrowok="t"/>
              <v:fill type="solid"/>
            </v:shape>
            <v:shape style="position:absolute;left:1483;top:4329;width:82;height:183" coordorigin="1483,4329" coordsize="82,183" path="m3448,660l3366,660m3448,481l3366,481e" filled="false" stroked="true" strokeweight="1.428218pt" strokecolor="#000000">
              <v:path arrowok="t"/>
            </v:shape>
            <w10:wrap type="none"/>
          </v:group>
        </w:pict>
      </w:r>
      <w:r>
        <w:rPr>
          <w:rFonts w:ascii="Arial" w:hAnsi="Arial"/>
          <w:b/>
          <w:w w:val="105"/>
          <w:position w:val="1"/>
          <w:sz w:val="21"/>
        </w:rPr>
        <w:t>8</w:t>
      </w:r>
      <w:r>
        <w:rPr>
          <w:rFonts w:ascii="Symbol" w:hAnsi="Symbol"/>
          <w:b/>
          <w:w w:val="105"/>
          <w:sz w:val="20"/>
        </w:rPr>
        <w:t></w:t>
      </w:r>
      <w:r>
        <w:rPr>
          <w:rFonts w:ascii="Arial" w:hAnsi="Arial"/>
          <w:b/>
          <w:w w:val="105"/>
          <w:position w:val="1"/>
          <w:sz w:val="21"/>
        </w:rPr>
        <w:t>10</w:t>
      </w:r>
      <w:r>
        <w:rPr>
          <w:rFonts w:ascii="Arial" w:hAnsi="Arial"/>
          <w:b/>
          <w:w w:val="105"/>
          <w:position w:val="8"/>
          <w:sz w:val="13"/>
        </w:rPr>
        <w:t>0 6</w:t>
      </w:r>
      <w:r>
        <w:rPr>
          <w:rFonts w:ascii="Arial" w:hAnsi="Arial"/>
          <w:b/>
          <w:position w:val="8"/>
          <w:sz w:val="13"/>
        </w:rPr>
        <w:t> </w:t>
      </w:r>
      <w:r>
        <w:rPr>
          <w:rFonts w:ascii="Arial" w:hAnsi="Arial"/>
          <w:b/>
          <w:w w:val="107"/>
          <w:position w:val="8"/>
          <w:sz w:val="13"/>
          <w:u w:val="thick"/>
        </w:rPr>
        <w:t> </w:t>
      </w:r>
      <w:r>
        <w:rPr>
          <w:rFonts w:ascii="Arial" w:hAnsi="Arial"/>
          <w:b/>
          <w:position w:val="8"/>
          <w:sz w:val="13"/>
          <w:u w:val="thick"/>
        </w:rPr>
        <w:t> </w:t>
      </w:r>
    </w:p>
    <w:p>
      <w:pPr>
        <w:spacing w:line="178" w:lineRule="exact" w:before="0"/>
        <w:ind w:left="945" w:right="0" w:firstLine="0"/>
        <w:jc w:val="left"/>
        <w:rPr>
          <w:rFonts w:ascii="Arial" w:hAnsi="Arial"/>
          <w:b/>
          <w:sz w:val="13"/>
        </w:rPr>
      </w:pPr>
      <w:r>
        <w:rPr>
          <w:rFonts w:ascii="Arial" w:hAnsi="Arial"/>
          <w:b/>
          <w:w w:val="105"/>
          <w:position w:val="1"/>
          <w:sz w:val="21"/>
        </w:rPr>
        <w:t>6</w:t>
      </w:r>
      <w:r>
        <w:rPr>
          <w:rFonts w:ascii="Symbol" w:hAnsi="Symbol"/>
          <w:b/>
          <w:w w:val="105"/>
          <w:sz w:val="20"/>
        </w:rPr>
        <w:t></w:t>
      </w:r>
      <w:r>
        <w:rPr>
          <w:rFonts w:ascii="Arial" w:hAnsi="Arial"/>
          <w:b/>
          <w:w w:val="105"/>
          <w:position w:val="1"/>
          <w:sz w:val="21"/>
        </w:rPr>
        <w:t>10</w:t>
      </w:r>
      <w:r>
        <w:rPr>
          <w:rFonts w:ascii="Arial" w:hAnsi="Arial"/>
          <w:b/>
          <w:w w:val="105"/>
          <w:position w:val="8"/>
          <w:sz w:val="13"/>
        </w:rPr>
        <w:t>0 6</w:t>
      </w:r>
      <w:r>
        <w:rPr>
          <w:rFonts w:ascii="Arial" w:hAnsi="Arial"/>
          <w:b/>
          <w:position w:val="8"/>
          <w:sz w:val="13"/>
        </w:rPr>
        <w:t> </w:t>
      </w:r>
      <w:r>
        <w:rPr>
          <w:rFonts w:ascii="Arial" w:hAnsi="Arial"/>
          <w:b/>
          <w:w w:val="107"/>
          <w:position w:val="8"/>
          <w:sz w:val="13"/>
          <w:u w:val="thick"/>
        </w:rPr>
        <w:t> </w:t>
      </w:r>
      <w:r>
        <w:rPr>
          <w:rFonts w:ascii="Arial" w:hAnsi="Arial"/>
          <w:b/>
          <w:position w:val="8"/>
          <w:sz w:val="13"/>
          <w:u w:val="thick"/>
        </w:rPr>
        <w:t> </w:t>
      </w:r>
    </w:p>
    <w:p>
      <w:pPr>
        <w:spacing w:line="178" w:lineRule="exact" w:before="0"/>
        <w:ind w:left="945" w:right="0" w:firstLine="0"/>
        <w:jc w:val="left"/>
        <w:rPr>
          <w:rFonts w:ascii="Arial" w:hAnsi="Arial"/>
          <w:b/>
          <w:sz w:val="13"/>
        </w:rPr>
      </w:pPr>
      <w:r>
        <w:rPr>
          <w:rFonts w:ascii="Arial" w:hAnsi="Arial"/>
          <w:b/>
          <w:w w:val="105"/>
          <w:position w:val="1"/>
          <w:sz w:val="21"/>
        </w:rPr>
        <w:t>4</w:t>
      </w:r>
      <w:r>
        <w:rPr>
          <w:rFonts w:ascii="Symbol" w:hAnsi="Symbol"/>
          <w:b/>
          <w:w w:val="105"/>
          <w:sz w:val="20"/>
        </w:rPr>
        <w:t></w:t>
      </w:r>
      <w:r>
        <w:rPr>
          <w:rFonts w:ascii="Arial" w:hAnsi="Arial"/>
          <w:b/>
          <w:w w:val="105"/>
          <w:position w:val="1"/>
          <w:sz w:val="21"/>
        </w:rPr>
        <w:t>10</w:t>
      </w:r>
      <w:r>
        <w:rPr>
          <w:rFonts w:ascii="Arial" w:hAnsi="Arial"/>
          <w:b/>
          <w:w w:val="105"/>
          <w:position w:val="8"/>
          <w:sz w:val="13"/>
        </w:rPr>
        <w:t>0 6</w:t>
      </w:r>
      <w:r>
        <w:rPr>
          <w:rFonts w:ascii="Arial" w:hAnsi="Arial"/>
          <w:b/>
          <w:position w:val="8"/>
          <w:sz w:val="13"/>
        </w:rPr>
        <w:t> </w:t>
      </w:r>
    </w:p>
    <w:p>
      <w:pPr>
        <w:spacing w:line="215" w:lineRule="exact" w:before="0"/>
        <w:ind w:left="945" w:right="0" w:firstLine="0"/>
        <w:jc w:val="left"/>
        <w:rPr>
          <w:rFonts w:ascii="Arial" w:hAnsi="Arial"/>
          <w:b/>
          <w:sz w:val="13"/>
        </w:rPr>
      </w:pPr>
      <w:r>
        <w:rPr>
          <w:rFonts w:ascii="Arial" w:hAnsi="Arial"/>
          <w:b/>
          <w:w w:val="105"/>
          <w:position w:val="1"/>
          <w:sz w:val="21"/>
        </w:rPr>
        <w:t>2</w:t>
      </w:r>
      <w:r>
        <w:rPr>
          <w:rFonts w:ascii="Symbol" w:hAnsi="Symbol"/>
          <w:b/>
          <w:w w:val="105"/>
          <w:sz w:val="20"/>
        </w:rPr>
        <w:t></w:t>
      </w:r>
      <w:r>
        <w:rPr>
          <w:rFonts w:ascii="Arial" w:hAnsi="Arial"/>
          <w:b/>
          <w:w w:val="105"/>
          <w:position w:val="1"/>
          <w:sz w:val="21"/>
        </w:rPr>
        <w:t>10</w:t>
      </w:r>
      <w:r>
        <w:rPr>
          <w:rFonts w:ascii="Arial" w:hAnsi="Arial"/>
          <w:b/>
          <w:w w:val="105"/>
          <w:position w:val="8"/>
          <w:sz w:val="13"/>
        </w:rPr>
        <w:t>0 6</w:t>
      </w:r>
      <w:r>
        <w:rPr>
          <w:rFonts w:ascii="Arial" w:hAnsi="Arial"/>
          <w:b/>
          <w:position w:val="8"/>
          <w:sz w:val="13"/>
        </w:rPr>
        <w:t> </w:t>
      </w:r>
    </w:p>
    <w:p>
      <w:pPr>
        <w:spacing w:before="134"/>
        <w:ind w:left="945" w:right="0" w:firstLine="0"/>
        <w:jc w:val="left"/>
        <w:rPr>
          <w:rFonts w:ascii="Arial" w:hAnsi="Arial"/>
          <w:b/>
          <w:sz w:val="13"/>
        </w:rPr>
      </w:pPr>
      <w:r>
        <w:rPr>
          <w:rFonts w:ascii="Arial" w:hAnsi="Arial"/>
          <w:b/>
          <w:w w:val="105"/>
          <w:position w:val="1"/>
          <w:sz w:val="21"/>
        </w:rPr>
        <w:t>3</w:t>
      </w:r>
      <w:r>
        <w:rPr>
          <w:rFonts w:ascii="Symbol" w:hAnsi="Symbol"/>
          <w:b/>
          <w:w w:val="105"/>
          <w:sz w:val="20"/>
        </w:rPr>
        <w:t></w:t>
      </w:r>
      <w:r>
        <w:rPr>
          <w:rFonts w:ascii="Arial" w:hAnsi="Arial"/>
          <w:b/>
          <w:w w:val="105"/>
          <w:position w:val="1"/>
          <w:sz w:val="21"/>
        </w:rPr>
        <w:t>10</w:t>
      </w:r>
      <w:r>
        <w:rPr>
          <w:rFonts w:ascii="Arial" w:hAnsi="Arial"/>
          <w:b/>
          <w:w w:val="105"/>
          <w:position w:val="8"/>
          <w:sz w:val="13"/>
        </w:rPr>
        <w:t>0 3</w:t>
      </w:r>
      <w:r>
        <w:rPr>
          <w:rFonts w:ascii="Arial" w:hAnsi="Arial"/>
          <w:b/>
          <w:position w:val="8"/>
          <w:sz w:val="13"/>
        </w:rPr>
        <w:t> </w:t>
      </w:r>
      <w:r>
        <w:rPr>
          <w:rFonts w:ascii="Arial" w:hAnsi="Arial"/>
          <w:b/>
          <w:w w:val="107"/>
          <w:position w:val="8"/>
          <w:sz w:val="13"/>
          <w:u w:val="thick"/>
        </w:rPr>
        <w:t> </w:t>
      </w:r>
      <w:r>
        <w:rPr>
          <w:rFonts w:ascii="Arial" w:hAnsi="Arial"/>
          <w:b/>
          <w:position w:val="8"/>
          <w:sz w:val="13"/>
          <w:u w:val="thick"/>
        </w:rPr>
        <w:t> </w:t>
      </w:r>
    </w:p>
    <w:p>
      <w:pPr>
        <w:spacing w:before="16"/>
        <w:ind w:left="945" w:right="0" w:firstLine="0"/>
        <w:jc w:val="left"/>
        <w:rPr>
          <w:rFonts w:ascii="Arial" w:hAnsi="Arial"/>
          <w:b/>
          <w:sz w:val="13"/>
        </w:rPr>
      </w:pPr>
      <w:r>
        <w:rPr>
          <w:rFonts w:ascii="Arial" w:hAnsi="Arial"/>
          <w:b/>
          <w:w w:val="105"/>
          <w:position w:val="1"/>
          <w:sz w:val="21"/>
        </w:rPr>
        <w:t>2</w:t>
      </w:r>
      <w:r>
        <w:rPr>
          <w:rFonts w:ascii="Symbol" w:hAnsi="Symbol"/>
          <w:b/>
          <w:w w:val="105"/>
          <w:sz w:val="20"/>
        </w:rPr>
        <w:t></w:t>
      </w:r>
      <w:r>
        <w:rPr>
          <w:rFonts w:ascii="Arial" w:hAnsi="Arial"/>
          <w:b/>
          <w:w w:val="105"/>
          <w:position w:val="1"/>
          <w:sz w:val="21"/>
        </w:rPr>
        <w:t>10</w:t>
      </w:r>
      <w:r>
        <w:rPr>
          <w:rFonts w:ascii="Arial" w:hAnsi="Arial"/>
          <w:b/>
          <w:w w:val="105"/>
          <w:position w:val="8"/>
          <w:sz w:val="13"/>
        </w:rPr>
        <w:t>0 3</w:t>
      </w:r>
      <w:r>
        <w:rPr>
          <w:rFonts w:ascii="Arial" w:hAnsi="Arial"/>
          <w:b/>
          <w:position w:val="8"/>
          <w:sz w:val="13"/>
        </w:rPr>
        <w:t> </w:t>
      </w:r>
      <w:r>
        <w:rPr>
          <w:rFonts w:ascii="Arial" w:hAnsi="Arial"/>
          <w:b/>
          <w:w w:val="107"/>
          <w:position w:val="8"/>
          <w:sz w:val="13"/>
          <w:u w:val="thick"/>
        </w:rPr>
        <w:t> </w:t>
      </w:r>
      <w:r>
        <w:rPr>
          <w:rFonts w:ascii="Arial" w:hAnsi="Arial"/>
          <w:b/>
          <w:position w:val="8"/>
          <w:sz w:val="13"/>
          <w:u w:val="thick"/>
        </w:rPr>
        <w:t> </w:t>
      </w:r>
    </w:p>
    <w:p>
      <w:pPr>
        <w:tabs>
          <w:tab w:pos="2068" w:val="left" w:leader="none"/>
        </w:tabs>
        <w:spacing w:before="14"/>
        <w:ind w:left="945" w:right="0" w:firstLine="0"/>
        <w:jc w:val="left"/>
        <w:rPr>
          <w:rFonts w:ascii="Arial" w:hAnsi="Arial"/>
          <w:sz w:val="15"/>
        </w:rPr>
      </w:pPr>
      <w:r>
        <w:rPr>
          <w:rFonts w:ascii="Arial" w:hAnsi="Arial"/>
          <w:b/>
          <w:spacing w:val="-5"/>
          <w:w w:val="105"/>
          <w:position w:val="1"/>
          <w:sz w:val="21"/>
        </w:rPr>
        <w:t>1</w:t>
      </w:r>
      <w:r>
        <w:rPr>
          <w:rFonts w:ascii="Symbol" w:hAnsi="Symbol"/>
          <w:b/>
          <w:spacing w:val="-5"/>
          <w:w w:val="105"/>
          <w:sz w:val="20"/>
        </w:rPr>
        <w:t></w:t>
      </w:r>
      <w:r>
        <w:rPr>
          <w:rFonts w:ascii="Arial" w:hAnsi="Arial"/>
          <w:b/>
          <w:spacing w:val="-5"/>
          <w:w w:val="105"/>
          <w:position w:val="1"/>
          <w:sz w:val="21"/>
        </w:rPr>
        <w:t>10</w:t>
      </w:r>
      <w:r>
        <w:rPr>
          <w:rFonts w:ascii="Arial" w:hAnsi="Arial"/>
          <w:b/>
          <w:spacing w:val="-5"/>
          <w:w w:val="105"/>
          <w:position w:val="8"/>
          <w:sz w:val="13"/>
        </w:rPr>
        <w:t>0</w:t>
      </w:r>
      <w:r>
        <w:rPr>
          <w:rFonts w:ascii="Arial" w:hAnsi="Arial"/>
          <w:b/>
          <w:spacing w:val="-1"/>
          <w:w w:val="105"/>
          <w:position w:val="8"/>
          <w:sz w:val="13"/>
        </w:rPr>
        <w:t> </w:t>
      </w:r>
      <w:r>
        <w:rPr>
          <w:rFonts w:ascii="Arial" w:hAnsi="Arial"/>
          <w:b/>
          <w:w w:val="105"/>
          <w:position w:val="8"/>
          <w:sz w:val="13"/>
        </w:rPr>
        <w:t>3</w:t>
        <w:tab/>
      </w:r>
      <w:r>
        <w:rPr>
          <w:rFonts w:ascii="Arial" w:hAnsi="Arial"/>
          <w:w w:val="105"/>
          <w:position w:val="-1"/>
          <w:sz w:val="15"/>
        </w:rPr>
        <w:t>b</w:t>
      </w:r>
    </w:p>
    <w:p>
      <w:pPr>
        <w:spacing w:line="237" w:lineRule="exact" w:before="4"/>
        <w:ind w:left="0" w:right="551" w:firstLine="0"/>
        <w:jc w:val="right"/>
        <w:rPr>
          <w:rFonts w:ascii="Arial"/>
          <w:b/>
          <w:sz w:val="21"/>
        </w:rPr>
      </w:pPr>
      <w:r>
        <w:rPr>
          <w:rFonts w:ascii="Arial"/>
          <w:b/>
          <w:w w:val="104"/>
          <w:sz w:val="21"/>
        </w:rPr>
        <w:t>0</w:t>
      </w:r>
    </w:p>
    <w:p>
      <w:pPr>
        <w:spacing w:before="67"/>
        <w:ind w:left="0" w:right="0" w:firstLine="0"/>
        <w:jc w:val="right"/>
        <w:rPr>
          <w:rFonts w:ascii="Arial"/>
          <w:b/>
          <w:sz w:val="27"/>
        </w:rPr>
      </w:pPr>
      <w:r>
        <w:rPr/>
        <w:br w:type="column"/>
      </w:r>
      <w:r>
        <w:rPr>
          <w:rFonts w:ascii="Arial"/>
          <w:b/>
          <w:sz w:val="27"/>
        </w:rPr>
        <w:t>VP2</w:t>
      </w:r>
    </w:p>
    <w:p>
      <w:pPr>
        <w:pStyle w:val="BodyText"/>
        <w:rPr>
          <w:rFonts w:ascii="Arial"/>
          <w:b/>
          <w:sz w:val="26"/>
        </w:rPr>
      </w:pPr>
    </w:p>
    <w:p>
      <w:pPr>
        <w:pStyle w:val="BodyText"/>
        <w:rPr>
          <w:rFonts w:ascii="Arial"/>
          <w:b/>
          <w:sz w:val="26"/>
        </w:rPr>
      </w:pPr>
    </w:p>
    <w:p>
      <w:pPr>
        <w:pStyle w:val="BodyText"/>
        <w:rPr>
          <w:rFonts w:ascii="Arial"/>
          <w:b/>
          <w:sz w:val="26"/>
        </w:rPr>
      </w:pPr>
    </w:p>
    <w:p>
      <w:pPr>
        <w:pStyle w:val="BodyText"/>
        <w:rPr>
          <w:rFonts w:ascii="Arial"/>
          <w:b/>
          <w:sz w:val="26"/>
        </w:rPr>
      </w:pPr>
    </w:p>
    <w:p>
      <w:pPr>
        <w:pStyle w:val="BodyText"/>
        <w:rPr>
          <w:rFonts w:ascii="Arial"/>
          <w:b/>
          <w:sz w:val="26"/>
        </w:rPr>
      </w:pPr>
    </w:p>
    <w:p>
      <w:pPr>
        <w:pStyle w:val="BodyText"/>
        <w:rPr>
          <w:rFonts w:ascii="Arial"/>
          <w:b/>
          <w:sz w:val="26"/>
        </w:rPr>
      </w:pPr>
    </w:p>
    <w:p>
      <w:pPr>
        <w:pStyle w:val="BodyText"/>
        <w:rPr>
          <w:rFonts w:ascii="Arial"/>
          <w:b/>
          <w:sz w:val="26"/>
        </w:rPr>
      </w:pPr>
    </w:p>
    <w:p>
      <w:pPr>
        <w:pStyle w:val="BodyText"/>
        <w:rPr>
          <w:rFonts w:ascii="Arial"/>
          <w:b/>
          <w:sz w:val="26"/>
        </w:rPr>
      </w:pPr>
    </w:p>
    <w:p>
      <w:pPr>
        <w:pStyle w:val="BodyText"/>
        <w:spacing w:before="10"/>
        <w:rPr>
          <w:rFonts w:ascii="Arial"/>
          <w:b/>
          <w:sz w:val="32"/>
        </w:rPr>
      </w:pPr>
    </w:p>
    <w:p>
      <w:pPr>
        <w:spacing w:before="0"/>
        <w:ind w:left="566" w:right="0" w:firstLine="0"/>
        <w:jc w:val="left"/>
        <w:rPr>
          <w:rFonts w:ascii="Arial"/>
          <w:sz w:val="15"/>
        </w:rPr>
      </w:pPr>
      <w:r>
        <w:rPr/>
        <w:pict>
          <v:group style="position:absolute;margin-left:167.570435pt;margin-top:-25.796539pt;width:222.95pt;height:46.95pt;mso-position-horizontal-relative:page;mso-position-vertical-relative:paragraph;z-index:-58888" coordorigin="3351,-516" coordsize="4459,939">
            <v:rect style="position:absolute;left:3448;top:314;width:29;height:28" filled="true" fillcolor="#000000" stroked="false">
              <v:fill type="solid"/>
            </v:rect>
            <v:shape style="position:absolute;left:1593;top:4207;width:4294;height:2" coordorigin="1593,4207" coordsize="4294,0" path="m3477,328l3506,328m3506,328l3535,328m3535,328l3564,328m3564,328l3593,328m3593,328l3622,328m3622,328l3651,328m3651,328l3680,328m3680,328l3709,328m3709,328l3738,328m3738,328l3767,328m3767,328l3796,328m3825,328l3854,328m3854,328l3883,328m3883,328l3912,328m3912,328l3941,328m3941,328l3970,328m3970,328l3998,328m3998,328l4027,328m4027,328l4056,328m4056,328l4085,328m4085,328l4114,328m4114,328l4143,328m4143,328l4172,328m4172,328l4201,328m4201,328l4230,328m4230,328l4259,328m4259,328l4288,328m4288,328l4317,328m4317,328l4346,328m4346,328l4375,328m4375,328l4404,328m4404,328l4433,328m4433,328l4462,328m4462,328l4491,328m4491,328l4520,328m4520,328l4549,328m4549,328l4578,328m4578,328l4607,328m4607,328l4636,328m4636,328l4665,328m4665,328l4694,328m4694,328l4723,328m4723,328l4752,328m4752,328l4781,328m4781,328l4810,328m4810,328l4839,328m4839,328l4868,328m4868,328l4897,328m4897,328l4926,328m4926,328l4955,328m4955,328l4984,328m4984,328l5013,328m5013,328l5042,328m5042,328l5071,328m5071,328l5100,328m5100,328l5129,328m5129,328l5158,328m5158,328l5187,328m5187,328l5216,328m5216,328l5245,328m5274,328l5303,328m5303,328l5332,328m5332,328l5361,328m5361,328l5390,328m5390,328l5419,328m5419,328l5447,328m5447,328l5476,328m5476,328l5505,328m5505,328l5534,328m5534,328l5563,328m5563,328l5592,328m5592,328l5621,328m5621,328l5650,328m5650,328l5679,328m5679,328l5708,328m5708,328l5737,328m5737,328l5766,328m5766,328l5795,328m5795,328l5824,328m5824,328l5853,328m5853,328l5882,328m5882,328l5911,328m5911,328l5940,328m5940,328l5969,328m5998,328l6027,328m6027,328l6056,328m6056,328l6085,328m6085,328l6114,328m6114,328l6143,328m6143,328l6172,328m6172,328l6201,328m6201,328l6230,328m6230,328l6259,328m6259,328l6288,328m6288,328l6317,328m6317,328l6346,328m6346,328l6375,328m6375,328l6404,328m6404,328l6433,328m6433,328l6462,328m6462,328l6491,328m6491,328l6520,328m6520,328l6549,328m6549,328l6578,328m6578,328l6607,328m6607,328l6636,328m6636,328l6665,328m6665,328l6694,328m6723,328l6752,328m6752,328l6781,328m6781,328l6810,328m6810,328l6839,328m6839,328l6867,328m6867,328l6896,328m6896,328l6925,328m6925,328l6954,328m6954,328l6983,328m6983,328l7012,328m7012,328l7041,328m7041,328l7070,328m7070,328l7099,328m7099,328l7128,328m7128,328l7157,328m7157,328l7186,328m7186,328l7215,328m7215,328l7244,328m7244,328l7273,328m7273,328l7302,328m7302,328l7331,328m7331,328l7360,328m7360,328l7389,328m7389,328l7418,328m7447,328l7476,328m7476,328l7505,328m7505,328l7534,328m7534,328l7563,328m7563,328l7592,328m7592,328l7621,328m7621,328l7650,328m7650,328l7679,328m7679,328l7708,328m7708,328l7737,328m7737,328l7766,328m7766,328l7795,328e" filled="false" stroked="true" strokeweight="1.428218pt" strokecolor="#000000">
              <v:path arrowok="t"/>
            </v:shape>
            <v:line style="position:absolute" from="3810,314" to="3810,408" stroked="true" strokeweight="1.44858pt" strokecolor="#000000"/>
            <v:line style="position:absolute" from="4532,328" to="4532,408" stroked="true" strokeweight="1.44858pt" strokecolor="#000000"/>
            <v:shape style="position:absolute;left:3365;top:4193;width:2161;height:97" coordorigin="3365,4193" coordsize="2161,97" path="m5259,314l5259,408m5983,314l5983,408m6708,314l6708,408m7432,314l7432,408e" filled="false" stroked="true" strokeweight="1.428218pt" strokecolor="#000000">
              <v:path arrowok="t"/>
            </v:shape>
            <v:shape style="position:absolute;left:3433;top:-432;width:29;height:761" coordorigin="3433,-432" coordsize="29,761" path="m3462,-179l3433,-179,3433,-151,3433,-123,3433,-94,3433,-66,3433,-38,3433,-10,3433,18,3433,46,3433,75,3433,103,3433,131,3433,159,3433,188,3433,216,3433,244,3433,272,3433,300,3433,328,3462,328,3462,300,3462,272,3462,244,3462,216,3462,188,3462,159,3462,131,3462,103,3462,75,3462,46,3462,18,3462,-10,3462,-38,3462,-66,3462,-94,3462,-123,3462,-151,3462,-179m3462,-432l3433,-432,3433,-404,3433,-376,3433,-348,3433,-320,3433,-292,3433,-263,3433,-235,3462,-235,3462,-263,3462,-292,3462,-320,3462,-348,3462,-376,3462,-404,3462,-432e" filled="true" fillcolor="#000000" stroked="false">
              <v:path arrowok="t"/>
              <v:fill type="solid"/>
            </v:shape>
            <v:shape style="position:absolute;left:1483;top:3936;width:82;height:272" coordorigin="1483,3936" coordsize="82,272" path="m3448,328l3366,328m3448,63l3366,63e" filled="false" stroked="true" strokeweight="1.428218pt" strokecolor="#000000">
              <v:path arrowok="t"/>
            </v:shape>
            <v:shape style="position:absolute;left:1925;top:3386;width:1454;height:798" coordorigin="1925,3386" coordsize="1454,798" path="m3810,305l4532,249m4532,249l5259,-458m5259,-458l5272,-475e" filled="false" stroked="true" strokeweight="1.428218pt" strokecolor="#000000">
              <v:path arrowok="t"/>
            </v:shape>
            <v:shape style="position:absolute;left:3751;top:247;width:119;height:115" type="#_x0000_t75" stroked="false">
              <v:imagedata r:id="rId49" o:title=""/>
            </v:shape>
            <v:shape style="position:absolute;left:4473;top:191;width:119;height:115" type="#_x0000_t75" stroked="false">
              <v:imagedata r:id="rId50" o:title=""/>
            </v:shape>
            <v:shape style="position:absolute;left:5201;top:-514;width:116;height:113" coordorigin="5201,-514" coordsize="116,113" path="m5259,-514l5237,-510,5218,-498,5206,-480,5201,-458,5206,-436,5218,-419,5237,-406,5259,-402,5281,-406,5300,-419,5312,-436,5317,-458,5312,-480,5300,-498,5281,-510,5259,-514xe" filled="true" fillcolor="#000000" stroked="false">
              <v:path arrowok="t"/>
              <v:fill type="solid"/>
            </v:shape>
            <v:shape style="position:absolute;left:5201;top:-514;width:116;height:113" coordorigin="5201,-514" coordsize="116,113" path="m5201,-458l5206,-436,5218,-419,5237,-406,5259,-402,5281,-406,5300,-419,5312,-436,5317,-458,5312,-480,5300,-498,5281,-510,5259,-514,5237,-510,5218,-498,5206,-480,5201,-458xe" filled="false" stroked="true" strokeweight=".138779pt" strokecolor="#000000">
              <v:path arrowok="t"/>
            </v:shape>
            <w10:wrap type="none"/>
          </v:group>
        </w:pict>
      </w:r>
      <w:r>
        <w:rPr/>
        <w:pict>
          <v:group style="position:absolute;margin-left:187.609177pt;margin-top:-74.921875pt;width:158.8pt;height:43.5pt;mso-position-horizontal-relative:page;mso-position-vertical-relative:paragraph;z-index:1312" coordorigin="3752,-1498" coordsize="3176,870">
            <v:shape style="position:absolute;left:3532;top:2353;width:1479;height:827" coordorigin="3532,2353" coordsize="1479,827" path="m5427,-676l5983,-1402m5983,-1402l6708,-1125m6708,-1125l6914,-1484e" filled="false" stroked="true" strokeweight="1.428218pt" strokecolor="#000000">
              <v:path arrowok="t"/>
            </v:shape>
            <v:shape style="position:absolute;left:5924;top:-1460;width:119;height:115" type="#_x0000_t75" stroked="false">
              <v:imagedata r:id="rId50" o:title=""/>
            </v:shape>
            <v:shape style="position:absolute;left:6650;top:-1181;width:116;height:113" coordorigin="6650,-1181" coordsize="116,113" path="m6708,-1181l6686,-1177,6667,-1165,6655,-1147,6650,-1125,6655,-1103,6667,-1085,6686,-1073,6708,-1069,6730,-1073,6749,-1085,6761,-1103,6766,-1125,6761,-1147,6749,-1165,6730,-1177,6708,-1181xe" filled="true" fillcolor="#000000" stroked="false">
              <v:path arrowok="t"/>
              <v:fill type="solid"/>
            </v:shape>
            <v:shape style="position:absolute;left:6650;top:-1181;width:116;height:113" coordorigin="6650,-1181" coordsize="116,113" path="m6650,-1125l6655,-1103,6667,-1085,6686,-1073,6708,-1069,6730,-1073,6749,-1085,6761,-1103,6766,-1125,6761,-1147,6749,-1165,6730,-1177,6708,-1181,6686,-1177,6667,-1165,6655,-1147,6650,-1125xe" filled="false" stroked="true" strokeweight=".138779pt" strokecolor="#000000">
              <v:path arrowok="t"/>
            </v:shape>
            <v:shape style="position:absolute;left:1925;top:2353;width:1991;height:817" coordorigin="1925,2353" coordsize="1991,817" path="m3810,-686l4532,-738m4532,-738l5259,-810m5259,-810l5812,-1484e" filled="false" stroked="true" strokeweight="1.428218pt" strokecolor="#0000ff">
              <v:path arrowok="t"/>
            </v:shape>
            <v:shape style="position:absolute;left:3752;top:-867;width:1565;height:238" coordorigin="3752,-867" coordsize="1565,238" path="m3868,-742l3752,-742,3752,-629,3868,-629,3868,-742m4590,-794l4474,-794,4474,-681,4590,-681,4590,-794m5317,-867l5201,-867,5201,-754,5317,-754,5317,-867e" filled="true" fillcolor="#000000" stroked="false">
              <v:path arrowok="t"/>
              <v:fill type="solid"/>
            </v:shape>
            <v:shape style="position:absolute;left:3752;top:-1080;width:111;height:293" type="#_x0000_t202" filled="false" stroked="false">
              <v:textbox inset="0,0,0,0">
                <w:txbxContent>
                  <w:p>
                    <w:pPr>
                      <w:spacing w:line="292" w:lineRule="exact" w:before="0"/>
                      <w:ind w:left="0" w:right="-19" w:firstLine="0"/>
                      <w:jc w:val="left"/>
                      <w:rPr>
                        <w:rFonts w:ascii="Arial"/>
                        <w:sz w:val="15"/>
                      </w:rPr>
                    </w:pPr>
                    <w:r>
                      <w:rPr>
                        <w:rFonts w:ascii="Arial"/>
                        <w:spacing w:val="-88"/>
                        <w:w w:val="103"/>
                        <w:sz w:val="27"/>
                      </w:rPr>
                      <w:t>*</w:t>
                    </w:r>
                    <w:r>
                      <w:rPr>
                        <w:rFonts w:ascii="Arial"/>
                        <w:w w:val="106"/>
                        <w:position w:val="-3"/>
                        <w:sz w:val="15"/>
                      </w:rPr>
                      <w:t>a</w:t>
                    </w:r>
                  </w:p>
                </w:txbxContent>
              </v:textbox>
              <w10:wrap type="none"/>
            </v:shape>
            <v:shape style="position:absolute;left:4484;top:-943;width:89;height:155" type="#_x0000_t202" filled="false" stroked="false">
              <v:textbox inset="0,0,0,0">
                <w:txbxContent>
                  <w:p>
                    <w:pPr>
                      <w:spacing w:line="155" w:lineRule="exact" w:before="0"/>
                      <w:ind w:left="0" w:right="0" w:firstLine="0"/>
                      <w:jc w:val="left"/>
                      <w:rPr>
                        <w:rFonts w:ascii="Arial"/>
                        <w:sz w:val="15"/>
                      </w:rPr>
                    </w:pPr>
                    <w:r>
                      <w:rPr>
                        <w:rFonts w:ascii="Arial"/>
                        <w:w w:val="106"/>
                        <w:sz w:val="15"/>
                      </w:rPr>
                      <w:t>a</w:t>
                    </w:r>
                  </w:p>
                </w:txbxContent>
              </v:textbox>
              <w10:wrap type="none"/>
            </v:shape>
            <w10:wrap type="none"/>
          </v:group>
        </w:pict>
      </w:r>
      <w:r>
        <w:rPr/>
        <w:pict>
          <v:group style="position:absolute;margin-left:294.466919pt;margin-top:-122.411163pt;width:80.150pt;height:40.6pt;mso-position-horizontal-relative:page;mso-position-vertical-relative:paragraph;z-index:1384" coordorigin="5889,-2448" coordsize="1603,812">
            <v:line style="position:absolute" from="7029,-1686" to="7432,-2391" stroked="true" strokeweight="1.438534pt" strokecolor="#000000"/>
            <v:shape style="position:absolute;left:7373;top:-2448;width:119;height:115" type="#_x0000_t75" stroked="false">
              <v:imagedata r:id="rId50" o:title=""/>
            </v:shape>
            <v:shape style="position:absolute;left:4079;top:1662;width:1447;height:485" coordorigin="4079,1662" coordsize="1447,485" path="m5978,-1686l5983,-1693m5983,-1693l6708,-1707m6708,-1707l7432,-2160e" filled="false" stroked="true" strokeweight="1.428218pt" strokecolor="#0000ff">
              <v:path arrowok="t"/>
            </v:shape>
            <v:shape style="position:absolute;left:5925;top:-2217;width:1565;height:580" coordorigin="5925,-2217" coordsize="1565,580" path="m6041,-1749l5925,-1749,5925,-1637,6041,-1637,6041,-1749m6766,-1764l6650,-1764,6650,-1651,6766,-1651,6766,-1764m7490,-2217l7374,-2217,7374,-2104,7490,-2104,7490,-2217e" filled="true" fillcolor="#000000" stroked="false">
              <v:path arrowok="t"/>
              <v:fill type="solid"/>
            </v:shape>
            <v:shape style="position:absolute;left:5889;top:-1954;width:211;height:273" type="#_x0000_t202" filled="false" stroked="false">
              <v:textbox inset="0,0,0,0">
                <w:txbxContent>
                  <w:p>
                    <w:pPr>
                      <w:spacing w:line="272" w:lineRule="exact" w:before="0"/>
                      <w:ind w:left="0" w:right="-20" w:firstLine="0"/>
                      <w:jc w:val="left"/>
                      <w:rPr>
                        <w:rFonts w:ascii="Arial"/>
                        <w:sz w:val="27"/>
                      </w:rPr>
                    </w:pPr>
                    <w:r>
                      <w:rPr>
                        <w:rFonts w:ascii="Arial"/>
                        <w:sz w:val="27"/>
                      </w:rPr>
                      <w:t>**</w:t>
                    </w:r>
                  </w:p>
                </w:txbxContent>
              </v:textbox>
              <w10:wrap type="none"/>
            </v:shape>
            <v:shape style="position:absolute;left:6556;top:-1996;width:305;height:273" type="#_x0000_t202" filled="false" stroked="false">
              <v:textbox inset="0,0,0,0">
                <w:txbxContent>
                  <w:p>
                    <w:pPr>
                      <w:spacing w:line="272" w:lineRule="exact" w:before="0"/>
                      <w:ind w:left="0" w:right="-7" w:firstLine="0"/>
                      <w:jc w:val="left"/>
                      <w:rPr>
                        <w:rFonts w:ascii="Arial"/>
                        <w:sz w:val="27"/>
                      </w:rPr>
                    </w:pPr>
                    <w:r>
                      <w:rPr>
                        <w:rFonts w:ascii="Arial"/>
                        <w:spacing w:val="-8"/>
                        <w:sz w:val="27"/>
                      </w:rPr>
                      <w:t>***</w:t>
                    </w:r>
                  </w:p>
                </w:txbxContent>
              </v:textbox>
              <w10:wrap type="none"/>
            </v:shape>
            <w10:wrap type="none"/>
          </v:group>
        </w:pict>
      </w:r>
      <w:r>
        <w:rPr>
          <w:rFonts w:ascii="Arial"/>
          <w:w w:val="106"/>
          <w:sz w:val="15"/>
        </w:rPr>
        <w:t>b</w:t>
      </w:r>
    </w:p>
    <w:p>
      <w:pPr>
        <w:pStyle w:val="BodyText"/>
        <w:rPr>
          <w:rFonts w:ascii="Arial"/>
          <w:sz w:val="22"/>
        </w:rPr>
      </w:pPr>
      <w:r>
        <w:rPr/>
        <w:br w:type="column"/>
      </w:r>
      <w:r>
        <w:rPr>
          <w:rFonts w:ascii="Arial"/>
          <w:sz w:val="22"/>
        </w:rPr>
      </w:r>
    </w:p>
    <w:p>
      <w:pPr>
        <w:pStyle w:val="BodyText"/>
        <w:rPr>
          <w:rFonts w:ascii="Arial"/>
          <w:sz w:val="22"/>
        </w:rPr>
      </w:pPr>
    </w:p>
    <w:p>
      <w:pPr>
        <w:pStyle w:val="BodyText"/>
        <w:rPr>
          <w:rFonts w:ascii="Arial"/>
          <w:sz w:val="22"/>
        </w:rPr>
      </w:pPr>
    </w:p>
    <w:p>
      <w:pPr>
        <w:pStyle w:val="BodyText"/>
        <w:spacing w:before="11"/>
        <w:rPr>
          <w:rFonts w:ascii="Arial"/>
          <w:sz w:val="23"/>
        </w:rPr>
      </w:pPr>
    </w:p>
    <w:p>
      <w:pPr>
        <w:spacing w:before="0"/>
        <w:ind w:left="1340" w:right="0" w:firstLine="0"/>
        <w:jc w:val="left"/>
        <w:rPr>
          <w:rFonts w:ascii="Arial"/>
          <w:sz w:val="23"/>
        </w:rPr>
      </w:pPr>
      <w:r>
        <w:rPr>
          <w:rFonts w:ascii="Arial"/>
          <w:w w:val="105"/>
          <w:sz w:val="23"/>
        </w:rPr>
        <w:t>Sp (V70/06)</w:t>
      </w:r>
    </w:p>
    <w:p>
      <w:pPr>
        <w:spacing w:before="101"/>
        <w:ind w:left="1355" w:right="0" w:firstLine="0"/>
        <w:jc w:val="left"/>
        <w:rPr>
          <w:rFonts w:ascii="Arial"/>
          <w:sz w:val="23"/>
        </w:rPr>
      </w:pPr>
      <w:r>
        <w:rPr/>
        <w:drawing>
          <wp:anchor distT="0" distB="0" distL="0" distR="0" allowOverlap="1" layoutInCell="1" locked="0" behindDoc="0" simplePos="0" relativeHeight="1408">
            <wp:simplePos x="0" y="0"/>
            <wp:positionH relativeFrom="page">
              <wp:posOffset>5397713</wp:posOffset>
            </wp:positionH>
            <wp:positionV relativeFrom="paragraph">
              <wp:posOffset>115329</wp:posOffset>
            </wp:positionV>
            <wp:extent cx="217178" cy="73272"/>
            <wp:effectExtent l="0" t="0" r="0" b="0"/>
            <wp:wrapNone/>
            <wp:docPr id="43" name="image23.png" descr=""/>
            <wp:cNvGraphicFramePr>
              <a:graphicFrameLocks noChangeAspect="1"/>
            </wp:cNvGraphicFramePr>
            <a:graphic>
              <a:graphicData uri="http://schemas.openxmlformats.org/drawingml/2006/picture">
                <pic:pic>
                  <pic:nvPicPr>
                    <pic:cNvPr id="44" name="image23.png"/>
                    <pic:cNvPicPr/>
                  </pic:nvPicPr>
                  <pic:blipFill>
                    <a:blip r:embed="rId51" cstate="print"/>
                    <a:stretch>
                      <a:fillRect/>
                    </a:stretch>
                  </pic:blipFill>
                  <pic:spPr>
                    <a:xfrm>
                      <a:off x="0" y="0"/>
                      <a:ext cx="217178" cy="73272"/>
                    </a:xfrm>
                    <a:prstGeom prst="rect">
                      <a:avLst/>
                    </a:prstGeom>
                  </pic:spPr>
                </pic:pic>
              </a:graphicData>
            </a:graphic>
          </wp:anchor>
        </w:drawing>
      </w:r>
      <w:r>
        <w:rPr/>
        <w:pict>
          <v:group style="position:absolute;margin-left:424.271545pt;margin-top:-9.159552pt;width:17.150pt;height:5.65pt;mso-position-horizontal-relative:page;mso-position-vertical-relative:paragraph;z-index:1432" coordorigin="8485,-183" coordsize="343,113">
            <v:shape style="position:absolute;left:6587;top:3699;width:313;height:2" coordorigin="6587,3699" coordsize="313,0" path="m8500,-127l8529,-127m8529,-127l8558,-127m8558,-127l8587,-127m8587,-127l8616,-127m8703,-127l8732,-127m8732,-127l8761,-127m8761,-127l8790,-127m8790,-127l8814,-127e" filled="false" stroked="true" strokeweight="1.428218pt" strokecolor="#0000ff">
              <v:path arrowok="t"/>
            </v:shape>
            <v:rect style="position:absolute;left:8596;top:-183;width:116;height:113" filled="true" fillcolor="#000000" stroked="false">
              <v:fill type="solid"/>
            </v:rect>
            <w10:wrap type="none"/>
          </v:group>
        </w:pict>
      </w:r>
      <w:r>
        <w:rPr>
          <w:rFonts w:ascii="Arial"/>
          <w:w w:val="105"/>
          <w:sz w:val="23"/>
        </w:rPr>
        <w:t>VR-299 (558/00)</w:t>
      </w:r>
    </w:p>
    <w:p>
      <w:pPr>
        <w:spacing w:after="0"/>
        <w:jc w:val="left"/>
        <w:rPr>
          <w:rFonts w:ascii="Arial"/>
          <w:sz w:val="23"/>
        </w:rPr>
        <w:sectPr>
          <w:type w:val="continuous"/>
          <w:pgSz w:w="12240" w:h="15840"/>
          <w:pgMar w:top="1500" w:bottom="280" w:left="1720" w:right="1380"/>
          <w:cols w:num="3" w:equalWidth="0">
            <w:col w:w="2157" w:space="40"/>
            <w:col w:w="1724" w:space="2001"/>
            <w:col w:w="3218"/>
          </w:cols>
        </w:sectPr>
      </w:pPr>
    </w:p>
    <w:p>
      <w:pPr>
        <w:tabs>
          <w:tab w:pos="721" w:val="left" w:leader="none"/>
          <w:tab w:pos="1386" w:val="left" w:leader="none"/>
          <w:tab w:pos="2110" w:val="left" w:leader="none"/>
          <w:tab w:pos="2835" w:val="left" w:leader="none"/>
          <w:tab w:pos="3559" w:val="left" w:leader="none"/>
        </w:tabs>
        <w:spacing w:line="218" w:lineRule="exact" w:before="0"/>
        <w:ind w:left="0" w:right="1272" w:firstLine="0"/>
        <w:jc w:val="center"/>
        <w:rPr>
          <w:rFonts w:ascii="Arial"/>
          <w:b/>
          <w:sz w:val="21"/>
        </w:rPr>
      </w:pPr>
      <w:r>
        <w:rPr>
          <w:rFonts w:ascii="Arial"/>
          <w:b/>
          <w:w w:val="105"/>
          <w:sz w:val="21"/>
        </w:rPr>
        <w:t>4</w:t>
        <w:tab/>
        <w:t>8</w:t>
        <w:tab/>
        <w:t>12</w:t>
        <w:tab/>
        <w:t>24</w:t>
        <w:tab/>
        <w:t>36</w:t>
        <w:tab/>
        <w:t>60</w:t>
      </w:r>
    </w:p>
    <w:p>
      <w:pPr>
        <w:spacing w:before="80"/>
        <w:ind w:left="0" w:right="1320" w:firstLine="0"/>
        <w:jc w:val="center"/>
        <w:rPr>
          <w:rFonts w:ascii="Arial"/>
          <w:sz w:val="21"/>
        </w:rPr>
      </w:pPr>
      <w:r>
        <w:rPr>
          <w:rFonts w:ascii="Arial"/>
          <w:w w:val="105"/>
          <w:sz w:val="21"/>
        </w:rPr>
        <w:t>Time (hpi)</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4"/>
        <w:rPr>
          <w:rFonts w:ascii="Arial"/>
          <w:sz w:val="21"/>
        </w:rPr>
      </w:pPr>
    </w:p>
    <w:p>
      <w:pPr>
        <w:pStyle w:val="BodyText"/>
        <w:spacing w:line="352" w:lineRule="auto" w:before="69"/>
        <w:ind w:left="152" w:right="142"/>
        <w:jc w:val="both"/>
      </w:pPr>
      <w:r>
        <w:rPr/>
        <w:t>FIGURE 1. Expression level of VP2 mRNA in RTG-2 cells infected with two IPNV serotypes of differences virulence (MOI=0.1). Significant up-regulation of VP2 transcript (Sp)  at  4  and  8  hpi  compared  to  the  values  detected  by  VR-299-VP2  (</w:t>
      </w:r>
      <w:r>
        <w:rPr>
          <w:i/>
        </w:rPr>
        <w:t>P  &lt;   0.05</w:t>
      </w:r>
      <w:r>
        <w:rPr>
          <w:i/>
          <w:position w:val="9"/>
          <w:sz w:val="16"/>
        </w:rPr>
        <w:t>ab</w:t>
      </w:r>
      <w:r>
        <w:rPr/>
        <w:t>).</w:t>
      </w:r>
    </w:p>
    <w:p>
      <w:pPr>
        <w:spacing w:after="0" w:line="352" w:lineRule="auto"/>
        <w:jc w:val="both"/>
        <w:sectPr>
          <w:type w:val="continuous"/>
          <w:pgSz w:w="12240" w:h="15840"/>
          <w:pgMar w:top="1500" w:bottom="280" w:left="1720" w:right="1380"/>
        </w:sectPr>
      </w:pPr>
    </w:p>
    <w:p>
      <w:pPr>
        <w:pStyle w:val="BodyText"/>
        <w:spacing w:before="7"/>
        <w:rPr>
          <w:sz w:val="25"/>
        </w:rPr>
      </w:pPr>
    </w:p>
    <w:p>
      <w:pPr>
        <w:pStyle w:val="BodyText"/>
        <w:spacing w:line="360" w:lineRule="auto" w:before="70"/>
        <w:ind w:left="152" w:right="99"/>
        <w:jc w:val="both"/>
      </w:pPr>
      <w:r>
        <w:rPr/>
        <w:t>Furthermore,</w:t>
      </w:r>
      <w:r>
        <w:rPr>
          <w:spacing w:val="-4"/>
        </w:rPr>
        <w:t> </w:t>
      </w:r>
      <w:r>
        <w:rPr/>
        <w:t>significant</w:t>
      </w:r>
      <w:r>
        <w:rPr>
          <w:spacing w:val="-1"/>
        </w:rPr>
        <w:t> </w:t>
      </w:r>
      <w:r>
        <w:rPr/>
        <w:t>up-regulation</w:t>
      </w:r>
      <w:r>
        <w:rPr>
          <w:spacing w:val="-10"/>
        </w:rPr>
        <w:t> </w:t>
      </w:r>
      <w:r>
        <w:rPr/>
        <w:t>of</w:t>
      </w:r>
      <w:r>
        <w:rPr>
          <w:spacing w:val="-13"/>
        </w:rPr>
        <w:t> </w:t>
      </w:r>
      <w:r>
        <w:rPr/>
        <w:t>VP2</w:t>
      </w:r>
      <w:r>
        <w:rPr>
          <w:spacing w:val="-1"/>
        </w:rPr>
        <w:t> </w:t>
      </w:r>
      <w:r>
        <w:rPr/>
        <w:t>mRNA</w:t>
      </w:r>
      <w:r>
        <w:rPr>
          <w:spacing w:val="-11"/>
        </w:rPr>
        <w:t> </w:t>
      </w:r>
      <w:r>
        <w:rPr/>
        <w:t>(Sp)</w:t>
      </w:r>
      <w:r>
        <w:rPr>
          <w:spacing w:val="-4"/>
        </w:rPr>
        <w:t> </w:t>
      </w:r>
      <w:r>
        <w:rPr>
          <w:spacing w:val="-3"/>
        </w:rPr>
        <w:t>at</w:t>
      </w:r>
      <w:r>
        <w:rPr>
          <w:spacing w:val="-1"/>
        </w:rPr>
        <w:t> </w:t>
      </w:r>
      <w:r>
        <w:rPr/>
        <w:t>24</w:t>
      </w:r>
      <w:r>
        <w:rPr>
          <w:spacing w:val="-6"/>
        </w:rPr>
        <w:t> </w:t>
      </w:r>
      <w:r>
        <w:rPr/>
        <w:t>and</w:t>
      </w:r>
      <w:r>
        <w:rPr>
          <w:spacing w:val="-6"/>
        </w:rPr>
        <w:t> </w:t>
      </w:r>
      <w:r>
        <w:rPr/>
        <w:t>36</w:t>
      </w:r>
      <w:r>
        <w:rPr>
          <w:spacing w:val="-6"/>
        </w:rPr>
        <w:t> </w:t>
      </w:r>
      <w:r>
        <w:rPr/>
        <w:t>hpi</w:t>
      </w:r>
      <w:r>
        <w:rPr>
          <w:spacing w:val="-14"/>
        </w:rPr>
        <w:t> </w:t>
      </w:r>
      <w:r>
        <w:rPr>
          <w:spacing w:val="3"/>
        </w:rPr>
        <w:t>(</w:t>
      </w:r>
      <w:r>
        <w:rPr>
          <w:i/>
          <w:spacing w:val="3"/>
        </w:rPr>
        <w:t>P</w:t>
      </w:r>
      <w:r>
        <w:rPr>
          <w:i/>
          <w:spacing w:val="-8"/>
        </w:rPr>
        <w:t> </w:t>
      </w:r>
      <w:r>
        <w:rPr>
          <w:i/>
        </w:rPr>
        <w:t>&lt;</w:t>
      </w:r>
      <w:r>
        <w:rPr>
          <w:i/>
          <w:spacing w:val="-5"/>
        </w:rPr>
        <w:t> </w:t>
      </w:r>
      <w:r>
        <w:rPr>
          <w:i/>
        </w:rPr>
        <w:t>0.05</w:t>
      </w:r>
      <w:r>
        <w:rPr/>
        <w:t>).</w:t>
      </w:r>
      <w:r>
        <w:rPr>
          <w:spacing w:val="-8"/>
        </w:rPr>
        <w:t> </w:t>
      </w:r>
      <w:r>
        <w:rPr/>
        <w:t>Data are expressed as </w:t>
      </w:r>
      <w:r>
        <w:rPr>
          <w:spacing w:val="-3"/>
        </w:rPr>
        <w:t>fold </w:t>
      </w:r>
      <w:r>
        <w:rPr/>
        <w:t>difference of mRNA expression normalized </w:t>
      </w:r>
      <w:r>
        <w:rPr>
          <w:spacing w:val="2"/>
        </w:rPr>
        <w:t>to </w:t>
      </w:r>
      <w:r>
        <w:rPr/>
        <w:t>the housekeeping gene (ELF-1 (</w:t>
      </w:r>
      <w:r>
        <w:rPr>
          <w:i/>
        </w:rPr>
        <w:t>α</w:t>
      </w:r>
      <w:r>
        <w:rPr/>
        <w:t>)). The shown experiment </w:t>
      </w:r>
      <w:r>
        <w:rPr>
          <w:spacing w:val="-5"/>
        </w:rPr>
        <w:t>is </w:t>
      </w:r>
      <w:r>
        <w:rPr/>
        <w:t>representative of three independent experiments, which generated reproducible</w:t>
      </w:r>
      <w:r>
        <w:rPr>
          <w:spacing w:val="-11"/>
        </w:rPr>
        <w:t> </w:t>
      </w:r>
      <w:r>
        <w:rPr/>
        <w:t>data.</w:t>
      </w:r>
    </w:p>
    <w:p>
      <w:pPr>
        <w:spacing w:after="0" w:line="360" w:lineRule="auto"/>
        <w:jc w:val="both"/>
        <w:sectPr>
          <w:pgSz w:w="12240" w:h="15840"/>
          <w:pgMar w:header="0" w:footer="1382" w:top="1500" w:bottom="1580" w:left="1720" w:right="1420"/>
        </w:sectPr>
      </w:pPr>
    </w:p>
    <w:p>
      <w:pPr>
        <w:pStyle w:val="BodyText"/>
        <w:rPr>
          <w:sz w:val="20"/>
        </w:rPr>
      </w:pPr>
      <w:r>
        <w:rPr/>
        <w:pict>
          <v:shape style="position:absolute;margin-left:326.399994pt;margin-top:473.76001pt;width:271pt;height:263.55pt;mso-position-horizontal-relative:page;mso-position-vertical-relative:page;z-index:-58576" type="#_x0000_t202" filled="false" stroked="false">
            <v:textbox inset="0,0,0,0">
              <w:txbxContent>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spacing w:before="185"/>
                    <w:ind w:left="0" w:right="1232" w:firstLine="0"/>
                    <w:jc w:val="right"/>
                    <w:rPr>
                      <w:rFonts w:ascii="Calibri"/>
                      <w:sz w:val="22"/>
                    </w:rPr>
                  </w:pPr>
                  <w:r>
                    <w:rPr>
                      <w:rFonts w:ascii="Calibri"/>
                      <w:sz w:val="22"/>
                    </w:rPr>
                    <w:t>66</w:t>
                  </w:r>
                </w:p>
              </w:txbxContent>
            </v:textbox>
            <w10:wrap type="none"/>
          </v:shape>
        </w:pict>
      </w:r>
    </w:p>
    <w:p>
      <w:pPr>
        <w:pStyle w:val="BodyText"/>
        <w:spacing w:before="8" w:after="1"/>
        <w:rPr>
          <w:sz w:val="12"/>
        </w:rPr>
      </w:pPr>
    </w:p>
    <w:p>
      <w:pPr>
        <w:pStyle w:val="BodyText"/>
        <w:ind w:left="102"/>
        <w:rPr>
          <w:sz w:val="20"/>
        </w:rPr>
      </w:pPr>
      <w:r>
        <w:rPr>
          <w:sz w:val="20"/>
        </w:rPr>
        <w:pict>
          <v:group style="width:540.25pt;height:644.950pt;mso-position-horizontal-relative:char;mso-position-vertical-relative:line" coordorigin="0,0" coordsize="10805,12899">
            <v:shape style="position:absolute;left:19;top:0;width:5198;height:3571" type="#_x0000_t75" stroked="false">
              <v:imagedata r:id="rId53" o:title=""/>
            </v:shape>
            <v:shape style="position:absolute;left:0;top:3494;width:5309;height:4114" type="#_x0000_t75" stroked="false">
              <v:imagedata r:id="rId54" o:title=""/>
            </v:shape>
            <v:shape style="position:absolute;left:5419;top:24;width:5237;height:3461" type="#_x0000_t75" stroked="false">
              <v:imagedata r:id="rId55" o:title=""/>
            </v:shape>
            <v:shape style="position:absolute;left:5386;top:3514;width:5405;height:4133" type="#_x0000_t75" stroked="false">
              <v:imagedata r:id="rId56" o:title=""/>
            </v:shape>
            <v:shape style="position:absolute;left:34;top:7594;width:5424;height:5305" type="#_x0000_t75" stroked="false">
              <v:imagedata r:id="rId57" o:title=""/>
            </v:shape>
            <v:shape style="position:absolute;left:5386;top:7598;width:5419;height:5270" type="#_x0000_t75" stroked="false">
              <v:imagedata r:id="rId58" o:title=""/>
            </v:shape>
          </v:group>
        </w:pict>
      </w:r>
      <w:r>
        <w:rPr>
          <w:sz w:val="20"/>
        </w:rPr>
      </w:r>
    </w:p>
    <w:p>
      <w:pPr>
        <w:spacing w:after="0"/>
        <w:rPr>
          <w:sz w:val="20"/>
        </w:rPr>
        <w:sectPr>
          <w:footerReference w:type="default" r:id="rId52"/>
          <w:pgSz w:w="12240" w:h="15840"/>
          <w:pgMar w:footer="0" w:header="0" w:top="1500" w:bottom="280" w:left="1040" w:right="180"/>
        </w:sectPr>
      </w:pPr>
    </w:p>
    <w:p>
      <w:pPr>
        <w:pStyle w:val="BodyText"/>
        <w:spacing w:before="7"/>
        <w:rPr>
          <w:sz w:val="25"/>
        </w:rPr>
      </w:pPr>
    </w:p>
    <w:p>
      <w:pPr>
        <w:pStyle w:val="BodyText"/>
        <w:spacing w:line="357" w:lineRule="auto" w:before="70"/>
        <w:ind w:left="152" w:right="102"/>
        <w:jc w:val="both"/>
      </w:pPr>
      <w:r>
        <w:rPr/>
        <w:t>FIGURE 2. Expression level </w:t>
      </w:r>
      <w:r>
        <w:rPr>
          <w:spacing w:val="4"/>
        </w:rPr>
        <w:t>of </w:t>
      </w:r>
      <w:r>
        <w:rPr/>
        <w:t>IFN-I(</w:t>
      </w:r>
      <w:r>
        <w:rPr>
          <w:i/>
        </w:rPr>
        <w:t>α</w:t>
      </w:r>
      <w:r>
        <w:rPr/>
        <w:t>), STAT-1(</w:t>
      </w:r>
      <w:r>
        <w:rPr>
          <w:i/>
        </w:rPr>
        <w:t>α</w:t>
      </w:r>
      <w:r>
        <w:rPr/>
        <w:t>) and Mx-1 mRNA </w:t>
      </w:r>
      <w:r>
        <w:rPr>
          <w:spacing w:val="-3"/>
        </w:rPr>
        <w:t>in </w:t>
      </w:r>
      <w:r>
        <w:rPr/>
        <w:t>RTG-2 cells infected with two IPNV serotypes </w:t>
      </w:r>
      <w:r>
        <w:rPr>
          <w:spacing w:val="4"/>
        </w:rPr>
        <w:t>of </w:t>
      </w:r>
      <w:r>
        <w:rPr/>
        <w:t>differences virulence (MOI=0.1). IFN-I(</w:t>
      </w:r>
      <w:r>
        <w:rPr>
          <w:i/>
        </w:rPr>
        <w:t>α</w:t>
      </w:r>
      <w:r>
        <w:rPr/>
        <w:t>) and STAT- 1(</w:t>
      </w:r>
      <w:r>
        <w:rPr>
          <w:i/>
        </w:rPr>
        <w:t>α</w:t>
      </w:r>
      <w:r>
        <w:rPr/>
        <w:t>) were significantly up-regulated at 4 and 8 hpi </w:t>
      </w:r>
      <w:r>
        <w:rPr>
          <w:spacing w:val="-3"/>
        </w:rPr>
        <w:t>in </w:t>
      </w:r>
      <w:r>
        <w:rPr/>
        <w:t>infected cell with serotype Sp virus compared</w:t>
      </w:r>
      <w:r>
        <w:rPr>
          <w:spacing w:val="-6"/>
        </w:rPr>
        <w:t> </w:t>
      </w:r>
      <w:r>
        <w:rPr>
          <w:spacing w:val="2"/>
        </w:rPr>
        <w:t>to</w:t>
      </w:r>
      <w:r>
        <w:rPr>
          <w:spacing w:val="-10"/>
        </w:rPr>
        <w:t> </w:t>
      </w:r>
      <w:r>
        <w:rPr/>
        <w:t>the</w:t>
      </w:r>
      <w:r>
        <w:rPr>
          <w:spacing w:val="-2"/>
        </w:rPr>
        <w:t> </w:t>
      </w:r>
      <w:r>
        <w:rPr/>
        <w:t>infected</w:t>
      </w:r>
      <w:r>
        <w:rPr>
          <w:spacing w:val="-6"/>
        </w:rPr>
        <w:t> </w:t>
      </w:r>
      <w:r>
        <w:rPr/>
        <w:t>cell</w:t>
      </w:r>
      <w:r>
        <w:rPr>
          <w:spacing w:val="-9"/>
        </w:rPr>
        <w:t> </w:t>
      </w:r>
      <w:r>
        <w:rPr/>
        <w:t>with</w:t>
      </w:r>
      <w:r>
        <w:rPr>
          <w:spacing w:val="-10"/>
        </w:rPr>
        <w:t> </w:t>
      </w:r>
      <w:r>
        <w:rPr/>
        <w:t>serotype</w:t>
      </w:r>
      <w:r>
        <w:rPr>
          <w:spacing w:val="-7"/>
        </w:rPr>
        <w:t> </w:t>
      </w:r>
      <w:r>
        <w:rPr/>
        <w:t>VR-299</w:t>
      </w:r>
      <w:r>
        <w:rPr>
          <w:spacing w:val="-6"/>
        </w:rPr>
        <w:t> </w:t>
      </w:r>
      <w:r>
        <w:rPr/>
        <w:t>virus</w:t>
      </w:r>
      <w:r>
        <w:rPr>
          <w:spacing w:val="-8"/>
        </w:rPr>
        <w:t> </w:t>
      </w:r>
      <w:r>
        <w:rPr/>
        <w:t>(</w:t>
      </w:r>
      <w:r>
        <w:rPr>
          <w:i/>
        </w:rPr>
        <w:t>P</w:t>
      </w:r>
      <w:r>
        <w:rPr>
          <w:i/>
          <w:spacing w:val="-8"/>
        </w:rPr>
        <w:t> </w:t>
      </w:r>
      <w:r>
        <w:rPr>
          <w:i/>
        </w:rPr>
        <w:t>&lt;</w:t>
      </w:r>
      <w:r>
        <w:rPr>
          <w:i/>
          <w:spacing w:val="-5"/>
        </w:rPr>
        <w:t> </w:t>
      </w:r>
      <w:r>
        <w:rPr>
          <w:i/>
        </w:rPr>
        <w:t>0.05</w:t>
      </w:r>
      <w:r>
        <w:rPr>
          <w:i/>
          <w:position w:val="9"/>
          <w:sz w:val="16"/>
        </w:rPr>
        <w:t>ab</w:t>
      </w:r>
      <w:r>
        <w:rPr/>
        <w:t>)</w:t>
      </w:r>
      <w:r>
        <w:rPr>
          <w:spacing w:val="-4"/>
        </w:rPr>
        <w:t> </w:t>
      </w:r>
      <w:r>
        <w:rPr/>
        <w:t>(</w:t>
      </w:r>
      <w:r>
        <w:rPr>
          <w:b/>
        </w:rPr>
        <w:t>A,B,C,D</w:t>
      </w:r>
      <w:r>
        <w:rPr/>
        <w:t>).</w:t>
      </w:r>
      <w:r>
        <w:rPr>
          <w:spacing w:val="-4"/>
        </w:rPr>
        <w:t> </w:t>
      </w:r>
      <w:r>
        <w:rPr/>
        <w:t>However, both</w:t>
      </w:r>
      <w:r>
        <w:rPr>
          <w:spacing w:val="-18"/>
        </w:rPr>
        <w:t> </w:t>
      </w:r>
      <w:r>
        <w:rPr/>
        <w:t>gene</w:t>
      </w:r>
      <w:r>
        <w:rPr>
          <w:spacing w:val="-14"/>
        </w:rPr>
        <w:t> </w:t>
      </w:r>
      <w:r>
        <w:rPr/>
        <w:t>were</w:t>
      </w:r>
      <w:r>
        <w:rPr>
          <w:spacing w:val="-14"/>
        </w:rPr>
        <w:t> </w:t>
      </w:r>
      <w:r>
        <w:rPr/>
        <w:t>down-regulated</w:t>
      </w:r>
      <w:r>
        <w:rPr>
          <w:spacing w:val="-13"/>
        </w:rPr>
        <w:t> </w:t>
      </w:r>
      <w:r>
        <w:rPr/>
        <w:t>at</w:t>
      </w:r>
      <w:r>
        <w:rPr>
          <w:spacing w:val="-13"/>
        </w:rPr>
        <w:t> </w:t>
      </w:r>
      <w:r>
        <w:rPr/>
        <w:t>60</w:t>
      </w:r>
      <w:r>
        <w:rPr>
          <w:spacing w:val="-13"/>
        </w:rPr>
        <w:t> </w:t>
      </w:r>
      <w:r>
        <w:rPr/>
        <w:t>hpi</w:t>
      </w:r>
      <w:r>
        <w:rPr>
          <w:spacing w:val="-18"/>
        </w:rPr>
        <w:t> </w:t>
      </w:r>
      <w:r>
        <w:rPr>
          <w:spacing w:val="-3"/>
        </w:rPr>
        <w:t>in</w:t>
      </w:r>
      <w:r>
        <w:rPr>
          <w:spacing w:val="-9"/>
        </w:rPr>
        <w:t> </w:t>
      </w:r>
      <w:r>
        <w:rPr/>
        <w:t>infected</w:t>
      </w:r>
      <w:r>
        <w:rPr>
          <w:spacing w:val="-13"/>
        </w:rPr>
        <w:t> </w:t>
      </w:r>
      <w:r>
        <w:rPr/>
        <w:t>cell</w:t>
      </w:r>
      <w:r>
        <w:rPr>
          <w:spacing w:val="-18"/>
        </w:rPr>
        <w:t> </w:t>
      </w:r>
      <w:r>
        <w:rPr/>
        <w:t>with</w:t>
      </w:r>
      <w:r>
        <w:rPr>
          <w:spacing w:val="-18"/>
        </w:rPr>
        <w:t> </w:t>
      </w:r>
      <w:r>
        <w:rPr/>
        <w:t>Sp</w:t>
      </w:r>
      <w:r>
        <w:rPr>
          <w:spacing w:val="-13"/>
        </w:rPr>
        <w:t> </w:t>
      </w:r>
      <w:r>
        <w:rPr/>
        <w:t>virus</w:t>
      </w:r>
      <w:r>
        <w:rPr>
          <w:spacing w:val="-16"/>
        </w:rPr>
        <w:t> </w:t>
      </w:r>
      <w:r>
        <w:rPr/>
        <w:t>(</w:t>
      </w:r>
      <w:r>
        <w:rPr>
          <w:i/>
        </w:rPr>
        <w:t>P</w:t>
      </w:r>
      <w:r>
        <w:rPr>
          <w:i/>
          <w:spacing w:val="-16"/>
        </w:rPr>
        <w:t> </w:t>
      </w:r>
      <w:r>
        <w:rPr>
          <w:i/>
        </w:rPr>
        <w:t>&lt;</w:t>
      </w:r>
      <w:r>
        <w:rPr>
          <w:i/>
          <w:spacing w:val="-12"/>
        </w:rPr>
        <w:t> </w:t>
      </w:r>
      <w:r>
        <w:rPr>
          <w:i/>
        </w:rPr>
        <w:t>0.05</w:t>
      </w:r>
      <w:r>
        <w:rPr/>
        <w:t>).</w:t>
      </w:r>
      <w:r>
        <w:rPr>
          <w:spacing w:val="-11"/>
        </w:rPr>
        <w:t> </w:t>
      </w:r>
      <w:r>
        <w:rPr/>
        <w:t>In</w:t>
      </w:r>
      <w:r>
        <w:rPr>
          <w:spacing w:val="-18"/>
        </w:rPr>
        <w:t> </w:t>
      </w:r>
      <w:r>
        <w:rPr/>
        <w:t>addition, significant down-regulation between 4 and 8 hpi of Mx-1 transcript </w:t>
      </w:r>
      <w:r>
        <w:rPr>
          <w:spacing w:val="-3"/>
        </w:rPr>
        <w:t>in </w:t>
      </w:r>
      <w:r>
        <w:rPr/>
        <w:t>infected </w:t>
      </w:r>
      <w:r>
        <w:rPr>
          <w:spacing w:val="-3"/>
        </w:rPr>
        <w:t>cells </w:t>
      </w:r>
      <w:r>
        <w:rPr/>
        <w:t>with both serotypes (</w:t>
      </w:r>
      <w:r>
        <w:rPr>
          <w:b/>
        </w:rPr>
        <w:t>E, F</w:t>
      </w:r>
      <w:r>
        <w:rPr/>
        <w:t>). Surprisingly, Mx-1 does not show expression differences </w:t>
      </w:r>
      <w:r>
        <w:rPr>
          <w:spacing w:val="3"/>
        </w:rPr>
        <w:t>(</w:t>
      </w:r>
      <w:r>
        <w:rPr>
          <w:i/>
          <w:spacing w:val="3"/>
        </w:rPr>
        <w:t>P </w:t>
      </w:r>
      <w:r>
        <w:rPr>
          <w:i/>
        </w:rPr>
        <w:t>&gt; </w:t>
      </w:r>
      <w:r>
        <w:rPr/>
        <w:t>0.05). The</w:t>
      </w:r>
      <w:r>
        <w:rPr>
          <w:spacing w:val="-13"/>
        </w:rPr>
        <w:t> </w:t>
      </w:r>
      <w:r>
        <w:rPr/>
        <w:t>shown</w:t>
      </w:r>
      <w:r>
        <w:rPr>
          <w:spacing w:val="-16"/>
        </w:rPr>
        <w:t> </w:t>
      </w:r>
      <w:r>
        <w:rPr/>
        <w:t>experiment</w:t>
      </w:r>
      <w:r>
        <w:rPr>
          <w:spacing w:val="-7"/>
        </w:rPr>
        <w:t> </w:t>
      </w:r>
      <w:r>
        <w:rPr>
          <w:spacing w:val="-5"/>
        </w:rPr>
        <w:t>is</w:t>
      </w:r>
      <w:r>
        <w:rPr>
          <w:spacing w:val="-14"/>
        </w:rPr>
        <w:t> </w:t>
      </w:r>
      <w:r>
        <w:rPr/>
        <w:t>a</w:t>
      </w:r>
      <w:r>
        <w:rPr>
          <w:spacing w:val="-13"/>
        </w:rPr>
        <w:t> </w:t>
      </w:r>
      <w:r>
        <w:rPr/>
        <w:t>representative</w:t>
      </w:r>
      <w:r>
        <w:rPr>
          <w:spacing w:val="-13"/>
        </w:rPr>
        <w:t> </w:t>
      </w:r>
      <w:r>
        <w:rPr/>
        <w:t>of</w:t>
      </w:r>
      <w:r>
        <w:rPr>
          <w:spacing w:val="-19"/>
        </w:rPr>
        <w:t> </w:t>
      </w:r>
      <w:r>
        <w:rPr/>
        <w:t>three</w:t>
      </w:r>
      <w:r>
        <w:rPr>
          <w:spacing w:val="-13"/>
        </w:rPr>
        <w:t> </w:t>
      </w:r>
      <w:r>
        <w:rPr/>
        <w:t>independent</w:t>
      </w:r>
      <w:r>
        <w:rPr>
          <w:spacing w:val="-7"/>
        </w:rPr>
        <w:t> </w:t>
      </w:r>
      <w:r>
        <w:rPr/>
        <w:t>experiments,</w:t>
      </w:r>
      <w:r>
        <w:rPr>
          <w:spacing w:val="-10"/>
        </w:rPr>
        <w:t> </w:t>
      </w:r>
      <w:r>
        <w:rPr/>
        <w:t>which</w:t>
      </w:r>
      <w:r>
        <w:rPr>
          <w:spacing w:val="-16"/>
        </w:rPr>
        <w:t> </w:t>
      </w:r>
      <w:r>
        <w:rPr/>
        <w:t>generated reproducible data, means ±</w:t>
      </w:r>
      <w:r>
        <w:rPr>
          <w:spacing w:val="-14"/>
        </w:rPr>
        <w:t> </w:t>
      </w:r>
      <w:r>
        <w:rPr/>
        <w:t>SD.</w:t>
      </w:r>
    </w:p>
    <w:p>
      <w:pPr>
        <w:spacing w:after="0" w:line="357" w:lineRule="auto"/>
        <w:jc w:val="both"/>
        <w:sectPr>
          <w:footerReference w:type="default" r:id="rId59"/>
          <w:pgSz w:w="12240" w:h="15840"/>
          <w:pgMar w:footer="1382" w:header="0" w:top="1500" w:bottom="1580" w:left="1720" w:right="1420"/>
          <w:pgNumType w:start="67"/>
        </w:sectPr>
      </w:pPr>
    </w:p>
    <w:p>
      <w:pPr>
        <w:pStyle w:val="BodyText"/>
        <w:rPr>
          <w:sz w:val="20"/>
        </w:rPr>
      </w:pPr>
      <w:r>
        <w:rPr/>
        <w:pict>
          <v:group style="position:absolute;margin-left:119.394516pt;margin-top:97.279678pt;width:260.25pt;height:198.15pt;mso-position-horizontal-relative:page;mso-position-vertical-relative:page;z-index:1888" coordorigin="2388,1946" coordsize="5205,3963">
            <v:line style="position:absolute" from="3571,5411" to="3827,5411" stroked="true" strokeweight="4.294199pt" strokecolor="#000080"/>
            <v:shape style="position:absolute;left:1490;top:14650;width:314;height:238" coordorigin="1490,14650" coordsize="314,238" path="m3571,5449l3571,5449,3571,5368,3825,5368,3825,5449m3635,5318l3763,5318,3635,5318e" filled="false" stroked="true" strokeweight="1.462741pt" strokecolor="#000000">
              <v:path arrowok="t"/>
            </v:shape>
            <v:line style="position:absolute" from="3681,5343" to="3716,5343" stroked="true" strokeweight="2.510577pt" strokecolor="#000000"/>
            <v:line style="position:absolute" from="3958,5414" to="4213,5414" stroked="true" strokeweight="4.029922pt" strokecolor="#000080"/>
            <v:shape style="position:absolute;left:1969;top:14700;width:314;height:188" coordorigin="1969,14700" coordsize="314,188" path="m3958,5449l3958,5449,3958,5373,4211,5373,4211,5449m4022,5346l4150,5346,4022,5346e" filled="false" stroked="true" strokeweight="1.462741pt" strokecolor="#000000">
              <v:path arrowok="t"/>
            </v:shape>
            <v:line style="position:absolute" from="4069,5359" to="4103,5359" stroked="true" strokeweight="1.387482pt" strokecolor="#000000"/>
            <v:rect style="position:absolute;left:4345;top:5232;width:255;height:222" filled="true" fillcolor="#000080" stroked="false">
              <v:fill type="solid"/>
            </v:rect>
            <v:shape style="position:absolute;left:2447;top:14434;width:314;height:454" coordorigin="2447,14434" coordsize="314,454" path="m4345,5449l4345,5449,4345,5232,4598,5232,4598,5449m4409,5199l4536,5199,4409,5199e" filled="false" stroked="true" strokeweight="1.462741pt" strokecolor="#000000">
              <v:path arrowok="t"/>
            </v:shape>
            <v:line style="position:absolute" from="4455,5215" to="4490,5215" stroked="true" strokeweight="1.651869pt" strokecolor="#000000"/>
            <v:rect style="position:absolute;left:4731;top:5122;width:256;height:332" filled="true" fillcolor="#000080" stroked="false">
              <v:fill type="solid"/>
            </v:rect>
            <v:shape style="position:absolute;left:2925;top:14004;width:314;height:883" coordorigin="2925,14004" coordsize="314,883" path="m4731,5449l4731,5449,4731,5122,4985,5122,4985,5449m4795,4962l4923,4962,4795,4962m4859,4962l4859,5122e" filled="false" stroked="true" strokeweight="1.462741pt" strokecolor="#000000">
              <v:path arrowok="t"/>
            </v:shape>
            <v:rect style="position:absolute;left:5118;top:4591;width:255;height:863" filled="true" fillcolor="#000080" stroked="false">
              <v:fill type="solid"/>
            </v:rect>
            <v:shape style="position:absolute;left:3404;top:12473;width:314;height:2414" coordorigin="3404,12473" coordsize="314,2414" path="m5118,5449l5118,5449,5118,4591,5372,4591,5372,5449m5182,4119l5310,4119,5182,4119m5246,4119l5246,4591e" filled="false" stroked="true" strokeweight="1.462741pt" strokecolor="#000000">
              <v:path arrowok="t"/>
            </v:shape>
            <v:rect style="position:absolute;left:5505;top:5020;width:255;height:433" filled="true" fillcolor="#000080" stroked="false">
              <v:fill type="solid"/>
            </v:rect>
            <v:shape style="position:absolute;left:3882;top:13757;width:314;height:1130" coordorigin="3882,13757" coordsize="314,1130" path="m5505,5449l5505,5449,5505,5020,5758,5020,5758,5449m5569,4826l5696,4826,5569,4826m5633,4826l5633,5020e" filled="false" stroked="true" strokeweight="1.462741pt" strokecolor="#000000">
              <v:path arrowok="t"/>
            </v:shape>
            <v:rect style="position:absolute;left:5892;top:4759;width:256;height:695" filled="true" fillcolor="#000080" stroked="false">
              <v:fill type="solid"/>
            </v:rect>
            <v:shape style="position:absolute;left:4361;top:12970;width:314;height:1918" coordorigin="4361,12970" coordsize="314,1918" path="m5892,5449l5892,5449,5892,4759,6145,4759,6145,5449m5956,4393l6084,4393,5956,4393m6019,4393l6019,4759e" filled="false" stroked="true" strokeweight="1.462741pt" strokecolor="#000000">
              <v:path arrowok="t"/>
            </v:shape>
            <v:rect style="position:absolute;left:6279;top:4832;width:255;height:622" filled="true" fillcolor="#000080" stroked="false">
              <v:fill type="solid"/>
            </v:rect>
            <v:shape style="position:absolute;left:4840;top:13359;width:314;height:1529" coordorigin="4840,13359" coordsize="314,1529" path="m6279,5449l6279,5449,6279,4832,6532,4832,6532,5449m6342,4607l6470,4607,6342,4607m6406,4607l6406,4832e" filled="false" stroked="true" strokeweight="1.462741pt" strokecolor="#000000">
              <v:path arrowok="t"/>
            </v:shape>
            <v:line style="position:absolute" from="3508,5454" to="6988,5454" stroked="true" strokeweight=".790463pt" strokecolor="#000000"/>
            <v:shape style="position:absolute;left:3689;top:5476;width:3118;height:2" coordorigin="3689,5476" coordsize="3118,0" path="m3689,5476l3712,5476m4076,5476l4099,5476m4463,5476l4486,5476m4849,5476l4873,5476m5236,5476l5260,5476m5623,5476l5646,5476m6010,5476l6033,5476m6397,5476l6420,5476m6783,5476l6807,5476e" filled="false" stroked="true" strokeweight="2.24619pt" strokecolor="#000000">
              <v:path arrowok="t"/>
            </v:shape>
            <v:shape style="position:absolute;left:1329;top:12017;width:82;height:2880" coordorigin="1329,12017" coordsize="82,2880" path="m3508,5454l3508,3868m3508,5454l3442,5454m3508,5137l3442,5137m3508,4820l3442,4820m3508,4502l3442,4502m3508,4185l3442,4185m3508,3868l3442,3868e" filled="false" stroked="true" strokeweight=".975138pt" strokecolor="#000000">
              <v:path arrowok="t"/>
            </v:shape>
            <v:shape style="position:absolute;left:3569;top:12109;width:1938;height:2592" coordorigin="3569,12109" coordsize="1938,2592" path="m6818,5346l6818,3918m5252,4011l5252,3918m5263,3918l6810,3918m5635,4714l5635,4198m5635,4188l6799,4188e" filled="false" stroked="true" strokeweight="1.462741pt" strokecolor="#000000">
              <v:path arrowok="t"/>
            </v:shape>
            <v:shape style="position:absolute;left:2388;top:2672;width:5205;height:772" type="#_x0000_t75" stroked="false">
              <v:imagedata r:id="rId60" o:title=""/>
            </v:shape>
            <v:rect style="position:absolute;left:2434;top:1961;width:5045;height:3932" filled="false" stroked="true" strokeweight="1.395089pt" strokecolor="#000000"/>
            <v:shape style="position:absolute;left:2817;top:2141;width:108;height:110" type="#_x0000_t202" filled="false" stroked="false">
              <v:textbox inset="0,0,0,0">
                <w:txbxContent>
                  <w:p>
                    <w:pPr>
                      <w:spacing w:line="110" w:lineRule="exact" w:before="0"/>
                      <w:ind w:left="0" w:right="0" w:firstLine="0"/>
                      <w:jc w:val="left"/>
                      <w:rPr>
                        <w:rFonts w:ascii="Arial"/>
                        <w:sz w:val="11"/>
                      </w:rPr>
                    </w:pPr>
                    <w:r>
                      <w:rPr>
                        <w:rFonts w:ascii="Arial"/>
                        <w:w w:val="146"/>
                        <w:sz w:val="11"/>
                      </w:rPr>
                      <w:t>A</w:t>
                    </w:r>
                  </w:p>
                </w:txbxContent>
              </v:textbox>
              <w10:wrap type="none"/>
            </v:shape>
            <v:shape style="position:absolute;left:4708;top:3550;width:1152;height:154" type="#_x0000_t202" filled="false" stroked="false">
              <v:textbox inset="0,0,0,0">
                <w:txbxContent>
                  <w:p>
                    <w:pPr>
                      <w:spacing w:line="153" w:lineRule="exact" w:before="0"/>
                      <w:ind w:left="0" w:right="0" w:firstLine="0"/>
                      <w:jc w:val="left"/>
                      <w:rPr>
                        <w:rFonts w:ascii="Arial"/>
                        <w:b/>
                        <w:sz w:val="15"/>
                      </w:rPr>
                    </w:pPr>
                    <w:r>
                      <w:rPr>
                        <w:rFonts w:ascii="Arial"/>
                        <w:b/>
                        <w:w w:val="145"/>
                        <w:sz w:val="15"/>
                      </w:rPr>
                      <w:t>Sp(V70/06)</w:t>
                    </w:r>
                  </w:p>
                </w:txbxContent>
              </v:textbox>
              <w10:wrap type="none"/>
            </v:shape>
            <v:shape style="position:absolute;left:3326;top:3810;width:99;height:121" type="#_x0000_t202" filled="false" stroked="false">
              <v:textbox inset="0,0,0,0">
                <w:txbxContent>
                  <w:p>
                    <w:pPr>
                      <w:spacing w:line="120" w:lineRule="exact" w:before="0"/>
                      <w:ind w:left="0" w:right="0" w:firstLine="0"/>
                      <w:jc w:val="left"/>
                      <w:rPr>
                        <w:rFonts w:ascii="Arial"/>
                        <w:b/>
                        <w:sz w:val="12"/>
                      </w:rPr>
                    </w:pPr>
                    <w:r>
                      <w:rPr>
                        <w:rFonts w:ascii="Arial"/>
                        <w:b/>
                        <w:w w:val="146"/>
                        <w:sz w:val="12"/>
                      </w:rPr>
                      <w:t>5</w:t>
                    </w:r>
                  </w:p>
                </w:txbxContent>
              </v:textbox>
              <w10:wrap type="none"/>
            </v:shape>
            <v:shape style="position:absolute;left:5961;top:3833;width:163;height:154" type="#_x0000_t202" filled="false" stroked="false">
              <v:textbox inset="0,0,0,0">
                <w:txbxContent>
                  <w:p>
                    <w:pPr>
                      <w:spacing w:line="153" w:lineRule="exact" w:before="0"/>
                      <w:ind w:left="0" w:right="-19" w:firstLine="0"/>
                      <w:jc w:val="left"/>
                      <w:rPr>
                        <w:rFonts w:ascii="Arial"/>
                        <w:sz w:val="15"/>
                      </w:rPr>
                    </w:pPr>
                    <w:r>
                      <w:rPr>
                        <w:rFonts w:ascii="Arial"/>
                        <w:spacing w:val="-7"/>
                        <w:w w:val="150"/>
                        <w:sz w:val="15"/>
                      </w:rPr>
                      <w:t>**</w:t>
                    </w:r>
                  </w:p>
                </w:txbxContent>
              </v:textbox>
              <w10:wrap type="none"/>
            </v:shape>
            <v:shape style="position:absolute;left:5207;top:4013;width:72;height:88" type="#_x0000_t202" filled="false" stroked="false">
              <v:textbox inset="0,0,0,0">
                <w:txbxContent>
                  <w:p>
                    <w:pPr>
                      <w:spacing w:line="87" w:lineRule="exact" w:before="0"/>
                      <w:ind w:left="0" w:right="0" w:firstLine="0"/>
                      <w:jc w:val="left"/>
                      <w:rPr>
                        <w:rFonts w:ascii="Arial"/>
                        <w:sz w:val="8"/>
                      </w:rPr>
                    </w:pPr>
                    <w:r>
                      <w:rPr>
                        <w:rFonts w:ascii="Arial"/>
                        <w:w w:val="159"/>
                        <w:sz w:val="8"/>
                      </w:rPr>
                      <w:t>a</w:t>
                    </w:r>
                  </w:p>
                </w:txbxContent>
              </v:textbox>
              <w10:wrap type="none"/>
            </v:shape>
            <v:shape style="position:absolute;left:3326;top:4127;width:99;height:121" type="#_x0000_t202" filled="false" stroked="false">
              <v:textbox inset="0,0,0,0">
                <w:txbxContent>
                  <w:p>
                    <w:pPr>
                      <w:spacing w:line="120" w:lineRule="exact" w:before="0"/>
                      <w:ind w:left="0" w:right="0" w:firstLine="0"/>
                      <w:jc w:val="left"/>
                      <w:rPr>
                        <w:rFonts w:ascii="Arial"/>
                        <w:b/>
                        <w:sz w:val="12"/>
                      </w:rPr>
                    </w:pPr>
                    <w:r>
                      <w:rPr>
                        <w:rFonts w:ascii="Arial"/>
                        <w:b/>
                        <w:w w:val="146"/>
                        <w:sz w:val="12"/>
                      </w:rPr>
                      <w:t>4</w:t>
                    </w:r>
                  </w:p>
                </w:txbxContent>
              </v:textbox>
              <w10:wrap type="none"/>
            </v:shape>
            <v:shape style="position:absolute;left:6151;top:4107;width:88;height:154" type="#_x0000_t202" filled="false" stroked="false">
              <v:textbox inset="0,0,0,0">
                <w:txbxContent>
                  <w:p>
                    <w:pPr>
                      <w:spacing w:line="153" w:lineRule="exact" w:before="0"/>
                      <w:ind w:left="0" w:right="0" w:firstLine="0"/>
                      <w:jc w:val="left"/>
                      <w:rPr>
                        <w:rFonts w:ascii="Arial"/>
                        <w:sz w:val="15"/>
                      </w:rPr>
                    </w:pPr>
                    <w:r>
                      <w:rPr>
                        <w:rFonts w:ascii="Arial"/>
                        <w:w w:val="149"/>
                        <w:sz w:val="15"/>
                      </w:rPr>
                      <w:t>*</w:t>
                    </w:r>
                  </w:p>
                </w:txbxContent>
              </v:textbox>
              <w10:wrap type="none"/>
            </v:shape>
            <v:shape style="position:absolute;left:3326;top:4445;width:99;height:121" type="#_x0000_t202" filled="false" stroked="false">
              <v:textbox inset="0,0,0,0">
                <w:txbxContent>
                  <w:p>
                    <w:pPr>
                      <w:spacing w:line="120" w:lineRule="exact" w:before="0"/>
                      <w:ind w:left="0" w:right="0" w:firstLine="0"/>
                      <w:jc w:val="left"/>
                      <w:rPr>
                        <w:rFonts w:ascii="Arial"/>
                        <w:b/>
                        <w:sz w:val="12"/>
                      </w:rPr>
                    </w:pPr>
                    <w:r>
                      <w:rPr>
                        <w:rFonts w:ascii="Arial"/>
                        <w:b/>
                        <w:w w:val="146"/>
                        <w:sz w:val="12"/>
                      </w:rPr>
                      <w:t>3</w:t>
                    </w:r>
                  </w:p>
                </w:txbxContent>
              </v:textbox>
              <w10:wrap type="none"/>
            </v:shape>
            <v:shape style="position:absolute;left:5590;top:4711;width:72;height:88" type="#_x0000_t202" filled="false" stroked="false">
              <v:textbox inset="0,0,0,0">
                <w:txbxContent>
                  <w:p>
                    <w:pPr>
                      <w:spacing w:line="87" w:lineRule="exact" w:before="0"/>
                      <w:ind w:left="0" w:right="0" w:firstLine="0"/>
                      <w:jc w:val="left"/>
                      <w:rPr>
                        <w:rFonts w:ascii="Arial"/>
                        <w:sz w:val="8"/>
                      </w:rPr>
                    </w:pPr>
                    <w:r>
                      <w:rPr>
                        <w:rFonts w:ascii="Arial"/>
                        <w:w w:val="159"/>
                        <w:sz w:val="8"/>
                      </w:rPr>
                      <w:t>a</w:t>
                    </w:r>
                  </w:p>
                </w:txbxContent>
              </v:textbox>
              <w10:wrap type="none"/>
            </v:shape>
            <v:shape style="position:absolute;left:3326;top:4762;width:99;height:121" type="#_x0000_t202" filled="false" stroked="false">
              <v:textbox inset="0,0,0,0">
                <w:txbxContent>
                  <w:p>
                    <w:pPr>
                      <w:spacing w:line="120" w:lineRule="exact" w:before="0"/>
                      <w:ind w:left="0" w:right="0" w:firstLine="0"/>
                      <w:jc w:val="left"/>
                      <w:rPr>
                        <w:rFonts w:ascii="Arial"/>
                        <w:b/>
                        <w:sz w:val="12"/>
                      </w:rPr>
                    </w:pPr>
                    <w:r>
                      <w:rPr>
                        <w:rFonts w:ascii="Arial"/>
                        <w:b/>
                        <w:w w:val="146"/>
                        <w:sz w:val="12"/>
                      </w:rPr>
                      <w:t>2</w:t>
                    </w:r>
                  </w:p>
                </w:txbxContent>
              </v:textbox>
              <w10:wrap type="none"/>
            </v:shape>
            <v:shape style="position:absolute;left:4824;top:4838;width:72;height:88" type="#_x0000_t202" filled="false" stroked="false">
              <v:textbox inset="0,0,0,0">
                <w:txbxContent>
                  <w:p>
                    <w:pPr>
                      <w:spacing w:line="87" w:lineRule="exact" w:before="0"/>
                      <w:ind w:left="0" w:right="0" w:firstLine="0"/>
                      <w:jc w:val="left"/>
                      <w:rPr>
                        <w:rFonts w:ascii="Arial"/>
                        <w:sz w:val="8"/>
                      </w:rPr>
                    </w:pPr>
                    <w:r>
                      <w:rPr>
                        <w:rFonts w:ascii="Arial"/>
                        <w:w w:val="159"/>
                        <w:sz w:val="8"/>
                      </w:rPr>
                      <w:t>a</w:t>
                    </w:r>
                  </w:p>
                </w:txbxContent>
              </v:textbox>
              <w10:wrap type="none"/>
            </v:shape>
            <v:shape style="position:absolute;left:3326;top:5079;width:99;height:121" type="#_x0000_t202" filled="false" stroked="false">
              <v:textbox inset="0,0,0,0">
                <w:txbxContent>
                  <w:p>
                    <w:pPr>
                      <w:spacing w:line="120" w:lineRule="exact" w:before="0"/>
                      <w:ind w:left="0" w:right="0" w:firstLine="0"/>
                      <w:jc w:val="left"/>
                      <w:rPr>
                        <w:rFonts w:ascii="Arial"/>
                        <w:b/>
                        <w:sz w:val="12"/>
                      </w:rPr>
                    </w:pPr>
                    <w:r>
                      <w:rPr>
                        <w:rFonts w:ascii="Arial"/>
                        <w:b/>
                        <w:w w:val="146"/>
                        <w:sz w:val="12"/>
                      </w:rPr>
                      <w:t>1</w:t>
                    </w:r>
                  </w:p>
                </w:txbxContent>
              </v:textbox>
              <w10:wrap type="none"/>
            </v:shape>
            <v:shape style="position:absolute;left:4442;top:5059;width:72;height:88" type="#_x0000_t202" filled="false" stroked="false">
              <v:textbox inset="0,0,0,0">
                <w:txbxContent>
                  <w:p>
                    <w:pPr>
                      <w:spacing w:line="87" w:lineRule="exact" w:before="0"/>
                      <w:ind w:left="0" w:right="0" w:firstLine="0"/>
                      <w:jc w:val="left"/>
                      <w:rPr>
                        <w:rFonts w:ascii="Arial"/>
                        <w:sz w:val="8"/>
                      </w:rPr>
                    </w:pPr>
                    <w:r>
                      <w:rPr>
                        <w:rFonts w:ascii="Arial"/>
                        <w:w w:val="159"/>
                        <w:sz w:val="8"/>
                      </w:rPr>
                      <w:t>a</w:t>
                    </w:r>
                  </w:p>
                </w:txbxContent>
              </v:textbox>
              <w10:wrap type="none"/>
            </v:shape>
            <v:shape style="position:absolute;left:3326;top:5396;width:99;height:121" type="#_x0000_t202" filled="false" stroked="false">
              <v:textbox inset="0,0,0,0">
                <w:txbxContent>
                  <w:p>
                    <w:pPr>
                      <w:spacing w:line="120" w:lineRule="exact" w:before="0"/>
                      <w:ind w:left="0" w:right="0" w:firstLine="0"/>
                      <w:jc w:val="left"/>
                      <w:rPr>
                        <w:rFonts w:ascii="Arial"/>
                        <w:b/>
                        <w:sz w:val="12"/>
                      </w:rPr>
                    </w:pPr>
                    <w:r>
                      <w:rPr>
                        <w:rFonts w:ascii="Arial"/>
                        <w:b/>
                        <w:w w:val="146"/>
                        <w:sz w:val="12"/>
                      </w:rPr>
                      <w:t>0</w:t>
                    </w:r>
                  </w:p>
                </w:txbxContent>
              </v:textbox>
              <w10:wrap type="none"/>
            </v:shape>
            <v:shape style="position:absolute;left:3656;top:5516;width:3165;height:309" type="#_x0000_t202" filled="false" stroked="false">
              <v:textbox inset="0,0,0,0">
                <w:txbxContent>
                  <w:p>
                    <w:pPr>
                      <w:tabs>
                        <w:tab w:pos="386" w:val="left" w:leader="none"/>
                        <w:tab w:pos="773" w:val="left" w:leader="none"/>
                        <w:tab w:pos="1160" w:val="left" w:leader="none"/>
                        <w:tab w:pos="1502" w:val="left" w:leader="none"/>
                        <w:tab w:pos="1889" w:val="left" w:leader="none"/>
                        <w:tab w:pos="3111" w:val="left" w:leader="none"/>
                      </w:tabs>
                      <w:spacing w:line="112" w:lineRule="exact" w:before="0"/>
                      <w:ind w:left="0" w:right="0" w:firstLine="0"/>
                      <w:jc w:val="center"/>
                      <w:rPr>
                        <w:rFonts w:ascii="Arial"/>
                        <w:b/>
                        <w:sz w:val="11"/>
                      </w:rPr>
                    </w:pPr>
                    <w:r>
                      <w:rPr>
                        <w:rFonts w:ascii="Arial"/>
                        <w:b/>
                        <w:w w:val="145"/>
                        <w:sz w:val="11"/>
                      </w:rPr>
                      <w:t>0</w:t>
                      <w:tab/>
                      <w:t>1</w:t>
                      <w:tab/>
                      <w:t>4</w:t>
                      <w:tab/>
                      <w:t>8</w:t>
                      <w:tab/>
                      <w:t>12</w:t>
                      <w:tab/>
                      <w:t>24  </w:t>
                    </w:r>
                    <w:r>
                      <w:rPr>
                        <w:rFonts w:ascii="Arial"/>
                        <w:b/>
                        <w:spacing w:val="28"/>
                        <w:w w:val="145"/>
                        <w:sz w:val="11"/>
                      </w:rPr>
                      <w:t> </w:t>
                    </w:r>
                    <w:r>
                      <w:rPr>
                        <w:rFonts w:ascii="Arial"/>
                        <w:b/>
                        <w:w w:val="145"/>
                        <w:sz w:val="11"/>
                      </w:rPr>
                      <w:t>+12 </w:t>
                    </w:r>
                    <w:r>
                      <w:rPr>
                        <w:rFonts w:ascii="Arial"/>
                        <w:b/>
                        <w:spacing w:val="26"/>
                        <w:w w:val="145"/>
                        <w:sz w:val="11"/>
                      </w:rPr>
                      <w:t> </w:t>
                    </w:r>
                    <w:r>
                      <w:rPr>
                        <w:rFonts w:ascii="Arial"/>
                        <w:b/>
                        <w:w w:val="145"/>
                        <w:sz w:val="11"/>
                      </w:rPr>
                      <w:t>+24</w:t>
                      <w:tab/>
                      <w:t>-</w:t>
                    </w:r>
                  </w:p>
                  <w:p>
                    <w:pPr>
                      <w:spacing w:line="147" w:lineRule="exact" w:before="49"/>
                      <w:ind w:left="0" w:right="137" w:firstLine="0"/>
                      <w:jc w:val="center"/>
                      <w:rPr>
                        <w:rFonts w:ascii="Arial"/>
                        <w:sz w:val="13"/>
                      </w:rPr>
                    </w:pPr>
                    <w:r>
                      <w:rPr>
                        <w:rFonts w:ascii="Arial"/>
                        <w:w w:val="150"/>
                        <w:sz w:val="13"/>
                      </w:rPr>
                      <w:t>Time (hpi)</w:t>
                    </w:r>
                  </w:p>
                </w:txbxContent>
              </v:textbox>
              <w10:wrap type="none"/>
            </v:shape>
            <w10:wrap type="none"/>
          </v:group>
        </w:pict>
      </w:r>
      <w:r>
        <w:rPr/>
        <w:pict>
          <v:shape style="position:absolute;margin-left:152.030228pt;margin-top:189.427063pt;width:12pt;height:87.25pt;mso-position-horizontal-relative:page;mso-position-vertical-relative:page;z-index:2200" type="#_x0000_t202" filled="false" stroked="false">
            <v:textbox inset="0,0,0,0" style="layout-flow:vertical;mso-layout-flow-alt:bottom-to-top">
              <w:txbxContent>
                <w:p>
                  <w:pPr>
                    <w:spacing w:line="226" w:lineRule="exact" w:before="0"/>
                    <w:ind w:left="20" w:right="0" w:firstLine="0"/>
                    <w:jc w:val="left"/>
                    <w:rPr>
                      <w:rFonts w:ascii="Arial" w:hAnsi="Arial"/>
                      <w:b/>
                      <w:sz w:val="19"/>
                    </w:rPr>
                  </w:pPr>
                  <w:r>
                    <w:rPr>
                      <w:rFonts w:ascii="Arial" w:hAnsi="Arial"/>
                      <w:b/>
                      <w:spacing w:val="3"/>
                      <w:w w:val="69"/>
                      <w:position w:val="1"/>
                      <w:sz w:val="19"/>
                    </w:rPr>
                    <w:t>r</w:t>
                  </w:r>
                  <w:r>
                    <w:rPr>
                      <w:rFonts w:ascii="Arial" w:hAnsi="Arial"/>
                      <w:b/>
                      <w:spacing w:val="-4"/>
                      <w:w w:val="69"/>
                      <w:position w:val="1"/>
                      <w:sz w:val="19"/>
                    </w:rPr>
                    <w:t>a</w:t>
                  </w:r>
                  <w:r>
                    <w:rPr>
                      <w:rFonts w:ascii="Arial" w:hAnsi="Arial"/>
                      <w:b/>
                      <w:spacing w:val="2"/>
                      <w:w w:val="69"/>
                      <w:position w:val="1"/>
                      <w:sz w:val="19"/>
                    </w:rPr>
                    <w:t>ti</w:t>
                  </w:r>
                  <w:r>
                    <w:rPr>
                      <w:rFonts w:ascii="Arial" w:hAnsi="Arial"/>
                      <w:b/>
                      <w:w w:val="69"/>
                      <w:position w:val="1"/>
                      <w:sz w:val="19"/>
                    </w:rPr>
                    <w:t>o</w:t>
                  </w:r>
                  <w:r>
                    <w:rPr>
                      <w:rFonts w:ascii="Arial" w:hAnsi="Arial"/>
                      <w:b/>
                      <w:spacing w:val="-18"/>
                      <w:position w:val="1"/>
                      <w:sz w:val="19"/>
                    </w:rPr>
                    <w:t> </w:t>
                  </w:r>
                  <w:r>
                    <w:rPr>
                      <w:rFonts w:ascii="Arial" w:hAnsi="Arial"/>
                      <w:b/>
                      <w:spacing w:val="-3"/>
                      <w:w w:val="69"/>
                      <w:position w:val="1"/>
                      <w:sz w:val="19"/>
                    </w:rPr>
                    <w:t>p</w:t>
                  </w:r>
                  <w:r>
                    <w:rPr>
                      <w:rFonts w:ascii="Arial" w:hAnsi="Arial"/>
                      <w:b/>
                      <w:spacing w:val="2"/>
                      <w:w w:val="69"/>
                      <w:position w:val="1"/>
                      <w:sz w:val="19"/>
                    </w:rPr>
                    <w:t>-</w:t>
                  </w:r>
                  <w:r>
                    <w:rPr>
                      <w:rFonts w:ascii="Arial" w:hAnsi="Arial"/>
                      <w:b/>
                      <w:spacing w:val="-3"/>
                      <w:w w:val="69"/>
                      <w:position w:val="1"/>
                      <w:sz w:val="19"/>
                    </w:rPr>
                    <w:t>ST</w:t>
                  </w:r>
                  <w:r>
                    <w:rPr>
                      <w:rFonts w:ascii="Arial" w:hAnsi="Arial"/>
                      <w:b/>
                      <w:spacing w:val="-2"/>
                      <w:w w:val="69"/>
                      <w:position w:val="1"/>
                      <w:sz w:val="19"/>
                    </w:rPr>
                    <w:t>A</w:t>
                  </w:r>
                  <w:r>
                    <w:rPr>
                      <w:rFonts w:ascii="Arial" w:hAnsi="Arial"/>
                      <w:b/>
                      <w:spacing w:val="-3"/>
                      <w:w w:val="69"/>
                      <w:position w:val="1"/>
                      <w:sz w:val="19"/>
                    </w:rPr>
                    <w:t>T</w:t>
                  </w:r>
                  <w:r>
                    <w:rPr>
                      <w:rFonts w:ascii="Arial" w:hAnsi="Arial"/>
                      <w:b/>
                      <w:w w:val="69"/>
                      <w:position w:val="1"/>
                      <w:sz w:val="19"/>
                    </w:rPr>
                    <w:t>1</w:t>
                  </w:r>
                  <w:r>
                    <w:rPr>
                      <w:rFonts w:ascii="Arial" w:hAnsi="Arial"/>
                      <w:b/>
                      <w:spacing w:val="-19"/>
                      <w:position w:val="1"/>
                      <w:sz w:val="19"/>
                    </w:rPr>
                    <w:t> </w:t>
                  </w:r>
                  <w:r>
                    <w:rPr>
                      <w:rFonts w:ascii="Arial" w:hAnsi="Arial"/>
                      <w:b/>
                      <w:spacing w:val="7"/>
                      <w:w w:val="69"/>
                      <w:position w:val="1"/>
                      <w:sz w:val="19"/>
                    </w:rPr>
                    <w:t>(</w:t>
                  </w:r>
                  <w:r>
                    <w:rPr>
                      <w:rFonts w:ascii="Symbol" w:hAnsi="Symbol"/>
                      <w:b/>
                      <w:spacing w:val="11"/>
                      <w:w w:val="69"/>
                      <w:sz w:val="19"/>
                    </w:rPr>
                    <w:t></w:t>
                  </w:r>
                  <w:r>
                    <w:rPr>
                      <w:rFonts w:ascii="Arial" w:hAnsi="Arial"/>
                      <w:b/>
                      <w:spacing w:val="3"/>
                      <w:w w:val="69"/>
                      <w:position w:val="1"/>
                      <w:sz w:val="19"/>
                    </w:rPr>
                    <w:t>/</w:t>
                  </w:r>
                  <w:r>
                    <w:rPr>
                      <w:rFonts w:ascii="Symbol" w:hAnsi="Symbol"/>
                      <w:b/>
                      <w:spacing w:val="14"/>
                      <w:w w:val="69"/>
                      <w:sz w:val="19"/>
                    </w:rPr>
                    <w:t></w:t>
                  </w:r>
                  <w:r>
                    <w:rPr>
                      <w:rFonts w:ascii="Arial" w:hAnsi="Arial"/>
                      <w:b/>
                      <w:w w:val="69"/>
                      <w:position w:val="1"/>
                      <w:sz w:val="19"/>
                    </w:rPr>
                    <w:t>)</w:t>
                  </w:r>
                  <w:r>
                    <w:rPr>
                      <w:rFonts w:ascii="Arial" w:hAnsi="Arial"/>
                      <w:b/>
                      <w:spacing w:val="-10"/>
                      <w:position w:val="1"/>
                      <w:sz w:val="19"/>
                    </w:rPr>
                    <w:t> </w:t>
                  </w:r>
                  <w:r>
                    <w:rPr>
                      <w:rFonts w:ascii="Symbol" w:hAnsi="Symbol"/>
                      <w:b/>
                      <w:w w:val="69"/>
                      <w:sz w:val="19"/>
                    </w:rPr>
                    <w:t></w:t>
                  </w:r>
                  <w:r>
                    <w:rPr>
                      <w:spacing w:val="-33"/>
                      <w:sz w:val="19"/>
                    </w:rPr>
                    <w:t> </w:t>
                  </w:r>
                  <w:r>
                    <w:rPr>
                      <w:rFonts w:ascii="Arial" w:hAnsi="Arial"/>
                      <w:b/>
                      <w:spacing w:val="2"/>
                      <w:w w:val="69"/>
                      <w:position w:val="1"/>
                      <w:sz w:val="19"/>
                    </w:rPr>
                    <w:t>-</w:t>
                  </w:r>
                  <w:r>
                    <w:rPr>
                      <w:rFonts w:ascii="Arial" w:hAnsi="Arial"/>
                      <w:b/>
                      <w:spacing w:val="-6"/>
                      <w:w w:val="69"/>
                      <w:position w:val="1"/>
                      <w:sz w:val="19"/>
                    </w:rPr>
                    <w:t>A</w:t>
                  </w:r>
                  <w:r>
                    <w:rPr>
                      <w:rFonts w:ascii="Arial" w:hAnsi="Arial"/>
                      <w:b/>
                      <w:spacing w:val="-7"/>
                      <w:w w:val="69"/>
                      <w:position w:val="1"/>
                      <w:sz w:val="19"/>
                    </w:rPr>
                    <w:t>c</w:t>
                  </w:r>
                  <w:r>
                    <w:rPr>
                      <w:rFonts w:ascii="Arial" w:hAnsi="Arial"/>
                      <w:b/>
                      <w:w w:val="69"/>
                      <w:position w:val="1"/>
                      <w:sz w:val="19"/>
                    </w:rPr>
                    <w:t>tin</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7"/>
        </w:rPr>
      </w:pPr>
    </w:p>
    <w:p>
      <w:pPr>
        <w:pStyle w:val="BodyText"/>
        <w:spacing w:line="357" w:lineRule="auto" w:before="69"/>
        <w:ind w:left="152" w:right="1442"/>
        <w:jc w:val="both"/>
      </w:pPr>
      <w:r>
        <w:rPr/>
        <w:pict>
          <v:group style="position:absolute;margin-left:120.12989pt;margin-top:-241.97467pt;width:256.45pt;height:231.05pt;mso-position-horizontal-relative:page;mso-position-vertical-relative:paragraph;z-index:2152" coordorigin="2403,-4839" coordsize="5129,4621">
            <v:shape style="position:absolute;left:1583;top:3542;width:315;height:385" coordorigin="1583,3542" coordsize="315,385" path="m3652,-858l3652,-858,3652,-1042,3905,-1042,3905,-858m3716,-1135l3843,-1135,3716,-1135m3779,-1135l3779,-1042e" filled="false" stroked="true" strokeweight="1.645787pt" strokecolor="#000000">
              <v:path arrowok="t"/>
            </v:shape>
            <v:rect style="position:absolute;left:3589;top:-862;width:23;height:21" filled="true" fillcolor="#000000" stroked="false">
              <v:fill type="solid"/>
            </v:rect>
            <v:shape style="position:absolute;left:1532;top:3936;width:404;height:2" coordorigin="1532,3936" coordsize="404,0" path="m3612,-851l3635,-851m3635,-851l3658,-851m3658,-851l3681,-851m3681,-851l3704,-851m3704,-851l3727,-851m3727,-851l3750,-851m3750,-851l3774,-851m3774,-851l3797,-851m3797,-851l3820,-851m3820,-851l3843,-851m3843,-851l3866,-851m3866,-851l3889,-851m3889,-851l3912,-851m3912,-851l3935,-851e" filled="false" stroked="true" strokeweight="1.097242pt" strokecolor="#000000">
              <v:path arrowok="t"/>
            </v:shape>
            <v:shape style="position:absolute;left:2063;top:3463;width:315;height:464" coordorigin="2063,3463" coordsize="315,464" path="m4038,-858l4038,-858,4038,-1120,4290,-1120,4290,-858m4102,-1192l4229,-1192,4102,-1192m4165,-1192l4165,-1120e" filled="false" stroked="true" strokeweight="1.645787pt" strokecolor="#000000">
              <v:path arrowok="t"/>
            </v:shape>
            <v:shape style="position:absolute;left:1936;top:3936;width:491;height:2" coordorigin="1936,3936" coordsize="491,0" path="m3935,-851l3959,-851m3959,-851l3982,-851m3982,-851l4005,-851m4005,-851l4028,-851m4028,-851l4051,-851m4051,-851l4075,-851m4075,-851l4098,-851m4098,-851l4121,-851m4121,-851l4144,-851m4144,-851l4167,-851m4167,-851l4190,-851m4190,-851l4213,-851m4213,-851l4236,-851m4236,-851l4260,-851m4260,-851l4283,-851m4283,-851l4306,-851m4306,-851l4329,-851e" filled="false" stroked="true" strokeweight="1.097242pt" strokecolor="#000000">
              <v:path arrowok="t"/>
            </v:shape>
            <v:shape style="position:absolute;left:2543;top:3245;width:315;height:682" coordorigin="2543,3245" coordsize="315,682" path="m4423,-858l4423,-858,4423,-1172,4676,-1172,4676,-858m4487,-1350l4614,-1350,4487,-1350m4551,-1350l4551,-1172e" filled="false" stroked="true" strokeweight="1.645787pt" strokecolor="#000000">
              <v:path arrowok="t"/>
            </v:shape>
            <v:shape style="position:absolute;left:2426;top:3936;width:490;height:2" coordorigin="2426,3936" coordsize="490,0" path="m4329,-851l4352,-851m4352,-851l4375,-851m4375,-851l4398,-851m4398,-851l4422,-851m4422,-851l4445,-851m4445,-851l4468,-851m4468,-851l4491,-851m4491,-851l4514,-851m4514,-851l4537,-851m4537,-851l4560,-851m4560,-851l4583,-851m4583,-851l4607,-851m4607,-851l4630,-851m4630,-851l4653,-851m4653,-851l4676,-851m4676,-851l4699,-851m4699,-851l4722,-851e" filled="false" stroked="true" strokeweight="1.097242pt" strokecolor="#000000">
              <v:path arrowok="t"/>
            </v:shape>
            <v:shape style="position:absolute;left:3023;top:3432;width:315;height:495" coordorigin="3023,3432" coordsize="315,495" path="m4809,-858l4809,-858,4809,-1104,5062,-1104,5062,-858m4873,-1215l5000,-1215,4873,-1215m4936,-1215l4936,-1104e" filled="false" stroked="true" strokeweight="1.645787pt" strokecolor="#000000">
              <v:path arrowok="t"/>
            </v:shape>
            <v:shape style="position:absolute;left:2915;top:3936;width:462;height:2" coordorigin="2915,3936" coordsize="462,0" path="m4722,-851l4745,-851m4745,-851l4768,-851m4768,-851l4792,-851m4792,-851l4815,-851m4815,-851l4838,-851m4838,-851l4861,-851m4861,-851l4884,-851m4884,-851l4907,-851m4907,-851l4931,-851m4931,-851l4954,-851m4954,-851l4977,-851m4977,-851l5000,-851m5000,-851l5023,-851m5023,-851l5046,-851m5046,-851l5069,-851m5069,-851l5092,-851e" filled="false" stroked="true" strokeweight="1.097242pt" strokecolor="#000000">
              <v:path arrowok="t"/>
            </v:shape>
            <v:shape style="position:absolute;left:3504;top:3213;width:315;height:713" coordorigin="3504,3213" coordsize="315,713" path="m5195,-858l5195,-858,5195,-1215,5447,-1215,5447,-858m5258,-1372l5386,-1372,5258,-1372m5322,-1372l5322,-1215e" filled="false" stroked="true" strokeweight="1.645787pt" strokecolor="#000000">
              <v:path arrowok="t"/>
            </v:shape>
            <v:shape style="position:absolute;left:3377;top:3936;width:490;height:2" coordorigin="3377,3936" coordsize="490,0" path="m5092,-851l5116,-851m5116,-851l5139,-851m5139,-851l5162,-851m5162,-851l5185,-851m5185,-851l5208,-851m5208,-851l5231,-851m5231,-851l5254,-851m5254,-851l5278,-851m5278,-851l5301,-851m5301,-851l5324,-851m5324,-851l5347,-851m5347,-851l5370,-851m5370,-851l5393,-851m5393,-851l5416,-851m5416,-851l5439,-851m5439,-851l5463,-851m5463,-851l5486,-851e" filled="false" stroked="true" strokeweight="1.097242pt" strokecolor="#000000">
              <v:path arrowok="t"/>
            </v:shape>
            <v:shape style="position:absolute;left:3984;top:3233;width:315;height:694" coordorigin="3984,3233" coordsize="315,694" path="m5580,-858l5580,-858,5580,-1215,5833,-1215,5833,-858m5644,-1358l5771,-1358,5644,-1358m5708,-1358l5708,-1215e" filled="false" stroked="true" strokeweight="1.645787pt" strokecolor="#000000">
              <v:path arrowok="t"/>
            </v:shape>
            <v:shape style="position:absolute;left:3866;top:3936;width:462;height:2" coordorigin="3866,3936" coordsize="462,0" path="m5486,-851l5509,-851m5509,-851l5532,-851m5532,-851l5555,-851m5555,-851l5578,-851m5578,-851l5601,-851m5601,-851l5625,-851m5625,-851l5648,-851m5648,-851l5671,-851m5671,-851l5694,-851m5694,-851l5717,-851m5717,-851l5740,-851m5740,-851l5764,-851m5764,-851l5787,-851m5787,-851l5810,-851m5810,-851l5833,-851m5833,-851l5856,-851e" filled="false" stroked="true" strokeweight="1.097242pt" strokecolor="#000000">
              <v:path arrowok="t"/>
            </v:shape>
            <v:shape style="position:absolute;left:4464;top:2234;width:315;height:1693" coordorigin="4464,2234" coordsize="315,1693" path="m5966,-858l5966,-858,5966,-1755,6218,-1755,6218,-858m6029,-2078l6157,-2078,6029,-2078m6093,-2078l6093,-1755e" filled="false" stroked="true" strokeweight="1.645787pt" strokecolor="#000000">
              <v:path arrowok="t"/>
            </v:shape>
            <v:shape style="position:absolute;left:4328;top:3936;width:490;height:2" coordorigin="4328,3936" coordsize="490,0" path="m5856,-851l5879,-851m5879,-851l5902,-851m5902,-851l5925,-851m5925,-851l5949,-851m5949,-851l5972,-851m5972,-851l5995,-851m5995,-851l6018,-851m6018,-851l6041,-851m6041,-851l6064,-851m6064,-851l6087,-851m6087,-851l6110,-851m6110,-851l6134,-851m6134,-851l6157,-851m6157,-851l6180,-851m6180,-851l6203,-851m6203,-851l6226,-851m6226,-851l6249,-851e" filled="false" stroked="true" strokeweight="1.097242pt" strokecolor="#000000">
              <v:path arrowok="t"/>
            </v:shape>
            <v:shape style="position:absolute;left:4945;top:2176;width:315;height:1750" coordorigin="4945,2176" coordsize="315,1750" path="m6351,-858l6351,-858,6351,-1826,6604,-1826,6604,-858m6415,-2120l6542,-2120,6415,-2120m6479,-2120l6479,-1826e" filled="false" stroked="true" strokeweight="1.645787pt" strokecolor="#000000">
              <v:path arrowok="t"/>
            </v:shape>
            <v:shape style="position:absolute;left:1744;top:3936;width:4083;height:82" coordorigin="1744,3936" coordsize="4083,82" path="m6249,-851l6272,-851m6272,-851l6296,-851m6296,-851l6319,-851m6319,-851l6342,-851m6342,-851l6365,-851m6365,-851l6388,-851m6388,-851l6411,-851m6411,-851l6435,-851m6435,-851l6458,-851m6458,-851l6481,-851m6481,-851l6504,-851m6504,-851l6527,-851m6527,-851l6550,-851m6550,-851l6573,-851m6573,-851l6596,-851m6596,-851l6620,-851m6620,-851l6643,-851m6643,-851l6666,-851m6666,-851l6689,-851m6689,-851l6712,-851m6712,-851l6735,-851m6735,-851l6758,-851m6758,-851l6781,-851m6781,-851l6805,-851m6805,-851l6828,-851m6828,-851l6851,-851m6851,-851l6874,-851m6874,-851l6897,-851m6897,-851l6920,-851m6920,-851l6943,-851m6943,-851l6966,-851m6966,-851l6990,-851m6990,-851l7013,-851m7013,-851l7036,-851m7036,-851l7059,-851m3781,-851l3781,-793m4167,-851l4167,-793m4553,-851l4553,-793m4938,-851l4938,-793m5324,-851l5324,-793m5710,-851l5710,-793m6095,-851l6095,-793m6481,-851l6481,-793m6866,-851l6866,-793e" filled="false" stroked="true" strokeweight="1.097242pt" strokecolor="#000000">
              <v:path arrowok="t"/>
            </v:shape>
            <v:shape style="position:absolute;left:3577;top:-997;width:24;height:146" coordorigin="3577,-997" coordsize="24,146" path="m3600,-934l3577,-934,3577,-914,3577,-893,3577,-872,3577,-851,3600,-851,3600,-872,3600,-893,3600,-914,3600,-934m3600,-997l3577,-997,3577,-976,3577,-955,3600,-955,3600,-976,3600,-997e" filled="true" fillcolor="#000000" stroked="false">
              <v:path arrowok="t"/>
              <v:fill type="solid"/>
            </v:shape>
            <v:shape style="position:absolute;left:3589;top:-1018;width:2;height:125" coordorigin="3589,-1018" coordsize="0,125" path="m3589,-1018l3589,-893e" filled="true" fillcolor="#000000" stroked="false">
              <v:path arrowok="t"/>
              <v:fill type="solid"/>
            </v:shape>
            <v:shape style="position:absolute;left:3577;top:-1204;width:24;height:187" coordorigin="3577,-1204" coordsize="24,187" path="m3600,-1059l3577,-1059,3577,-1038,3577,-1018,3600,-1018,3600,-1038,3600,-1059m3600,-1121l3577,-1121,3577,-1101,3600,-1101,3600,-1121m3600,-1204l3577,-1204,3577,-1184,3577,-1163,3600,-1163,3600,-1184,3600,-1204e" filled="true" fillcolor="#000000" stroked="false">
              <v:path arrowok="t"/>
              <v:fill type="solid"/>
            </v:shape>
            <v:shape style="position:absolute;left:3589;top:-1225;width:2;height:167" coordorigin="3589,-1225" coordsize="0,167" path="m3589,-1225l3589,-1059e" filled="true" fillcolor="#000000" stroked="false">
              <v:path arrowok="t"/>
              <v:fill type="solid"/>
            </v:shape>
            <v:shape style="position:absolute;left:3577;top:-1620;width:24;height:395" coordorigin="3577,-1620" coordsize="24,395" path="m3600,-1308l3577,-1308,3577,-1287,3577,-1267,3577,-1246,3577,-1225,3600,-1225,3600,-1246,3600,-1267,3600,-1287,3600,-1308m3600,-1371l3577,-1371,3577,-1350,3577,-1329,3600,-1329,3600,-1350,3600,-1371m3600,-1433l3577,-1433,3577,-1412,3577,-1391,3600,-1391,3600,-1412,3600,-1433m3600,-1495l3577,-1495,3577,-1474,3577,-1454,3600,-1454,3600,-1474,3600,-1495m3600,-1557l3577,-1557,3577,-1537,3577,-1516,3600,-1516,3600,-1537,3600,-1557m3600,-1620l3577,-1620,3577,-1599,3577,-1578,3600,-1578,3600,-1599,3600,-1620e" filled="true" fillcolor="#000000" stroked="false">
              <v:path arrowok="t"/>
              <v:fill type="solid"/>
            </v:shape>
            <v:shape style="position:absolute;left:3589;top:-1640;width:2;height:353" coordorigin="3589,-1640" coordsize="0,353" path="m3589,-1640l3589,-1287e" filled="true" fillcolor="#000000" stroked="false">
              <v:path arrowok="t"/>
              <v:fill type="solid"/>
            </v:shape>
            <v:shape style="position:absolute;left:3577;top:-2035;width:24;height:395" coordorigin="3577,-2035" coordsize="24,395" path="m3600,-1765l3577,-1765,3577,-1744,3577,-1723,3577,-1703,3577,-1682,3577,-1661,3577,-1640,3600,-1640,3600,-1661,3600,-1682,3600,-1703,3600,-1723,3600,-1744,3600,-1765m3600,-1848l3577,-1848,3577,-1827,3577,-1806,3600,-1806,3600,-1827,3600,-1848m3600,-1910l3577,-1910,3577,-1890,3577,-1869,3600,-1869,3600,-1890,3600,-1910m3600,-1973l3577,-1973,3577,-1952,3577,-1931,3600,-1931,3600,-1952,3600,-1973m3600,-2035l3577,-2035,3577,-2014,3577,-1993,3600,-1993,3600,-2014,3600,-2035e" filled="true" fillcolor="#000000" stroked="false">
              <v:path arrowok="t"/>
              <v:fill type="solid"/>
            </v:shape>
            <v:shape style="position:absolute;left:3589;top:-2056;width:2;height:333" coordorigin="3589,-2056" coordsize="0,333" path="m3589,-2056l3589,-1723e" filled="true" fillcolor="#000000" stroked="false">
              <v:path arrowok="t"/>
              <v:fill type="solid"/>
            </v:shape>
            <v:shape style="position:absolute;left:3577;top:-2450;width:24;height:395" coordorigin="3577,-2450" coordsize="24,395" path="m3600,-2139l3577,-2139,3577,-2118,3577,-2097,3577,-2076,3577,-2056,3600,-2056,3600,-2076,3600,-2097,3600,-2118,3600,-2139m3600,-2201l3577,-2201,3577,-2180,3577,-2160,3600,-2160,3600,-2180,3600,-2201m3600,-2263l3577,-2263,3577,-2243,3577,-2222,3600,-2222,3600,-2243,3600,-2263m3600,-2326l3577,-2326,3577,-2305,3577,-2284,3600,-2284,3600,-2305,3600,-2326m3600,-2388l3577,-2388,3577,-2367,3577,-2346,3600,-2346,3600,-2367,3600,-2388m3600,-2450l3577,-2450,3577,-2429,3577,-2409,3600,-2409,3600,-2429,3600,-2450e" filled="true" fillcolor="#000000" stroked="false">
              <v:path arrowok="t"/>
              <v:fill type="solid"/>
            </v:shape>
            <v:shape style="position:absolute;left:3589;top:-2471;width:2;height:353" coordorigin="3589,-2471" coordsize="0,353" path="m3589,-2471l3589,-2118e" filled="true" fillcolor="#000000" stroked="false">
              <v:path arrowok="t"/>
              <v:fill type="solid"/>
            </v:shape>
            <v:shape style="position:absolute;left:3577;top:-2866;width:24;height:395" coordorigin="3577,-2866" coordsize="24,395" path="m3600,-2554l3577,-2554,3577,-2534,3577,-2513,3577,-2492,3577,-2471,3600,-2471,3600,-2492,3600,-2513,3600,-2534,3600,-2554m3600,-2617l3577,-2617,3577,-2596,3577,-2575,3600,-2575,3600,-2596,3600,-2617m3600,-2679l3577,-2679,3577,-2658,3577,-2637,3600,-2637,3600,-2658,3600,-2679m3600,-2741l3577,-2741,3577,-2720,3577,-2700,3600,-2700,3600,-2720,3600,-2741m3600,-2804l3577,-2804,3577,-2783,3577,-2762,3600,-2762,3600,-2783,3600,-2804m3600,-2866l3577,-2866,3577,-2845,3577,-2824,3600,-2824,3600,-2845,3600,-2866e" filled="true" fillcolor="#000000" stroked="false">
              <v:path arrowok="t"/>
              <v:fill type="solid"/>
            </v:shape>
            <v:shape style="position:absolute;left:3589;top:-2887;width:2;height:354" coordorigin="3589,-2887" coordsize="0,354" path="m3589,-2887l3589,-2534e" filled="true" fillcolor="#000000" stroked="false">
              <v:path arrowok="t"/>
              <v:fill type="solid"/>
            </v:shape>
            <v:shape style="position:absolute;left:3577;top:-2928;width:24;height:42" coordorigin="3577,-2928" coordsize="24,42" path="m3600,-2928l3577,-2928,3577,-2907,3577,-2887,3600,-2887,3600,-2907,3600,-2928e" filled="true" fillcolor="#000000" stroked="false">
              <v:path arrowok="t"/>
              <v:fill type="solid"/>
            </v:shape>
            <v:shape style="position:absolute;left:1422;top:1055;width:82;height:2881" coordorigin="1422,1055" coordsize="82,2881" path="m3589,-851l3523,-851m3589,-1267l3523,-1267m3589,-1682l3523,-1682m3589,-2097l3523,-2097m3589,-2513l3523,-2513m3589,-2928l3523,-2928e" filled="false" stroked="true" strokeweight="1.097242pt" strokecolor="#000000">
              <v:path arrowok="t"/>
            </v:shape>
            <v:shape style="position:absolute;left:2403;top:-4418;width:4911;height:974" type="#_x0000_t75" stroked="false">
              <v:imagedata r:id="rId61" o:title=""/>
            </v:shape>
            <v:rect style="position:absolute;left:2460;top:-4823;width:5054;height:4588" filled="false" stroked="true" strokeweight="1.637241pt" strokecolor="#000000"/>
            <v:shape style="position:absolute;left:2796;top:-4702;width:117;height:158" type="#_x0000_t202" filled="false" stroked="false">
              <v:textbox inset="0,0,0,0">
                <w:txbxContent>
                  <w:p>
                    <w:pPr>
                      <w:spacing w:line="157" w:lineRule="exact" w:before="0"/>
                      <w:ind w:left="0" w:right="0" w:firstLine="0"/>
                      <w:jc w:val="left"/>
                      <w:rPr>
                        <w:rFonts w:ascii="Arial"/>
                        <w:sz w:val="15"/>
                      </w:rPr>
                    </w:pPr>
                    <w:r>
                      <w:rPr>
                        <w:rFonts w:ascii="Arial"/>
                        <w:w w:val="116"/>
                        <w:sz w:val="15"/>
                      </w:rPr>
                      <w:t>B</w:t>
                    </w:r>
                  </w:p>
                </w:txbxContent>
              </v:textbox>
              <w10:wrap type="none"/>
            </v:shape>
            <v:shape style="position:absolute;left:4508;top:-3345;width:1645;height:201" type="#_x0000_t202" filled="false" stroked="false">
              <v:textbox inset="0,0,0,0">
                <w:txbxContent>
                  <w:p>
                    <w:pPr>
                      <w:spacing w:line="201" w:lineRule="exact" w:before="0"/>
                      <w:ind w:left="0" w:right="-2" w:firstLine="0"/>
                      <w:jc w:val="left"/>
                      <w:rPr>
                        <w:rFonts w:ascii="Arial"/>
                        <w:b/>
                        <w:sz w:val="20"/>
                      </w:rPr>
                    </w:pPr>
                    <w:r>
                      <w:rPr>
                        <w:rFonts w:ascii="Arial"/>
                        <w:b/>
                        <w:w w:val="110"/>
                        <w:sz w:val="20"/>
                      </w:rPr>
                      <w:t>VR-299 (558/06)</w:t>
                    </w:r>
                  </w:p>
                </w:txbxContent>
              </v:textbox>
              <w10:wrap type="none"/>
            </v:shape>
            <v:shape style="position:absolute;left:3268;top:-3004;width:237;height:1404" type="#_x0000_t202" filled="false" stroked="false">
              <v:textbox inset="0,0,0,0">
                <w:txbxContent>
                  <w:p>
                    <w:pPr>
                      <w:spacing w:line="159" w:lineRule="exact" w:before="0"/>
                      <w:ind w:left="0" w:right="-14" w:firstLine="0"/>
                      <w:jc w:val="left"/>
                      <w:rPr>
                        <w:rFonts w:ascii="Arial"/>
                        <w:b/>
                        <w:sz w:val="15"/>
                      </w:rPr>
                    </w:pPr>
                    <w:r>
                      <w:rPr>
                        <w:rFonts w:ascii="Arial"/>
                        <w:b/>
                        <w:spacing w:val="-3"/>
                        <w:w w:val="115"/>
                        <w:sz w:val="15"/>
                      </w:rPr>
                      <w:t>1.0</w:t>
                    </w:r>
                  </w:p>
                  <w:p>
                    <w:pPr>
                      <w:spacing w:line="240" w:lineRule="auto" w:before="1"/>
                      <w:rPr>
                        <w:sz w:val="21"/>
                      </w:rPr>
                    </w:pPr>
                  </w:p>
                  <w:p>
                    <w:pPr>
                      <w:spacing w:before="0"/>
                      <w:ind w:left="0" w:right="-14" w:firstLine="0"/>
                      <w:jc w:val="left"/>
                      <w:rPr>
                        <w:rFonts w:ascii="Arial"/>
                        <w:b/>
                        <w:sz w:val="15"/>
                      </w:rPr>
                    </w:pPr>
                    <w:r>
                      <w:rPr>
                        <w:rFonts w:ascii="Arial"/>
                        <w:b/>
                        <w:spacing w:val="-3"/>
                        <w:w w:val="115"/>
                        <w:sz w:val="15"/>
                      </w:rPr>
                      <w:t>0.8</w:t>
                    </w:r>
                  </w:p>
                  <w:p>
                    <w:pPr>
                      <w:spacing w:line="240" w:lineRule="auto" w:before="1"/>
                      <w:rPr>
                        <w:sz w:val="21"/>
                      </w:rPr>
                    </w:pPr>
                  </w:p>
                  <w:p>
                    <w:pPr>
                      <w:spacing w:before="0"/>
                      <w:ind w:left="0" w:right="-14" w:firstLine="0"/>
                      <w:jc w:val="left"/>
                      <w:rPr>
                        <w:rFonts w:ascii="Arial"/>
                        <w:b/>
                        <w:sz w:val="15"/>
                      </w:rPr>
                    </w:pPr>
                    <w:r>
                      <w:rPr>
                        <w:rFonts w:ascii="Arial"/>
                        <w:b/>
                        <w:spacing w:val="-3"/>
                        <w:w w:val="115"/>
                        <w:sz w:val="15"/>
                      </w:rPr>
                      <w:t>0.6</w:t>
                    </w:r>
                  </w:p>
                  <w:p>
                    <w:pPr>
                      <w:spacing w:line="240" w:lineRule="auto" w:before="1"/>
                      <w:rPr>
                        <w:sz w:val="21"/>
                      </w:rPr>
                    </w:pPr>
                  </w:p>
                  <w:p>
                    <w:pPr>
                      <w:spacing w:line="171" w:lineRule="exact" w:before="0"/>
                      <w:ind w:left="0" w:right="-14" w:firstLine="0"/>
                      <w:jc w:val="left"/>
                      <w:rPr>
                        <w:rFonts w:ascii="Arial"/>
                        <w:b/>
                        <w:sz w:val="15"/>
                      </w:rPr>
                    </w:pPr>
                    <w:r>
                      <w:rPr>
                        <w:rFonts w:ascii="Arial"/>
                        <w:b/>
                        <w:spacing w:val="-3"/>
                        <w:w w:val="115"/>
                        <w:sz w:val="15"/>
                      </w:rPr>
                      <w:t>0.4</w:t>
                    </w:r>
                  </w:p>
                </w:txbxContent>
              </v:textbox>
              <w10:wrap type="none"/>
            </v:shape>
            <v:shape style="position:absolute;left:4520;top:-1524;width:71;height:115" type="#_x0000_t202" filled="false" stroked="false">
              <v:textbox inset="0,0,0,0">
                <w:txbxContent>
                  <w:p>
                    <w:pPr>
                      <w:spacing w:line="114" w:lineRule="exact" w:before="0"/>
                      <w:ind w:left="0" w:right="0" w:firstLine="0"/>
                      <w:jc w:val="left"/>
                      <w:rPr>
                        <w:rFonts w:ascii="Arial"/>
                        <w:sz w:val="11"/>
                      </w:rPr>
                    </w:pPr>
                    <w:r>
                      <w:rPr>
                        <w:rFonts w:ascii="Arial"/>
                        <w:w w:val="115"/>
                        <w:sz w:val="11"/>
                      </w:rPr>
                      <w:t>b</w:t>
                    </w:r>
                  </w:p>
                </w:txbxContent>
              </v:textbox>
              <w10:wrap type="none"/>
            </v:shape>
            <v:shape style="position:absolute;left:5283;top:-1544;width:71;height:115" type="#_x0000_t202" filled="false" stroked="false">
              <v:textbox inset="0,0,0,0">
                <w:txbxContent>
                  <w:p>
                    <w:pPr>
                      <w:spacing w:line="114" w:lineRule="exact" w:before="0"/>
                      <w:ind w:left="0" w:right="0" w:firstLine="0"/>
                      <w:jc w:val="left"/>
                      <w:rPr>
                        <w:rFonts w:ascii="Arial"/>
                        <w:sz w:val="11"/>
                      </w:rPr>
                    </w:pPr>
                    <w:r>
                      <w:rPr>
                        <w:rFonts w:ascii="Arial"/>
                        <w:w w:val="115"/>
                        <w:sz w:val="11"/>
                      </w:rPr>
                      <w:t>b</w:t>
                    </w:r>
                  </w:p>
                </w:txbxContent>
              </v:textbox>
              <w10:wrap type="none"/>
            </v:shape>
            <v:shape style="position:absolute;left:5677;top:-1513;width:71;height:115" type="#_x0000_t202" filled="false" stroked="false">
              <v:textbox inset="0,0,0,0">
                <w:txbxContent>
                  <w:p>
                    <w:pPr>
                      <w:spacing w:line="114" w:lineRule="exact" w:before="0"/>
                      <w:ind w:left="0" w:right="0" w:firstLine="0"/>
                      <w:jc w:val="left"/>
                      <w:rPr>
                        <w:rFonts w:ascii="Arial"/>
                        <w:sz w:val="11"/>
                      </w:rPr>
                    </w:pPr>
                    <w:r>
                      <w:rPr>
                        <w:rFonts w:ascii="Arial"/>
                        <w:w w:val="115"/>
                        <w:sz w:val="11"/>
                      </w:rPr>
                      <w:t>b</w:t>
                    </w:r>
                  </w:p>
                </w:txbxContent>
              </v:textbox>
              <w10:wrap type="none"/>
            </v:shape>
            <v:shape style="position:absolute;left:3268;top:-1342;width:237;height:158" type="#_x0000_t202" filled="false" stroked="false">
              <v:textbox inset="0,0,0,0">
                <w:txbxContent>
                  <w:p>
                    <w:pPr>
                      <w:spacing w:line="157" w:lineRule="exact" w:before="0"/>
                      <w:ind w:left="0" w:right="-14" w:firstLine="0"/>
                      <w:jc w:val="left"/>
                      <w:rPr>
                        <w:rFonts w:ascii="Arial"/>
                        <w:b/>
                        <w:sz w:val="15"/>
                      </w:rPr>
                    </w:pPr>
                    <w:r>
                      <w:rPr>
                        <w:rFonts w:ascii="Arial"/>
                        <w:b/>
                        <w:spacing w:val="-3"/>
                        <w:w w:val="115"/>
                        <w:sz w:val="15"/>
                      </w:rPr>
                      <w:t>0.2</w:t>
                    </w:r>
                  </w:p>
                </w:txbxContent>
              </v:textbox>
              <w10:wrap type="none"/>
            </v:shape>
            <v:shape style="position:absolute;left:4902;top:-1358;width:71;height:115" type="#_x0000_t202" filled="false" stroked="false">
              <v:textbox inset="0,0,0,0">
                <w:txbxContent>
                  <w:p>
                    <w:pPr>
                      <w:spacing w:line="114" w:lineRule="exact" w:before="0"/>
                      <w:ind w:left="0" w:right="0" w:firstLine="0"/>
                      <w:jc w:val="left"/>
                      <w:rPr>
                        <w:rFonts w:ascii="Arial"/>
                        <w:sz w:val="11"/>
                      </w:rPr>
                    </w:pPr>
                    <w:r>
                      <w:rPr>
                        <w:rFonts w:ascii="Arial"/>
                        <w:w w:val="115"/>
                        <w:sz w:val="11"/>
                      </w:rPr>
                      <w:t>b</w:t>
                    </w:r>
                  </w:p>
                </w:txbxContent>
              </v:textbox>
              <w10:wrap type="none"/>
            </v:shape>
            <v:shape style="position:absolute;left:3268;top:-927;width:237;height:158" type="#_x0000_t202" filled="false" stroked="false">
              <v:textbox inset="0,0,0,0">
                <w:txbxContent>
                  <w:p>
                    <w:pPr>
                      <w:spacing w:line="157" w:lineRule="exact" w:before="0"/>
                      <w:ind w:left="0" w:right="-14" w:firstLine="0"/>
                      <w:jc w:val="left"/>
                      <w:rPr>
                        <w:rFonts w:ascii="Arial"/>
                        <w:b/>
                        <w:sz w:val="15"/>
                      </w:rPr>
                    </w:pPr>
                    <w:r>
                      <w:rPr>
                        <w:rFonts w:ascii="Arial"/>
                        <w:b/>
                        <w:spacing w:val="-3"/>
                        <w:w w:val="115"/>
                        <w:sz w:val="15"/>
                      </w:rPr>
                      <w:t>0.0</w:t>
                    </w:r>
                  </w:p>
                </w:txbxContent>
              </v:textbox>
              <w10:wrap type="none"/>
            </v:shape>
            <v:shape style="position:absolute;left:3733;top:-769;width:3163;height:424" type="#_x0000_t202" filled="false" stroked="false">
              <v:textbox inset="0,0,0,0">
                <w:txbxContent>
                  <w:p>
                    <w:pPr>
                      <w:tabs>
                        <w:tab w:pos="385" w:val="left" w:leader="none"/>
                        <w:tab w:pos="771" w:val="left" w:leader="none"/>
                        <w:tab w:pos="1156" w:val="left" w:leader="none"/>
                        <w:tab w:pos="1492" w:val="left" w:leader="none"/>
                        <w:tab w:pos="3104" w:val="left" w:leader="none"/>
                      </w:tabs>
                      <w:spacing w:line="159" w:lineRule="exact" w:before="0"/>
                      <w:ind w:left="0" w:right="0" w:firstLine="0"/>
                      <w:jc w:val="left"/>
                      <w:rPr>
                        <w:rFonts w:ascii="Arial"/>
                        <w:b/>
                        <w:sz w:val="15"/>
                      </w:rPr>
                    </w:pPr>
                    <w:r>
                      <w:rPr>
                        <w:rFonts w:ascii="Arial"/>
                        <w:b/>
                        <w:w w:val="115"/>
                        <w:sz w:val="15"/>
                      </w:rPr>
                      <w:t>0</w:t>
                      <w:tab/>
                      <w:t>1</w:t>
                      <w:tab/>
                      <w:t>4</w:t>
                      <w:tab/>
                      <w:t>8</w:t>
                      <w:tab/>
                      <w:t>12    24  </w:t>
                    </w:r>
                    <w:r>
                      <w:rPr>
                        <w:rFonts w:ascii="Arial"/>
                        <w:b/>
                        <w:spacing w:val="3"/>
                        <w:w w:val="115"/>
                        <w:sz w:val="15"/>
                      </w:rPr>
                      <w:t> </w:t>
                    </w:r>
                    <w:r>
                      <w:rPr>
                        <w:rFonts w:ascii="Arial"/>
                        <w:b/>
                        <w:w w:val="115"/>
                        <w:sz w:val="15"/>
                      </w:rPr>
                      <w:t>+12</w:t>
                    </w:r>
                    <w:r>
                      <w:rPr>
                        <w:rFonts w:ascii="Arial"/>
                        <w:b/>
                        <w:spacing w:val="42"/>
                        <w:w w:val="115"/>
                        <w:sz w:val="15"/>
                      </w:rPr>
                      <w:t> </w:t>
                    </w:r>
                    <w:r>
                      <w:rPr>
                        <w:rFonts w:ascii="Arial"/>
                        <w:b/>
                        <w:w w:val="115"/>
                        <w:sz w:val="15"/>
                      </w:rPr>
                      <w:t>+24</w:t>
                      <w:tab/>
                      <w:t>-</w:t>
                    </w:r>
                  </w:p>
                  <w:p>
                    <w:pPr>
                      <w:spacing w:line="192" w:lineRule="exact" w:before="71"/>
                      <w:ind w:left="1017" w:right="0" w:firstLine="0"/>
                      <w:jc w:val="left"/>
                      <w:rPr>
                        <w:rFonts w:ascii="Arial"/>
                        <w:sz w:val="17"/>
                      </w:rPr>
                    </w:pPr>
                    <w:r>
                      <w:rPr>
                        <w:rFonts w:ascii="Arial"/>
                        <w:w w:val="115"/>
                        <w:sz w:val="17"/>
                      </w:rPr>
                      <w:t>Time (hpi)</w:t>
                    </w:r>
                  </w:p>
                </w:txbxContent>
              </v:textbox>
              <w10:wrap type="none"/>
            </v:shape>
            <w10:wrap type="none"/>
          </v:group>
        </w:pict>
      </w:r>
      <w:r>
        <w:rPr/>
        <w:pict>
          <v:shape style="position:absolute;margin-left:149.209915pt;margin-top:-151.352036pt;width:11.95pt;height:113.7pt;mso-position-horizontal-relative:page;mso-position-vertical-relative:paragraph;z-index:2176" type="#_x0000_t202" filled="false" stroked="false">
            <v:textbox inset="0,0,0,0" style="layout-flow:vertical;mso-layout-flow-alt:bottom-to-top">
              <w:txbxContent>
                <w:p>
                  <w:pPr>
                    <w:spacing w:line="226" w:lineRule="exact" w:before="0"/>
                    <w:ind w:left="20" w:right="0" w:firstLine="0"/>
                    <w:jc w:val="left"/>
                    <w:rPr>
                      <w:rFonts w:ascii="Arial" w:hAnsi="Arial"/>
                      <w:b/>
                      <w:sz w:val="19"/>
                    </w:rPr>
                  </w:pPr>
                  <w:r>
                    <w:rPr>
                      <w:rFonts w:ascii="Arial" w:hAnsi="Arial"/>
                      <w:b/>
                      <w:spacing w:val="5"/>
                      <w:w w:val="91"/>
                      <w:position w:val="1"/>
                      <w:sz w:val="19"/>
                    </w:rPr>
                    <w:t>r</w:t>
                  </w:r>
                  <w:r>
                    <w:rPr>
                      <w:rFonts w:ascii="Arial" w:hAnsi="Arial"/>
                      <w:b/>
                      <w:spacing w:val="-3"/>
                      <w:w w:val="91"/>
                      <w:position w:val="1"/>
                      <w:sz w:val="19"/>
                    </w:rPr>
                    <w:t>a</w:t>
                  </w:r>
                  <w:r>
                    <w:rPr>
                      <w:rFonts w:ascii="Arial" w:hAnsi="Arial"/>
                      <w:b/>
                      <w:spacing w:val="4"/>
                      <w:w w:val="91"/>
                      <w:position w:val="1"/>
                      <w:sz w:val="19"/>
                    </w:rPr>
                    <w:t>t</w:t>
                  </w:r>
                  <w:r>
                    <w:rPr>
                      <w:rFonts w:ascii="Arial" w:hAnsi="Arial"/>
                      <w:b/>
                      <w:spacing w:val="-7"/>
                      <w:w w:val="91"/>
                      <w:position w:val="1"/>
                      <w:sz w:val="19"/>
                    </w:rPr>
                    <w:t>i</w:t>
                  </w:r>
                  <w:r>
                    <w:rPr>
                      <w:rFonts w:ascii="Arial" w:hAnsi="Arial"/>
                      <w:b/>
                      <w:w w:val="91"/>
                      <w:position w:val="1"/>
                      <w:sz w:val="19"/>
                    </w:rPr>
                    <w:t>o</w:t>
                  </w:r>
                  <w:r>
                    <w:rPr>
                      <w:rFonts w:ascii="Arial" w:hAnsi="Arial"/>
                      <w:b/>
                      <w:spacing w:val="-3"/>
                      <w:position w:val="1"/>
                      <w:sz w:val="19"/>
                    </w:rPr>
                    <w:t> </w:t>
                  </w:r>
                  <w:r>
                    <w:rPr>
                      <w:rFonts w:ascii="Arial" w:hAnsi="Arial"/>
                      <w:b/>
                      <w:spacing w:val="-2"/>
                      <w:w w:val="91"/>
                      <w:position w:val="1"/>
                      <w:sz w:val="19"/>
                    </w:rPr>
                    <w:t>p</w:t>
                  </w:r>
                  <w:r>
                    <w:rPr>
                      <w:rFonts w:ascii="Arial" w:hAnsi="Arial"/>
                      <w:b/>
                      <w:spacing w:val="4"/>
                      <w:w w:val="91"/>
                      <w:position w:val="1"/>
                      <w:sz w:val="19"/>
                    </w:rPr>
                    <w:t>-</w:t>
                  </w:r>
                  <w:r>
                    <w:rPr>
                      <w:rFonts w:ascii="Arial" w:hAnsi="Arial"/>
                      <w:b/>
                      <w:spacing w:val="-2"/>
                      <w:w w:val="91"/>
                      <w:position w:val="1"/>
                      <w:sz w:val="19"/>
                    </w:rPr>
                    <w:t>ST</w:t>
                  </w:r>
                  <w:r>
                    <w:rPr>
                      <w:rFonts w:ascii="Arial" w:hAnsi="Arial"/>
                      <w:b/>
                      <w:spacing w:val="-11"/>
                      <w:w w:val="91"/>
                      <w:position w:val="1"/>
                      <w:sz w:val="19"/>
                    </w:rPr>
                    <w:t>A</w:t>
                  </w:r>
                  <w:r>
                    <w:rPr>
                      <w:rFonts w:ascii="Arial" w:hAnsi="Arial"/>
                      <w:b/>
                      <w:spacing w:val="-2"/>
                      <w:w w:val="91"/>
                      <w:position w:val="1"/>
                      <w:sz w:val="19"/>
                    </w:rPr>
                    <w:t>T</w:t>
                  </w:r>
                  <w:r>
                    <w:rPr>
                      <w:rFonts w:ascii="Arial" w:hAnsi="Arial"/>
                      <w:b/>
                      <w:w w:val="91"/>
                      <w:position w:val="1"/>
                      <w:sz w:val="19"/>
                    </w:rPr>
                    <w:t>1</w:t>
                  </w:r>
                  <w:r>
                    <w:rPr>
                      <w:rFonts w:ascii="Arial" w:hAnsi="Arial"/>
                      <w:b/>
                      <w:spacing w:val="-4"/>
                      <w:position w:val="1"/>
                      <w:sz w:val="19"/>
                    </w:rPr>
                    <w:t> </w:t>
                  </w:r>
                  <w:r>
                    <w:rPr>
                      <w:rFonts w:ascii="Arial" w:hAnsi="Arial"/>
                      <w:b/>
                      <w:spacing w:val="5"/>
                      <w:w w:val="91"/>
                      <w:position w:val="1"/>
                      <w:sz w:val="19"/>
                    </w:rPr>
                    <w:t>(</w:t>
                  </w:r>
                  <w:r>
                    <w:rPr>
                      <w:rFonts w:ascii="Symbol" w:hAnsi="Symbol"/>
                      <w:b/>
                      <w:spacing w:val="15"/>
                      <w:w w:val="91"/>
                      <w:sz w:val="19"/>
                    </w:rPr>
                    <w:t></w:t>
                  </w:r>
                  <w:r>
                    <w:rPr>
                      <w:rFonts w:ascii="Arial" w:hAnsi="Arial"/>
                      <w:b/>
                      <w:spacing w:val="3"/>
                      <w:w w:val="91"/>
                      <w:position w:val="1"/>
                      <w:sz w:val="19"/>
                    </w:rPr>
                    <w:t>/</w:t>
                  </w:r>
                  <w:r>
                    <w:rPr>
                      <w:rFonts w:ascii="Symbol" w:hAnsi="Symbol"/>
                      <w:b/>
                      <w:spacing w:val="19"/>
                      <w:w w:val="91"/>
                      <w:sz w:val="19"/>
                    </w:rPr>
                    <w:t></w:t>
                  </w:r>
                  <w:r>
                    <w:rPr>
                      <w:rFonts w:ascii="Arial" w:hAnsi="Arial"/>
                      <w:b/>
                      <w:w w:val="91"/>
                      <w:position w:val="1"/>
                      <w:sz w:val="19"/>
                    </w:rPr>
                    <w:t>)</w:t>
                  </w:r>
                  <w:r>
                    <w:rPr>
                      <w:rFonts w:ascii="Arial" w:hAnsi="Arial"/>
                      <w:b/>
                      <w:spacing w:val="3"/>
                      <w:position w:val="1"/>
                      <w:sz w:val="19"/>
                    </w:rPr>
                    <w:t> </w:t>
                  </w:r>
                  <w:r>
                    <w:rPr>
                      <w:rFonts w:ascii="Symbol" w:hAnsi="Symbol"/>
                      <w:b/>
                      <w:spacing w:val="19"/>
                      <w:w w:val="91"/>
                      <w:sz w:val="19"/>
                    </w:rPr>
                    <w:t></w:t>
                  </w:r>
                  <w:r>
                    <w:rPr>
                      <w:rFonts w:ascii="Arial" w:hAnsi="Arial"/>
                      <w:b/>
                      <w:spacing w:val="2"/>
                      <w:w w:val="91"/>
                      <w:position w:val="1"/>
                      <w:sz w:val="19"/>
                    </w:rPr>
                    <w:t>-</w:t>
                  </w:r>
                  <w:r>
                    <w:rPr>
                      <w:rFonts w:ascii="Arial" w:hAnsi="Arial"/>
                      <w:b/>
                      <w:spacing w:val="-8"/>
                      <w:w w:val="91"/>
                      <w:position w:val="1"/>
                      <w:sz w:val="19"/>
                    </w:rPr>
                    <w:t>Ac</w:t>
                  </w:r>
                  <w:r>
                    <w:rPr>
                      <w:rFonts w:ascii="Arial" w:hAnsi="Arial"/>
                      <w:b/>
                      <w:spacing w:val="1"/>
                      <w:w w:val="91"/>
                      <w:position w:val="1"/>
                      <w:sz w:val="19"/>
                    </w:rPr>
                    <w:t>t</w:t>
                  </w:r>
                  <w:r>
                    <w:rPr>
                      <w:rFonts w:ascii="Arial" w:hAnsi="Arial"/>
                      <w:b/>
                      <w:w w:val="91"/>
                      <w:position w:val="1"/>
                      <w:sz w:val="19"/>
                    </w:rPr>
                    <w:t>in</w:t>
                  </w:r>
                </w:p>
              </w:txbxContent>
            </v:textbox>
            <w10:wrap type="none"/>
          </v:shape>
        </w:pict>
      </w:r>
      <w:r>
        <w:rPr/>
        <w:t>FIGURE 3. Phosphorylation level </w:t>
      </w:r>
      <w:r>
        <w:rPr>
          <w:spacing w:val="4"/>
        </w:rPr>
        <w:t>of </w:t>
      </w:r>
      <w:r>
        <w:rPr/>
        <w:t>STAT1 (α/β) (pY701-STAT1 (α/β)) </w:t>
      </w:r>
      <w:r>
        <w:rPr>
          <w:spacing w:val="-3"/>
        </w:rPr>
        <w:t>in </w:t>
      </w:r>
      <w:r>
        <w:rPr/>
        <w:t>RTG-2 </w:t>
      </w:r>
      <w:r>
        <w:rPr>
          <w:spacing w:val="-3"/>
        </w:rPr>
        <w:t>cells </w:t>
      </w:r>
      <w:r>
        <w:rPr/>
        <w:t>infected with two IPNV serotypes of difference virulences (MOI=0.1). The pY701-STAT1 (α/β) </w:t>
      </w:r>
      <w:r>
        <w:rPr>
          <w:spacing w:val="-3"/>
        </w:rPr>
        <w:t>in </w:t>
      </w:r>
      <w:r>
        <w:rPr/>
        <w:t>infected cell with serotype Sp virus showed activation peaks at 12 and 24 hpi compared with control (</w:t>
      </w:r>
      <w:r>
        <w:rPr>
          <w:i/>
        </w:rPr>
        <w:t>P &lt; 0.005</w:t>
      </w:r>
      <w:r>
        <w:rPr/>
        <w:t>) (</w:t>
      </w:r>
      <w:r>
        <w:rPr>
          <w:b/>
        </w:rPr>
        <w:t>A</w:t>
      </w:r>
      <w:r>
        <w:rPr/>
        <w:t>). Contrary, pY701-STAT1 (α/β) </w:t>
      </w:r>
      <w:r>
        <w:rPr>
          <w:spacing w:val="-3"/>
        </w:rPr>
        <w:t>in </w:t>
      </w:r>
      <w:r>
        <w:rPr/>
        <w:t>infected cell with serotype VR-299 virus does not show significant activation compared with control (</w:t>
      </w:r>
      <w:r>
        <w:rPr>
          <w:b/>
        </w:rPr>
        <w:t>B</w:t>
      </w:r>
      <w:r>
        <w:rPr/>
        <w:t>). Significant differences of pY701-STAT1 (α/β) </w:t>
      </w:r>
      <w:r>
        <w:rPr>
          <w:spacing w:val="-3"/>
        </w:rPr>
        <w:t>in </w:t>
      </w:r>
      <w:r>
        <w:rPr/>
        <w:t>infected cells with serotype Sp virus at 4,8,12</w:t>
      </w:r>
      <w:r>
        <w:rPr>
          <w:spacing w:val="-14"/>
        </w:rPr>
        <w:t> </w:t>
      </w:r>
      <w:r>
        <w:rPr/>
        <w:t>and</w:t>
      </w:r>
      <w:r>
        <w:rPr>
          <w:spacing w:val="-10"/>
        </w:rPr>
        <w:t> </w:t>
      </w:r>
      <w:r>
        <w:rPr/>
        <w:t>24</w:t>
      </w:r>
      <w:r>
        <w:rPr>
          <w:spacing w:val="-10"/>
        </w:rPr>
        <w:t> </w:t>
      </w:r>
      <w:r>
        <w:rPr/>
        <w:t>hpi</w:t>
      </w:r>
      <w:r>
        <w:rPr>
          <w:spacing w:val="-19"/>
        </w:rPr>
        <w:t> </w:t>
      </w:r>
      <w:r>
        <w:rPr/>
        <w:t>compared</w:t>
      </w:r>
      <w:r>
        <w:rPr>
          <w:spacing w:val="-10"/>
        </w:rPr>
        <w:t> </w:t>
      </w:r>
      <w:r>
        <w:rPr/>
        <w:t>to</w:t>
      </w:r>
      <w:r>
        <w:rPr>
          <w:spacing w:val="37"/>
        </w:rPr>
        <w:t> </w:t>
      </w:r>
      <w:r>
        <w:rPr/>
        <w:t>infected</w:t>
      </w:r>
      <w:r>
        <w:rPr>
          <w:spacing w:val="-10"/>
        </w:rPr>
        <w:t> </w:t>
      </w:r>
      <w:r>
        <w:rPr/>
        <w:t>cells</w:t>
      </w:r>
      <w:r>
        <w:rPr>
          <w:spacing w:val="-12"/>
        </w:rPr>
        <w:t> </w:t>
      </w:r>
      <w:r>
        <w:rPr/>
        <w:t>with</w:t>
      </w:r>
      <w:r>
        <w:rPr>
          <w:spacing w:val="-14"/>
        </w:rPr>
        <w:t> </w:t>
      </w:r>
      <w:r>
        <w:rPr/>
        <w:t>serotype</w:t>
      </w:r>
      <w:r>
        <w:rPr>
          <w:spacing w:val="-11"/>
        </w:rPr>
        <w:t> </w:t>
      </w:r>
      <w:r>
        <w:rPr/>
        <w:t>VR-299</w:t>
      </w:r>
      <w:r>
        <w:rPr>
          <w:spacing w:val="-10"/>
        </w:rPr>
        <w:t> </w:t>
      </w:r>
      <w:r>
        <w:rPr/>
        <w:t>virus</w:t>
      </w:r>
      <w:r>
        <w:rPr>
          <w:spacing w:val="39"/>
        </w:rPr>
        <w:t> </w:t>
      </w:r>
      <w:r>
        <w:rPr/>
        <w:t>(</w:t>
      </w:r>
      <w:r>
        <w:rPr>
          <w:i/>
        </w:rPr>
        <w:t>P</w:t>
      </w:r>
      <w:r>
        <w:rPr>
          <w:i/>
          <w:spacing w:val="-12"/>
        </w:rPr>
        <w:t> </w:t>
      </w:r>
      <w:r>
        <w:rPr>
          <w:i/>
        </w:rPr>
        <w:t>&lt;</w:t>
      </w:r>
      <w:r>
        <w:rPr>
          <w:i/>
          <w:spacing w:val="-13"/>
        </w:rPr>
        <w:t> </w:t>
      </w:r>
      <w:r>
        <w:rPr>
          <w:i/>
        </w:rPr>
        <w:t>0.05</w:t>
      </w:r>
      <w:r>
        <w:rPr>
          <w:i/>
          <w:position w:val="9"/>
          <w:sz w:val="16"/>
        </w:rPr>
        <w:t>ab</w:t>
      </w:r>
      <w:r>
        <w:rPr/>
        <w:t>)</w:t>
      </w:r>
      <w:r>
        <w:rPr>
          <w:spacing w:val="-13"/>
        </w:rPr>
        <w:t> </w:t>
      </w:r>
      <w:r>
        <w:rPr/>
        <w:t>(</w:t>
      </w:r>
      <w:r>
        <w:rPr>
          <w:b/>
        </w:rPr>
        <w:t>A,B</w:t>
      </w:r>
      <w:r>
        <w:rPr/>
        <w:t>).</w:t>
      </w:r>
    </w:p>
    <w:p>
      <w:pPr>
        <w:spacing w:after="0" w:line="357" w:lineRule="auto"/>
        <w:jc w:val="both"/>
        <w:sectPr>
          <w:pgSz w:w="12240" w:h="15840"/>
          <w:pgMar w:header="0" w:footer="1382" w:top="1500" w:bottom="1580" w:left="1720" w:right="80"/>
        </w:sectPr>
      </w:pPr>
    </w:p>
    <w:p>
      <w:pPr>
        <w:pStyle w:val="BodyText"/>
        <w:spacing w:before="7"/>
        <w:rPr>
          <w:sz w:val="25"/>
        </w:rPr>
      </w:pPr>
    </w:p>
    <w:p>
      <w:pPr>
        <w:pStyle w:val="BodyText"/>
        <w:spacing w:line="360" w:lineRule="auto" w:before="70"/>
        <w:ind w:left="152" w:right="106"/>
        <w:jc w:val="both"/>
      </w:pPr>
      <w:r>
        <w:rPr/>
        <w:t>STAT1(α/β) phosphorylation was detected by immunoblotting with an anti-p-STAT1(α/β) (Try701) antibody, after the blots were reused with anti-actin. </w:t>
      </w:r>
      <w:r>
        <w:rPr>
          <w:spacing w:val="-3"/>
        </w:rPr>
        <w:t>We </w:t>
      </w:r>
      <w:r>
        <w:rPr/>
        <w:t>used (100µL) of cell’s secretome</w:t>
      </w:r>
      <w:r>
        <w:rPr>
          <w:spacing w:val="-3"/>
        </w:rPr>
        <w:t> </w:t>
      </w:r>
      <w:r>
        <w:rPr/>
        <w:t>infected</w:t>
      </w:r>
      <w:r>
        <w:rPr>
          <w:spacing w:val="-6"/>
        </w:rPr>
        <w:t> </w:t>
      </w:r>
      <w:r>
        <w:rPr/>
        <w:t>with</w:t>
      </w:r>
      <w:r>
        <w:rPr>
          <w:spacing w:val="-11"/>
        </w:rPr>
        <w:t> </w:t>
      </w:r>
      <w:r>
        <w:rPr/>
        <w:t>each</w:t>
      </w:r>
      <w:r>
        <w:rPr>
          <w:spacing w:val="-11"/>
        </w:rPr>
        <w:t> </w:t>
      </w:r>
      <w:r>
        <w:rPr/>
        <w:t>serotype</w:t>
      </w:r>
      <w:r>
        <w:rPr>
          <w:spacing w:val="-7"/>
        </w:rPr>
        <w:t> </w:t>
      </w:r>
      <w:r>
        <w:rPr/>
        <w:t>as</w:t>
      </w:r>
      <w:r>
        <w:rPr>
          <w:spacing w:val="-8"/>
        </w:rPr>
        <w:t> </w:t>
      </w:r>
      <w:r>
        <w:rPr/>
        <w:t>a</w:t>
      </w:r>
      <w:r>
        <w:rPr>
          <w:spacing w:val="-7"/>
        </w:rPr>
        <w:t> </w:t>
      </w:r>
      <w:r>
        <w:rPr/>
        <w:t>positive</w:t>
      </w:r>
      <w:r>
        <w:rPr>
          <w:spacing w:val="-3"/>
        </w:rPr>
        <w:t> </w:t>
      </w:r>
      <w:r>
        <w:rPr/>
        <w:t>control,</w:t>
      </w:r>
      <w:r>
        <w:rPr>
          <w:spacing w:val="-5"/>
        </w:rPr>
        <w:t> </w:t>
      </w:r>
      <w:r>
        <w:rPr/>
        <w:t>and</w:t>
      </w:r>
      <w:r>
        <w:rPr>
          <w:spacing w:val="-2"/>
        </w:rPr>
        <w:t> </w:t>
      </w:r>
      <w:r>
        <w:rPr>
          <w:spacing w:val="-3"/>
        </w:rPr>
        <w:t>no</w:t>
      </w:r>
      <w:r>
        <w:rPr>
          <w:spacing w:val="-2"/>
        </w:rPr>
        <w:t> </w:t>
      </w:r>
      <w:r>
        <w:rPr/>
        <w:t>infected</w:t>
      </w:r>
      <w:r>
        <w:rPr>
          <w:spacing w:val="-6"/>
        </w:rPr>
        <w:t> </w:t>
      </w:r>
      <w:r>
        <w:rPr/>
        <w:t>cells</w:t>
      </w:r>
      <w:r>
        <w:rPr>
          <w:spacing w:val="-8"/>
        </w:rPr>
        <w:t> </w:t>
      </w:r>
      <w:r>
        <w:rPr/>
        <w:t>as</w:t>
      </w:r>
      <w:r>
        <w:rPr>
          <w:spacing w:val="-4"/>
        </w:rPr>
        <w:t> </w:t>
      </w:r>
      <w:r>
        <w:rPr/>
        <w:t>negative control. The shown experiment </w:t>
      </w:r>
      <w:r>
        <w:rPr>
          <w:spacing w:val="-5"/>
        </w:rPr>
        <w:t>is </w:t>
      </w:r>
      <w:r>
        <w:rPr/>
        <w:t>a representative of three independent experiments, which generated reproducible data, means ±</w:t>
      </w:r>
      <w:r>
        <w:rPr>
          <w:spacing w:val="-13"/>
        </w:rPr>
        <w:t> </w:t>
      </w:r>
      <w:r>
        <w:rPr/>
        <w:t>SD.</w:t>
      </w:r>
    </w:p>
    <w:p>
      <w:pPr>
        <w:spacing w:after="0" w:line="360" w:lineRule="auto"/>
        <w:jc w:val="both"/>
        <w:sectPr>
          <w:pgSz w:w="12240" w:h="15840"/>
          <w:pgMar w:header="0" w:footer="1382" w:top="1500" w:bottom="1580" w:left="1720" w:right="1420"/>
        </w:sectPr>
      </w:pPr>
    </w:p>
    <w:p>
      <w:pPr>
        <w:pStyle w:val="BodyText"/>
        <w:spacing w:before="7"/>
        <w:rPr>
          <w:sz w:val="25"/>
        </w:rPr>
      </w:pPr>
    </w:p>
    <w:p>
      <w:pPr>
        <w:pStyle w:val="BodyText"/>
        <w:spacing w:line="360" w:lineRule="auto" w:before="70" w:after="17"/>
        <w:ind w:left="152" w:right="107"/>
        <w:jc w:val="both"/>
      </w:pPr>
      <w:r>
        <w:rPr/>
        <w:pict>
          <v:shape style="position:absolute;margin-left:263.519989pt;margin-top:70.483139pt;width:21.3pt;height:6pt;mso-position-horizontal-relative:page;mso-position-vertical-relative:paragraph;z-index:-57856" coordorigin="5270,1410" coordsize="426,120" path="m5576,1410l5576,1530,5676,1480,5596,1480,5596,1460,5676,1460,5576,1410xm5576,1460l5270,1460,5270,1480,5576,1480,5576,1460xm5676,1460l5596,1460,5596,1480,5676,1480,5696,1470,5676,1460xe" filled="true" fillcolor="#000000" stroked="false">
            <v:path arrowok="t"/>
            <v:fill type="solid"/>
            <w10:wrap type="none"/>
          </v:shape>
        </w:pict>
      </w:r>
      <w:r>
        <w:rPr/>
        <w:t>TABLE 1</w:t>
      </w:r>
      <w:r>
        <w:rPr>
          <w:b/>
        </w:rPr>
        <w:t>. </w:t>
      </w:r>
      <w:r>
        <w:rPr/>
        <w:t>Primers used for Real time (</w:t>
      </w:r>
      <w:r>
        <w:rPr>
          <w:i/>
        </w:rPr>
        <w:t>q</w:t>
      </w:r>
      <w:r>
        <w:rPr/>
        <w:t>RT-PCR) during the mRNA expression analysis of antiviral genes and protein VP2 -IPNV in RTG-2 infected cell with strain of different virulence.</w:t>
      </w: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62"/>
        <w:gridCol w:w="4570"/>
        <w:gridCol w:w="1125"/>
        <w:gridCol w:w="1983"/>
      </w:tblGrid>
      <w:tr>
        <w:trPr>
          <w:trHeight w:val="696" w:hRule="exact"/>
        </w:trPr>
        <w:tc>
          <w:tcPr>
            <w:tcW w:w="1162" w:type="dxa"/>
            <w:tcBorders>
              <w:left w:val="nil"/>
              <w:right w:val="nil"/>
            </w:tcBorders>
          </w:tcPr>
          <w:p>
            <w:pPr>
              <w:pStyle w:val="TableParagraph"/>
              <w:spacing w:line="221" w:lineRule="exact"/>
              <w:ind w:left="312"/>
              <w:rPr>
                <w:sz w:val="20"/>
              </w:rPr>
            </w:pPr>
            <w:r>
              <w:rPr>
                <w:sz w:val="20"/>
              </w:rPr>
              <w:t>Name</w:t>
            </w:r>
          </w:p>
        </w:tc>
        <w:tc>
          <w:tcPr>
            <w:tcW w:w="4570" w:type="dxa"/>
            <w:tcBorders>
              <w:left w:val="nil"/>
              <w:right w:val="nil"/>
            </w:tcBorders>
          </w:tcPr>
          <w:p>
            <w:pPr>
              <w:pStyle w:val="TableParagraph"/>
              <w:tabs>
                <w:tab w:pos="1727" w:val="left" w:leader="none"/>
                <w:tab w:pos="2245" w:val="left" w:leader="none"/>
              </w:tabs>
              <w:spacing w:line="221" w:lineRule="exact"/>
              <w:ind w:left="763" w:right="234"/>
              <w:rPr>
                <w:sz w:val="20"/>
              </w:rPr>
            </w:pPr>
            <w:r>
              <w:rPr>
                <w:sz w:val="20"/>
              </w:rPr>
              <w:t>Sequence</w:t>
              <w:tab/>
              <w:t>5’</w:t>
              <w:tab/>
            </w:r>
            <w:r>
              <w:rPr>
                <w:spacing w:val="-3"/>
                <w:sz w:val="20"/>
              </w:rPr>
              <w:t>3’</w:t>
            </w:r>
          </w:p>
        </w:tc>
        <w:tc>
          <w:tcPr>
            <w:tcW w:w="1125" w:type="dxa"/>
            <w:tcBorders>
              <w:left w:val="nil"/>
              <w:right w:val="nil"/>
            </w:tcBorders>
          </w:tcPr>
          <w:p>
            <w:pPr>
              <w:pStyle w:val="TableParagraph"/>
              <w:spacing w:line="350" w:lineRule="auto"/>
              <w:ind w:left="236" w:right="117" w:firstLine="96"/>
              <w:rPr>
                <w:sz w:val="13"/>
              </w:rPr>
            </w:pPr>
            <w:r>
              <w:rPr>
                <w:sz w:val="20"/>
              </w:rPr>
              <w:t>Product size (bp)</w:t>
            </w:r>
            <w:r>
              <w:rPr>
                <w:position w:val="7"/>
                <w:sz w:val="13"/>
              </w:rPr>
              <w:t>a</w:t>
            </w:r>
          </w:p>
        </w:tc>
        <w:tc>
          <w:tcPr>
            <w:tcW w:w="1983" w:type="dxa"/>
            <w:tcBorders>
              <w:left w:val="nil"/>
              <w:right w:val="nil"/>
            </w:tcBorders>
          </w:tcPr>
          <w:p>
            <w:pPr>
              <w:pStyle w:val="TableParagraph"/>
              <w:spacing w:line="221" w:lineRule="exact"/>
              <w:ind w:left="196" w:right="166"/>
              <w:jc w:val="center"/>
              <w:rPr>
                <w:sz w:val="20"/>
              </w:rPr>
            </w:pPr>
            <w:r>
              <w:rPr>
                <w:sz w:val="20"/>
              </w:rPr>
              <w:t>GAN</w:t>
            </w:r>
            <w:r>
              <w:rPr>
                <w:position w:val="7"/>
                <w:sz w:val="13"/>
              </w:rPr>
              <w:t>b</w:t>
            </w:r>
            <w:r>
              <w:rPr>
                <w:sz w:val="20"/>
              </w:rPr>
              <w:t>/or Reference</w:t>
            </w:r>
          </w:p>
          <w:p>
            <w:pPr>
              <w:pStyle w:val="TableParagraph"/>
              <w:spacing w:before="111"/>
              <w:ind w:left="194" w:right="166"/>
              <w:jc w:val="center"/>
              <w:rPr>
                <w:sz w:val="20"/>
              </w:rPr>
            </w:pPr>
            <w:r>
              <w:rPr>
                <w:sz w:val="20"/>
              </w:rPr>
              <w:t>(Source)</w:t>
            </w:r>
          </w:p>
        </w:tc>
      </w:tr>
      <w:tr>
        <w:trPr>
          <w:trHeight w:val="640" w:hRule="exact"/>
        </w:trPr>
        <w:tc>
          <w:tcPr>
            <w:tcW w:w="1162" w:type="dxa"/>
            <w:tcBorders>
              <w:left w:val="nil"/>
              <w:bottom w:val="nil"/>
              <w:right w:val="nil"/>
            </w:tcBorders>
          </w:tcPr>
          <w:p>
            <w:pPr>
              <w:pStyle w:val="TableParagraph"/>
              <w:spacing w:line="221" w:lineRule="exact"/>
              <w:ind w:left="105"/>
              <w:rPr>
                <w:sz w:val="20"/>
              </w:rPr>
            </w:pPr>
            <w:r>
              <w:rPr>
                <w:sz w:val="20"/>
              </w:rPr>
              <w:t>IFN-I(</w:t>
            </w:r>
            <w:r>
              <w:rPr>
                <w:i/>
                <w:sz w:val="20"/>
              </w:rPr>
              <w:t>α</w:t>
            </w:r>
            <w:r>
              <w:rPr>
                <w:sz w:val="20"/>
              </w:rPr>
              <w:t>)</w:t>
            </w:r>
          </w:p>
        </w:tc>
        <w:tc>
          <w:tcPr>
            <w:tcW w:w="4570" w:type="dxa"/>
            <w:tcBorders>
              <w:left w:val="nil"/>
              <w:bottom w:val="nil"/>
              <w:right w:val="nil"/>
            </w:tcBorders>
          </w:tcPr>
          <w:p>
            <w:pPr>
              <w:pStyle w:val="TableParagraph"/>
              <w:spacing w:line="360" w:lineRule="auto"/>
              <w:ind w:left="211" w:right="234"/>
              <w:rPr>
                <w:sz w:val="20"/>
              </w:rPr>
            </w:pPr>
            <w:r>
              <w:rPr>
                <w:sz w:val="20"/>
              </w:rPr>
              <w:t>F: CCTGCCATGAAACCTTGAGAAGA R:TTTCCTGATGAGCTCCCATGC</w:t>
            </w:r>
          </w:p>
        </w:tc>
        <w:tc>
          <w:tcPr>
            <w:tcW w:w="1125" w:type="dxa"/>
            <w:tcBorders>
              <w:left w:val="nil"/>
              <w:bottom w:val="nil"/>
              <w:right w:val="nil"/>
            </w:tcBorders>
          </w:tcPr>
          <w:p>
            <w:pPr>
              <w:pStyle w:val="TableParagraph"/>
              <w:spacing w:line="221" w:lineRule="exact"/>
              <w:ind w:right="353"/>
              <w:jc w:val="right"/>
              <w:rPr>
                <w:sz w:val="20"/>
              </w:rPr>
            </w:pPr>
            <w:r>
              <w:rPr>
                <w:sz w:val="20"/>
              </w:rPr>
              <w:t>108</w:t>
            </w:r>
          </w:p>
        </w:tc>
        <w:tc>
          <w:tcPr>
            <w:tcW w:w="1983" w:type="dxa"/>
            <w:tcBorders>
              <w:left w:val="nil"/>
              <w:bottom w:val="nil"/>
              <w:right w:val="nil"/>
            </w:tcBorders>
          </w:tcPr>
          <w:p>
            <w:pPr>
              <w:pStyle w:val="TableParagraph"/>
              <w:spacing w:line="221" w:lineRule="exact"/>
              <w:ind w:left="134"/>
              <w:rPr>
                <w:sz w:val="20"/>
              </w:rPr>
            </w:pPr>
            <w:r>
              <w:rPr>
                <w:sz w:val="20"/>
              </w:rPr>
              <w:t>Fj184371.1</w:t>
            </w:r>
          </w:p>
        </w:tc>
      </w:tr>
      <w:tr>
        <w:trPr>
          <w:trHeight w:val="691" w:hRule="exact"/>
        </w:trPr>
        <w:tc>
          <w:tcPr>
            <w:tcW w:w="1162" w:type="dxa"/>
            <w:tcBorders>
              <w:top w:val="nil"/>
              <w:left w:val="nil"/>
              <w:bottom w:val="nil"/>
              <w:right w:val="nil"/>
            </w:tcBorders>
          </w:tcPr>
          <w:p>
            <w:pPr>
              <w:pStyle w:val="TableParagraph"/>
              <w:spacing w:before="47"/>
              <w:ind w:left="105"/>
              <w:rPr>
                <w:sz w:val="20"/>
              </w:rPr>
            </w:pPr>
            <w:r>
              <w:rPr>
                <w:sz w:val="20"/>
              </w:rPr>
              <w:t>STAT1(</w:t>
            </w:r>
            <w:r>
              <w:rPr>
                <w:i/>
                <w:sz w:val="20"/>
              </w:rPr>
              <w:t>α</w:t>
            </w:r>
            <w:r>
              <w:rPr>
                <w:sz w:val="20"/>
              </w:rPr>
              <w:t>)</w:t>
            </w:r>
          </w:p>
        </w:tc>
        <w:tc>
          <w:tcPr>
            <w:tcW w:w="4570" w:type="dxa"/>
            <w:tcBorders>
              <w:top w:val="nil"/>
              <w:left w:val="nil"/>
              <w:bottom w:val="nil"/>
              <w:right w:val="nil"/>
            </w:tcBorders>
          </w:tcPr>
          <w:p>
            <w:pPr>
              <w:pStyle w:val="TableParagraph"/>
              <w:spacing w:line="360" w:lineRule="auto" w:before="47"/>
              <w:ind w:left="211" w:right="1562"/>
              <w:rPr>
                <w:sz w:val="20"/>
              </w:rPr>
            </w:pPr>
            <w:r>
              <w:rPr>
                <w:sz w:val="20"/>
              </w:rPr>
              <w:t>F: CGGGCCCTGTCACTGTTC R: GGCATACAGGGTGTCTCT</w:t>
            </w:r>
          </w:p>
        </w:tc>
        <w:tc>
          <w:tcPr>
            <w:tcW w:w="1125" w:type="dxa"/>
            <w:tcBorders>
              <w:top w:val="nil"/>
              <w:left w:val="nil"/>
              <w:bottom w:val="nil"/>
              <w:right w:val="nil"/>
            </w:tcBorders>
          </w:tcPr>
          <w:p>
            <w:pPr>
              <w:pStyle w:val="TableParagraph"/>
              <w:spacing w:before="47"/>
              <w:ind w:right="406"/>
              <w:jc w:val="right"/>
              <w:rPr>
                <w:sz w:val="20"/>
              </w:rPr>
            </w:pPr>
            <w:r>
              <w:rPr>
                <w:sz w:val="20"/>
              </w:rPr>
              <w:t>68</w:t>
            </w:r>
          </w:p>
        </w:tc>
        <w:tc>
          <w:tcPr>
            <w:tcW w:w="1983" w:type="dxa"/>
            <w:tcBorders>
              <w:top w:val="nil"/>
              <w:left w:val="nil"/>
              <w:bottom w:val="nil"/>
              <w:right w:val="nil"/>
            </w:tcBorders>
          </w:tcPr>
          <w:p>
            <w:pPr>
              <w:pStyle w:val="TableParagraph"/>
              <w:spacing w:before="47"/>
              <w:ind w:left="134"/>
              <w:rPr>
                <w:sz w:val="20"/>
              </w:rPr>
            </w:pPr>
            <w:r>
              <w:rPr>
                <w:sz w:val="20"/>
              </w:rPr>
              <w:t>NM_001124707.1</w:t>
            </w:r>
          </w:p>
        </w:tc>
      </w:tr>
      <w:tr>
        <w:trPr>
          <w:trHeight w:val="691" w:hRule="exact"/>
        </w:trPr>
        <w:tc>
          <w:tcPr>
            <w:tcW w:w="1162" w:type="dxa"/>
            <w:tcBorders>
              <w:top w:val="nil"/>
              <w:left w:val="nil"/>
              <w:bottom w:val="nil"/>
              <w:right w:val="nil"/>
            </w:tcBorders>
          </w:tcPr>
          <w:p>
            <w:pPr>
              <w:pStyle w:val="TableParagraph"/>
              <w:spacing w:before="47"/>
              <w:ind w:left="105"/>
              <w:rPr>
                <w:sz w:val="20"/>
              </w:rPr>
            </w:pPr>
            <w:r>
              <w:rPr>
                <w:sz w:val="20"/>
              </w:rPr>
              <w:t>Mx-1</w:t>
            </w:r>
          </w:p>
        </w:tc>
        <w:tc>
          <w:tcPr>
            <w:tcW w:w="4570" w:type="dxa"/>
            <w:tcBorders>
              <w:top w:val="nil"/>
              <w:left w:val="nil"/>
              <w:bottom w:val="nil"/>
              <w:right w:val="nil"/>
            </w:tcBorders>
          </w:tcPr>
          <w:p>
            <w:pPr>
              <w:pStyle w:val="TableParagraph"/>
              <w:spacing w:line="360" w:lineRule="auto" w:before="47"/>
              <w:ind w:left="211" w:right="1355"/>
              <w:rPr>
                <w:sz w:val="20"/>
              </w:rPr>
            </w:pPr>
            <w:r>
              <w:rPr>
                <w:sz w:val="20"/>
              </w:rPr>
              <w:t>F: AGCTCAAACGCCTGATGAAG R: ACCCCACTGAAACACACCTG</w:t>
            </w:r>
          </w:p>
        </w:tc>
        <w:tc>
          <w:tcPr>
            <w:tcW w:w="1125" w:type="dxa"/>
            <w:tcBorders>
              <w:top w:val="nil"/>
              <w:left w:val="nil"/>
              <w:bottom w:val="nil"/>
              <w:right w:val="nil"/>
            </w:tcBorders>
          </w:tcPr>
          <w:p>
            <w:pPr>
              <w:pStyle w:val="TableParagraph"/>
              <w:spacing w:before="47"/>
              <w:ind w:right="353"/>
              <w:jc w:val="right"/>
              <w:rPr>
                <w:sz w:val="20"/>
              </w:rPr>
            </w:pPr>
            <w:r>
              <w:rPr>
                <w:sz w:val="20"/>
              </w:rPr>
              <w:t>142</w:t>
            </w:r>
          </w:p>
        </w:tc>
        <w:tc>
          <w:tcPr>
            <w:tcW w:w="1983" w:type="dxa"/>
            <w:tcBorders>
              <w:top w:val="nil"/>
              <w:left w:val="nil"/>
              <w:bottom w:val="nil"/>
              <w:right w:val="nil"/>
            </w:tcBorders>
          </w:tcPr>
          <w:p>
            <w:pPr>
              <w:pStyle w:val="TableParagraph"/>
              <w:spacing w:before="47"/>
              <w:ind w:left="187"/>
              <w:rPr>
                <w:sz w:val="20"/>
              </w:rPr>
            </w:pPr>
            <w:r>
              <w:rPr>
                <w:sz w:val="20"/>
              </w:rPr>
              <w:t>NM_001171901</w:t>
            </w:r>
          </w:p>
        </w:tc>
      </w:tr>
      <w:tr>
        <w:trPr>
          <w:trHeight w:val="1785" w:hRule="exact"/>
        </w:trPr>
        <w:tc>
          <w:tcPr>
            <w:tcW w:w="1162" w:type="dxa"/>
            <w:tcBorders>
              <w:top w:val="nil"/>
              <w:left w:val="nil"/>
              <w:right w:val="nil"/>
            </w:tcBorders>
          </w:tcPr>
          <w:p>
            <w:pPr>
              <w:pStyle w:val="TableParagraph"/>
              <w:spacing w:line="715" w:lineRule="auto" w:before="48"/>
              <w:ind w:left="105" w:right="276"/>
              <w:rPr>
                <w:sz w:val="20"/>
              </w:rPr>
            </w:pPr>
            <w:r>
              <w:rPr>
                <w:sz w:val="20"/>
              </w:rPr>
              <w:t>ELF-1(α) VP2</w:t>
            </w:r>
          </w:p>
        </w:tc>
        <w:tc>
          <w:tcPr>
            <w:tcW w:w="4570" w:type="dxa"/>
            <w:tcBorders>
              <w:top w:val="nil"/>
              <w:left w:val="nil"/>
              <w:right w:val="nil"/>
            </w:tcBorders>
          </w:tcPr>
          <w:p>
            <w:pPr>
              <w:pStyle w:val="TableParagraph"/>
              <w:spacing w:line="360" w:lineRule="auto" w:before="48"/>
              <w:ind w:left="211" w:right="1336"/>
              <w:rPr>
                <w:sz w:val="20"/>
              </w:rPr>
            </w:pPr>
            <w:r>
              <w:rPr>
                <w:sz w:val="20"/>
              </w:rPr>
              <w:t>F: ACCCTCCTCTTGGTCGTTTC </w:t>
            </w:r>
            <w:r>
              <w:rPr>
                <w:spacing w:val="-3"/>
                <w:sz w:val="20"/>
              </w:rPr>
              <w:t>R:</w:t>
            </w:r>
            <w:r>
              <w:rPr>
                <w:spacing w:val="3"/>
                <w:sz w:val="20"/>
              </w:rPr>
              <w:t> </w:t>
            </w:r>
            <w:r>
              <w:rPr>
                <w:sz w:val="20"/>
              </w:rPr>
              <w:t>TGATGACACCAACAGCAACA</w:t>
            </w:r>
          </w:p>
          <w:p>
            <w:pPr>
              <w:pStyle w:val="TableParagraph"/>
              <w:spacing w:line="360" w:lineRule="auto"/>
              <w:ind w:left="211" w:right="234"/>
              <w:rPr>
                <w:sz w:val="20"/>
              </w:rPr>
            </w:pPr>
            <w:r>
              <w:rPr>
                <w:sz w:val="20"/>
              </w:rPr>
              <w:t>WB1-CCGCAACTTACTTGAGATCCATTATGC WB2-CGTCTGGTTCAGATTCCACCTGTAGTG</w:t>
            </w:r>
          </w:p>
        </w:tc>
        <w:tc>
          <w:tcPr>
            <w:tcW w:w="1125" w:type="dxa"/>
            <w:tcBorders>
              <w:top w:val="nil"/>
              <w:left w:val="nil"/>
              <w:right w:val="nil"/>
            </w:tcBorders>
          </w:tcPr>
          <w:p>
            <w:pPr>
              <w:pStyle w:val="TableParagraph"/>
              <w:spacing w:before="48"/>
              <w:ind w:left="367" w:right="260"/>
              <w:jc w:val="center"/>
              <w:rPr>
                <w:sz w:val="20"/>
              </w:rPr>
            </w:pPr>
            <w:r>
              <w:rPr>
                <w:sz w:val="20"/>
              </w:rPr>
              <w:t>63</w:t>
            </w: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9"/>
              <w:rPr>
                <w:sz w:val="19"/>
              </w:rPr>
            </w:pPr>
          </w:p>
          <w:p>
            <w:pPr>
              <w:pStyle w:val="TableParagraph"/>
              <w:ind w:left="496" w:right="231"/>
              <w:jc w:val="center"/>
              <w:rPr>
                <w:sz w:val="20"/>
              </w:rPr>
            </w:pPr>
            <w:r>
              <w:rPr>
                <w:sz w:val="20"/>
              </w:rPr>
              <w:t>206</w:t>
            </w:r>
          </w:p>
        </w:tc>
        <w:tc>
          <w:tcPr>
            <w:tcW w:w="1983" w:type="dxa"/>
            <w:tcBorders>
              <w:top w:val="nil"/>
              <w:left w:val="nil"/>
              <w:right w:val="nil"/>
            </w:tcBorders>
          </w:tcPr>
          <w:p>
            <w:pPr>
              <w:pStyle w:val="TableParagraph"/>
              <w:spacing w:before="48"/>
              <w:ind w:left="134"/>
              <w:rPr>
                <w:sz w:val="20"/>
              </w:rPr>
            </w:pPr>
            <w:r>
              <w:rPr>
                <w:sz w:val="20"/>
              </w:rPr>
              <w:t>NM_001124339.1</w:t>
            </w:r>
          </w:p>
          <w:p>
            <w:pPr>
              <w:pStyle w:val="TableParagraph"/>
              <w:rPr>
                <w:sz w:val="20"/>
              </w:rPr>
            </w:pPr>
          </w:p>
          <w:p>
            <w:pPr>
              <w:pStyle w:val="TableParagraph"/>
              <w:rPr>
                <w:sz w:val="20"/>
              </w:rPr>
            </w:pPr>
          </w:p>
          <w:p>
            <w:pPr>
              <w:pStyle w:val="TableParagraph"/>
              <w:spacing w:before="8"/>
              <w:rPr>
                <w:sz w:val="29"/>
              </w:rPr>
            </w:pPr>
          </w:p>
          <w:p>
            <w:pPr>
              <w:pStyle w:val="TableParagraph"/>
              <w:spacing w:line="360" w:lineRule="auto"/>
              <w:ind w:left="134" w:right="657"/>
              <w:rPr>
                <w:sz w:val="20"/>
              </w:rPr>
            </w:pPr>
            <w:r>
              <w:rPr>
                <w:sz w:val="20"/>
              </w:rPr>
              <w:t>Williams et al. (1999)</w:t>
            </w:r>
          </w:p>
        </w:tc>
      </w:tr>
    </w:tbl>
    <w:p>
      <w:pPr>
        <w:pStyle w:val="BodyText"/>
        <w:spacing w:before="11"/>
        <w:rPr>
          <w:sz w:val="26"/>
        </w:rPr>
      </w:pPr>
    </w:p>
    <w:p>
      <w:pPr>
        <w:pStyle w:val="BodyText"/>
        <w:spacing w:before="79"/>
        <w:ind w:left="152"/>
      </w:pPr>
      <w:r>
        <w:rPr>
          <w:position w:val="9"/>
          <w:sz w:val="16"/>
        </w:rPr>
        <w:t>a </w:t>
      </w:r>
      <w:r>
        <w:rPr/>
        <w:t>Product size PCR. bp (base pairs).</w:t>
      </w:r>
    </w:p>
    <w:p>
      <w:pPr>
        <w:pStyle w:val="BodyText"/>
        <w:spacing w:line="360" w:lineRule="auto" w:before="126"/>
        <w:ind w:left="152"/>
      </w:pPr>
      <w:r>
        <w:rPr>
          <w:position w:val="9"/>
          <w:sz w:val="16"/>
        </w:rPr>
        <w:t>b </w:t>
      </w:r>
      <w:r>
        <w:rPr/>
        <w:t>Sequences to forward (F), reverse (R) are given according to access number in Genbank. (GAN) or reference.</w:t>
      </w:r>
    </w:p>
    <w:p>
      <w:pPr>
        <w:spacing w:after="0" w:line="360" w:lineRule="auto"/>
        <w:sectPr>
          <w:footerReference w:type="default" r:id="rId62"/>
          <w:pgSz w:w="12240" w:h="15840"/>
          <w:pgMar w:footer="1382" w:header="0" w:top="1500" w:bottom="1580" w:left="1720" w:right="1420"/>
        </w:sectPr>
      </w:pPr>
    </w:p>
    <w:p>
      <w:pPr>
        <w:pStyle w:val="BodyText"/>
        <w:spacing w:before="1"/>
        <w:rPr>
          <w:sz w:val="26"/>
        </w:rPr>
      </w:pPr>
    </w:p>
    <w:p>
      <w:pPr>
        <w:pStyle w:val="Heading1"/>
      </w:pPr>
      <w:r>
        <w:rPr/>
        <w:t>REFERENCES</w:t>
      </w:r>
    </w:p>
    <w:p>
      <w:pPr>
        <w:pStyle w:val="BodyText"/>
        <w:spacing w:line="360" w:lineRule="auto" w:before="132"/>
        <w:ind w:left="152" w:right="102" w:firstLine="705"/>
        <w:jc w:val="both"/>
      </w:pPr>
      <w:r>
        <w:rPr/>
        <w:t>Arguedas, D., </w:t>
      </w:r>
      <w:r>
        <w:rPr>
          <w:spacing w:val="-3"/>
        </w:rPr>
        <w:t>A. </w:t>
      </w:r>
      <w:r>
        <w:rPr/>
        <w:t>R. Zuñiga, R. E. </w:t>
      </w:r>
      <w:r>
        <w:rPr>
          <w:spacing w:val="-3"/>
        </w:rPr>
        <w:t>Sais, </w:t>
      </w:r>
      <w:r>
        <w:rPr/>
        <w:t>J.M. Castañeda, and C.O. Santana. 2015. Effect of temperature on the expression of IFN-1 (α), STAT-1 and Mx-1 genes in </w:t>
      </w:r>
      <w:r>
        <w:rPr>
          <w:i/>
        </w:rPr>
        <w:t>Oncorhynchus</w:t>
      </w:r>
      <w:r>
        <w:rPr>
          <w:i/>
          <w:spacing w:val="-9"/>
        </w:rPr>
        <w:t> </w:t>
      </w:r>
      <w:r>
        <w:rPr>
          <w:i/>
        </w:rPr>
        <w:t>mykiss</w:t>
      </w:r>
      <w:r>
        <w:rPr>
          <w:i/>
          <w:spacing w:val="-9"/>
        </w:rPr>
        <w:t> </w:t>
      </w:r>
      <w:r>
        <w:rPr/>
        <w:t>(Salmoniformes:</w:t>
      </w:r>
      <w:r>
        <w:rPr>
          <w:spacing w:val="-7"/>
        </w:rPr>
        <w:t> </w:t>
      </w:r>
      <w:r>
        <w:rPr/>
        <w:t>Salmonidae)</w:t>
      </w:r>
      <w:r>
        <w:rPr>
          <w:spacing w:val="-6"/>
        </w:rPr>
        <w:t> </w:t>
      </w:r>
      <w:r>
        <w:rPr/>
        <w:t>exposed</w:t>
      </w:r>
      <w:r>
        <w:rPr>
          <w:spacing w:val="-8"/>
        </w:rPr>
        <w:t> </w:t>
      </w:r>
      <w:r>
        <w:rPr/>
        <w:t>with</w:t>
      </w:r>
      <w:r>
        <w:rPr>
          <w:spacing w:val="-12"/>
        </w:rPr>
        <w:t> </w:t>
      </w:r>
      <w:r>
        <w:rPr/>
        <w:t>the</w:t>
      </w:r>
      <w:r>
        <w:rPr>
          <w:spacing w:val="-9"/>
        </w:rPr>
        <w:t> </w:t>
      </w:r>
      <w:r>
        <w:rPr/>
        <w:t>virus</w:t>
      </w:r>
      <w:r>
        <w:rPr>
          <w:spacing w:val="-9"/>
        </w:rPr>
        <w:t> </w:t>
      </w:r>
      <w:r>
        <w:rPr/>
        <w:t>of</w:t>
      </w:r>
      <w:r>
        <w:rPr>
          <w:spacing w:val="-15"/>
        </w:rPr>
        <w:t> </w:t>
      </w:r>
      <w:r>
        <w:rPr/>
        <w:t>the</w:t>
      </w:r>
      <w:r>
        <w:rPr>
          <w:spacing w:val="-4"/>
        </w:rPr>
        <w:t> </w:t>
      </w:r>
      <w:r>
        <w:rPr/>
        <w:t>infectious pancreatic necrosis (IPNV). International Journal of Tropical Biology and Conservation 63:559-569.</w:t>
      </w:r>
    </w:p>
    <w:p>
      <w:pPr>
        <w:pStyle w:val="BodyText"/>
        <w:spacing w:line="360" w:lineRule="auto" w:before="4"/>
        <w:ind w:left="152" w:right="100" w:firstLine="705"/>
        <w:jc w:val="both"/>
      </w:pPr>
      <w:r>
        <w:rPr/>
        <w:t>Chang, M., </w:t>
      </w:r>
      <w:r>
        <w:rPr>
          <w:spacing w:val="-3"/>
        </w:rPr>
        <w:t>X. </w:t>
      </w:r>
      <w:r>
        <w:rPr/>
        <w:t>Zou, J. </w:t>
      </w:r>
      <w:r>
        <w:rPr>
          <w:spacing w:val="-3"/>
        </w:rPr>
        <w:t>Nie, </w:t>
      </w:r>
      <w:r>
        <w:rPr/>
        <w:t>P. Huang, B. Yu, B. Collet, and C. J. Secombes, 2013. Intracellular</w:t>
      </w:r>
      <w:r>
        <w:rPr>
          <w:spacing w:val="-11"/>
        </w:rPr>
        <w:t> </w:t>
      </w:r>
      <w:r>
        <w:rPr/>
        <w:t>interferons</w:t>
      </w:r>
      <w:r>
        <w:rPr>
          <w:spacing w:val="-10"/>
        </w:rPr>
        <w:t> </w:t>
      </w:r>
      <w:r>
        <w:rPr>
          <w:spacing w:val="-3"/>
        </w:rPr>
        <w:t>in</w:t>
      </w:r>
      <w:r>
        <w:rPr>
          <w:spacing w:val="-13"/>
        </w:rPr>
        <w:t> </w:t>
      </w:r>
      <w:r>
        <w:rPr>
          <w:spacing w:val="-3"/>
        </w:rPr>
        <w:t>fish:</w:t>
      </w:r>
      <w:r>
        <w:rPr>
          <w:spacing w:val="-12"/>
        </w:rPr>
        <w:t> </w:t>
      </w:r>
      <w:r>
        <w:rPr/>
        <w:t>a</w:t>
      </w:r>
      <w:r>
        <w:rPr>
          <w:spacing w:val="-14"/>
        </w:rPr>
        <w:t> </w:t>
      </w:r>
      <w:r>
        <w:rPr/>
        <w:t>unique</w:t>
      </w:r>
      <w:r>
        <w:rPr>
          <w:spacing w:val="-9"/>
        </w:rPr>
        <w:t> </w:t>
      </w:r>
      <w:r>
        <w:rPr/>
        <w:t>means</w:t>
      </w:r>
      <w:r>
        <w:rPr>
          <w:spacing w:val="-15"/>
        </w:rPr>
        <w:t> </w:t>
      </w:r>
      <w:r>
        <w:rPr/>
        <w:t>to</w:t>
      </w:r>
      <w:r>
        <w:rPr>
          <w:spacing w:val="-12"/>
        </w:rPr>
        <w:t> </w:t>
      </w:r>
      <w:r>
        <w:rPr/>
        <w:t>combat</w:t>
      </w:r>
      <w:r>
        <w:rPr>
          <w:spacing w:val="-8"/>
        </w:rPr>
        <w:t> </w:t>
      </w:r>
      <w:r>
        <w:rPr/>
        <w:t>viral</w:t>
      </w:r>
      <w:r>
        <w:rPr>
          <w:spacing w:val="-16"/>
        </w:rPr>
        <w:t> </w:t>
      </w:r>
      <w:r>
        <w:rPr/>
        <w:t>infection.</w:t>
      </w:r>
      <w:r>
        <w:rPr>
          <w:spacing w:val="-4"/>
        </w:rPr>
        <w:t> </w:t>
      </w:r>
      <w:r>
        <w:rPr/>
        <w:t>PLoS</w:t>
      </w:r>
      <w:r>
        <w:rPr>
          <w:spacing w:val="-16"/>
        </w:rPr>
        <w:t> </w:t>
      </w:r>
      <w:r>
        <w:rPr/>
        <w:t>pathogens,</w:t>
      </w:r>
      <w:r>
        <w:rPr>
          <w:spacing w:val="-9"/>
        </w:rPr>
        <w:t> </w:t>
      </w:r>
      <w:r>
        <w:rPr/>
        <w:t>9: e1003736.</w:t>
      </w:r>
    </w:p>
    <w:p>
      <w:pPr>
        <w:pStyle w:val="BodyText"/>
        <w:spacing w:line="360" w:lineRule="auto" w:before="4"/>
        <w:ind w:left="152" w:right="107" w:firstLine="705"/>
        <w:jc w:val="both"/>
      </w:pPr>
      <w:r>
        <w:rPr/>
        <w:t>Collet,</w:t>
      </w:r>
      <w:r>
        <w:rPr>
          <w:spacing w:val="-10"/>
        </w:rPr>
        <w:t> </w:t>
      </w:r>
      <w:r>
        <w:rPr/>
        <w:t>B.,</w:t>
      </w:r>
      <w:r>
        <w:rPr>
          <w:spacing w:val="-14"/>
        </w:rPr>
        <w:t> </w:t>
      </w:r>
      <w:r>
        <w:rPr/>
        <w:t>E.S.</w:t>
      </w:r>
      <w:r>
        <w:rPr>
          <w:spacing w:val="-14"/>
        </w:rPr>
        <w:t> </w:t>
      </w:r>
      <w:r>
        <w:rPr/>
        <w:t>Munro,</w:t>
      </w:r>
      <w:r>
        <w:rPr>
          <w:spacing w:val="-14"/>
        </w:rPr>
        <w:t> </w:t>
      </w:r>
      <w:r>
        <w:rPr/>
        <w:t>S,</w:t>
      </w:r>
      <w:r>
        <w:rPr>
          <w:spacing w:val="-14"/>
        </w:rPr>
        <w:t> </w:t>
      </w:r>
      <w:r>
        <w:rPr/>
        <w:t>Gahlawat,</w:t>
      </w:r>
      <w:r>
        <w:rPr>
          <w:spacing w:val="-10"/>
        </w:rPr>
        <w:t> </w:t>
      </w:r>
      <w:r>
        <w:rPr/>
        <w:t>F.</w:t>
      </w:r>
      <w:r>
        <w:rPr>
          <w:spacing w:val="-10"/>
        </w:rPr>
        <w:t> </w:t>
      </w:r>
      <w:r>
        <w:rPr/>
        <w:t>Acosta,</w:t>
      </w:r>
      <w:r>
        <w:rPr>
          <w:spacing w:val="-10"/>
        </w:rPr>
        <w:t> </w:t>
      </w:r>
      <w:r>
        <w:rPr/>
        <w:t>J.</w:t>
      </w:r>
      <w:r>
        <w:rPr>
          <w:spacing w:val="-19"/>
        </w:rPr>
        <w:t> </w:t>
      </w:r>
      <w:r>
        <w:rPr/>
        <w:t>Garcia,</w:t>
      </w:r>
      <w:r>
        <w:rPr>
          <w:spacing w:val="-10"/>
        </w:rPr>
        <w:t> </w:t>
      </w:r>
      <w:r>
        <w:rPr/>
        <w:t>C.</w:t>
      </w:r>
      <w:r>
        <w:rPr>
          <w:spacing w:val="-10"/>
        </w:rPr>
        <w:t> </w:t>
      </w:r>
      <w:r>
        <w:rPr/>
        <w:t>Roemelt,</w:t>
      </w:r>
      <w:r>
        <w:rPr>
          <w:spacing w:val="-10"/>
        </w:rPr>
        <w:t> </w:t>
      </w:r>
      <w:r>
        <w:rPr/>
        <w:t>and</w:t>
      </w:r>
      <w:r>
        <w:rPr>
          <w:spacing w:val="-8"/>
        </w:rPr>
        <w:t> </w:t>
      </w:r>
      <w:r>
        <w:rPr>
          <w:spacing w:val="-3"/>
        </w:rPr>
        <w:t>A.</w:t>
      </w:r>
      <w:r>
        <w:rPr>
          <w:spacing w:val="-10"/>
        </w:rPr>
        <w:t> </w:t>
      </w:r>
      <w:r>
        <w:rPr/>
        <w:t>E.</w:t>
      </w:r>
      <w:r>
        <w:rPr>
          <w:spacing w:val="-14"/>
        </w:rPr>
        <w:t> </w:t>
      </w:r>
      <w:r>
        <w:rPr/>
        <w:t>Ellis. 2007. Infectious pancreatic necrosis virus suppresses type I interferon signalling </w:t>
      </w:r>
      <w:r>
        <w:rPr>
          <w:spacing w:val="-3"/>
        </w:rPr>
        <w:t>in </w:t>
      </w:r>
      <w:r>
        <w:rPr/>
        <w:t>rainbow trout gonad cell line but not </w:t>
      </w:r>
      <w:r>
        <w:rPr>
          <w:spacing w:val="-5"/>
        </w:rPr>
        <w:t>in </w:t>
      </w:r>
      <w:r>
        <w:rPr/>
        <w:t>Atlantic salmon macrophages. Fish &amp;  Shellfish  Immunology 22:</w:t>
      </w:r>
      <w:r>
        <w:rPr>
          <w:spacing w:val="-7"/>
        </w:rPr>
        <w:t> </w:t>
      </w:r>
      <w:r>
        <w:rPr/>
        <w:t>44-56.</w:t>
      </w:r>
    </w:p>
    <w:p>
      <w:pPr>
        <w:pStyle w:val="BodyText"/>
        <w:spacing w:line="360" w:lineRule="auto" w:before="4"/>
        <w:ind w:left="152" w:right="109" w:firstLine="705"/>
        <w:jc w:val="both"/>
      </w:pPr>
      <w:r>
        <w:rPr/>
        <w:t>Collet,</w:t>
      </w:r>
      <w:r>
        <w:rPr>
          <w:spacing w:val="-14"/>
        </w:rPr>
        <w:t> </w:t>
      </w:r>
      <w:r>
        <w:rPr/>
        <w:t>B.,</w:t>
      </w:r>
      <w:r>
        <w:rPr>
          <w:spacing w:val="-14"/>
        </w:rPr>
        <w:t> </w:t>
      </w:r>
      <w:r>
        <w:rPr>
          <w:spacing w:val="-3"/>
        </w:rPr>
        <w:t>G.</w:t>
      </w:r>
      <w:r>
        <w:rPr>
          <w:spacing w:val="-14"/>
        </w:rPr>
        <w:t> </w:t>
      </w:r>
      <w:r>
        <w:rPr/>
        <w:t>Ganne,</w:t>
      </w:r>
      <w:r>
        <w:rPr>
          <w:spacing w:val="-14"/>
        </w:rPr>
        <w:t> </w:t>
      </w:r>
      <w:r>
        <w:rPr/>
        <w:t>S.</w:t>
      </w:r>
      <w:r>
        <w:rPr>
          <w:spacing w:val="-14"/>
        </w:rPr>
        <w:t> </w:t>
      </w:r>
      <w:r>
        <w:rPr/>
        <w:t>Bird,</w:t>
      </w:r>
      <w:r>
        <w:rPr>
          <w:spacing w:val="-14"/>
        </w:rPr>
        <w:t> </w:t>
      </w:r>
      <w:r>
        <w:rPr/>
        <w:t>and</w:t>
      </w:r>
      <w:r>
        <w:rPr>
          <w:spacing w:val="-16"/>
        </w:rPr>
        <w:t> </w:t>
      </w:r>
      <w:r>
        <w:rPr/>
        <w:t>C.M.</w:t>
      </w:r>
      <w:r>
        <w:rPr>
          <w:spacing w:val="-14"/>
        </w:rPr>
        <w:t> </w:t>
      </w:r>
      <w:r>
        <w:rPr/>
        <w:t>Collins.</w:t>
      </w:r>
      <w:r>
        <w:rPr>
          <w:spacing w:val="-14"/>
        </w:rPr>
        <w:t> </w:t>
      </w:r>
      <w:r>
        <w:rPr/>
        <w:t>2009.</w:t>
      </w:r>
      <w:r>
        <w:rPr>
          <w:spacing w:val="-14"/>
        </w:rPr>
        <w:t> </w:t>
      </w:r>
      <w:r>
        <w:rPr/>
        <w:t>Isolation</w:t>
      </w:r>
      <w:r>
        <w:rPr>
          <w:spacing w:val="-20"/>
        </w:rPr>
        <w:t> </w:t>
      </w:r>
      <w:r>
        <w:rPr/>
        <w:t>and</w:t>
      </w:r>
      <w:r>
        <w:rPr>
          <w:spacing w:val="-16"/>
        </w:rPr>
        <w:t> </w:t>
      </w:r>
      <w:r>
        <w:rPr/>
        <w:t>expression</w:t>
      </w:r>
      <w:r>
        <w:rPr>
          <w:spacing w:val="-11"/>
        </w:rPr>
        <w:t> </w:t>
      </w:r>
      <w:r>
        <w:rPr/>
        <w:t>profile of a gene encoding for the Signal Transducer and Activator of Transcription STAT2 </w:t>
      </w:r>
      <w:r>
        <w:rPr>
          <w:spacing w:val="-3"/>
        </w:rPr>
        <w:t>in </w:t>
      </w:r>
      <w:r>
        <w:rPr/>
        <w:t>Atlantic salmon (</w:t>
      </w:r>
      <w:r>
        <w:rPr>
          <w:i/>
        </w:rPr>
        <w:t>Salmo salar</w:t>
      </w:r>
      <w:r>
        <w:rPr/>
        <w:t>). Developmental &amp; Comparative Immunology</w:t>
      </w:r>
      <w:r>
        <w:rPr>
          <w:spacing w:val="-30"/>
        </w:rPr>
        <w:t> </w:t>
      </w:r>
      <w:r>
        <w:rPr/>
        <w:t>33:821-829.</w:t>
      </w:r>
    </w:p>
    <w:p>
      <w:pPr>
        <w:pStyle w:val="BodyText"/>
      </w:pPr>
    </w:p>
    <w:p>
      <w:pPr>
        <w:pStyle w:val="BodyText"/>
        <w:spacing w:line="360" w:lineRule="auto" w:before="145"/>
        <w:ind w:left="152" w:right="112" w:firstLine="705"/>
        <w:jc w:val="both"/>
      </w:pPr>
      <w:r>
        <w:rPr/>
        <w:t>Da Costa, B.D., C. Chevalier, C. Henry, J.C. Huet, S. Petit, J. Lepault, and B. Delmas.2002. The Capsid of Infectious Bursal Disease Virus Contains Several Small Peptides Arising from the Maturation Process of pVP2. Journal of Virology 5: 2393-2402.</w:t>
      </w:r>
    </w:p>
    <w:p>
      <w:pPr>
        <w:pStyle w:val="BodyText"/>
        <w:spacing w:line="360" w:lineRule="auto" w:before="8"/>
        <w:ind w:left="152" w:right="112" w:firstLine="705"/>
        <w:jc w:val="both"/>
      </w:pPr>
      <w:r>
        <w:rPr/>
        <w:t>Darnell, J.E., I.M. Kerr, and G.R. Stark. 1994. Jak-STAT pathways and transcriptional activation in response to IFNs and other extracellular proteins. Science 264: 1415-1420.</w:t>
      </w:r>
    </w:p>
    <w:p>
      <w:pPr>
        <w:pStyle w:val="BodyText"/>
        <w:spacing w:line="360" w:lineRule="auto" w:before="4"/>
        <w:ind w:left="152" w:right="105" w:firstLine="705"/>
        <w:jc w:val="both"/>
      </w:pPr>
      <w:r>
        <w:rPr/>
        <w:t>Decker, T., S. Stockinger, M. Karaghiosoff, M. Müller, and P. </w:t>
      </w:r>
      <w:r>
        <w:rPr>
          <w:spacing w:val="-3"/>
        </w:rPr>
        <w:t>Kovarik. </w:t>
      </w:r>
      <w:r>
        <w:rPr/>
        <w:t>2002. IFNs and</w:t>
      </w:r>
      <w:r>
        <w:rPr>
          <w:spacing w:val="-8"/>
        </w:rPr>
        <w:t> </w:t>
      </w:r>
      <w:r>
        <w:rPr/>
        <w:t>STATs</w:t>
      </w:r>
      <w:r>
        <w:rPr>
          <w:spacing w:val="-5"/>
        </w:rPr>
        <w:t> </w:t>
      </w:r>
      <w:r>
        <w:rPr>
          <w:spacing w:val="-3"/>
        </w:rPr>
        <w:t>in</w:t>
      </w:r>
      <w:r>
        <w:rPr>
          <w:spacing w:val="-8"/>
        </w:rPr>
        <w:t> </w:t>
      </w:r>
      <w:r>
        <w:rPr/>
        <w:t>innate</w:t>
      </w:r>
      <w:r>
        <w:rPr>
          <w:spacing w:val="-9"/>
        </w:rPr>
        <w:t> </w:t>
      </w:r>
      <w:r>
        <w:rPr/>
        <w:t>immunity</w:t>
      </w:r>
      <w:r>
        <w:rPr>
          <w:spacing w:val="-16"/>
        </w:rPr>
        <w:t> </w:t>
      </w:r>
      <w:r>
        <w:rPr>
          <w:spacing w:val="2"/>
        </w:rPr>
        <w:t>to</w:t>
      </w:r>
      <w:r>
        <w:rPr>
          <w:spacing w:val="-8"/>
        </w:rPr>
        <w:t> </w:t>
      </w:r>
      <w:r>
        <w:rPr/>
        <w:t>microorganisms.</w:t>
      </w:r>
      <w:r>
        <w:rPr>
          <w:spacing w:val="4"/>
        </w:rPr>
        <w:t> </w:t>
      </w:r>
      <w:r>
        <w:rPr/>
        <w:t>The</w:t>
      </w:r>
      <w:r>
        <w:rPr>
          <w:spacing w:val="-9"/>
        </w:rPr>
        <w:t> </w:t>
      </w:r>
      <w:r>
        <w:rPr/>
        <w:t>Journal</w:t>
      </w:r>
      <w:r>
        <w:rPr>
          <w:spacing w:val="-16"/>
        </w:rPr>
        <w:t> </w:t>
      </w:r>
      <w:r>
        <w:rPr/>
        <w:t>of</w:t>
      </w:r>
      <w:r>
        <w:rPr>
          <w:spacing w:val="-15"/>
        </w:rPr>
        <w:t> </w:t>
      </w:r>
      <w:r>
        <w:rPr/>
        <w:t>clinical</w:t>
      </w:r>
      <w:r>
        <w:rPr>
          <w:spacing w:val="-11"/>
        </w:rPr>
        <w:t> </w:t>
      </w:r>
      <w:r>
        <w:rPr/>
        <w:t>investigation</w:t>
      </w:r>
      <w:r>
        <w:rPr>
          <w:spacing w:val="-8"/>
        </w:rPr>
        <w:t> </w:t>
      </w:r>
      <w:r>
        <w:rPr/>
        <w:t>109: 1271-1277.</w:t>
      </w:r>
    </w:p>
    <w:p>
      <w:pPr>
        <w:pStyle w:val="BodyText"/>
      </w:pPr>
    </w:p>
    <w:p>
      <w:pPr>
        <w:pStyle w:val="BodyText"/>
        <w:spacing w:before="141"/>
        <w:ind w:left="858"/>
      </w:pPr>
      <w:r>
        <w:rPr/>
        <w:t>Dobos,  P.  1995.  The  molecular  biology  of  infectious  pancreatic  necrosis virus.</w:t>
      </w:r>
    </w:p>
    <w:p>
      <w:pPr>
        <w:pStyle w:val="BodyText"/>
        <w:spacing w:before="141"/>
        <w:ind w:left="152"/>
      </w:pPr>
      <w:r>
        <w:rPr/>
        <w:t>Annual Rev Fish Dis 5: 25-54.</w:t>
      </w:r>
    </w:p>
    <w:p>
      <w:pPr>
        <w:spacing w:after="0"/>
        <w:sectPr>
          <w:footerReference w:type="default" r:id="rId63"/>
          <w:pgSz w:w="12240" w:h="15840"/>
          <w:pgMar w:footer="1382" w:header="0" w:top="1500" w:bottom="1580" w:left="1720" w:right="1420"/>
          <w:pgNumType w:start="71"/>
        </w:sectPr>
      </w:pPr>
    </w:p>
    <w:p>
      <w:pPr>
        <w:pStyle w:val="BodyText"/>
        <w:spacing w:before="7"/>
        <w:rPr>
          <w:sz w:val="25"/>
        </w:rPr>
      </w:pPr>
    </w:p>
    <w:p>
      <w:pPr>
        <w:pStyle w:val="BodyText"/>
        <w:spacing w:line="360" w:lineRule="auto" w:before="70"/>
        <w:ind w:left="152" w:right="117" w:firstLine="705"/>
        <w:jc w:val="both"/>
      </w:pPr>
      <w:r>
        <w:rPr/>
        <w:t>Eaton, W. D. 1990. Anti-viral activity in four species of salmonids following exposure to poly inosinic: cytidylic acid. Diseases of Aquatic Organisms 9: 193-198.</w:t>
      </w:r>
    </w:p>
    <w:p>
      <w:pPr>
        <w:pStyle w:val="BodyText"/>
        <w:spacing w:line="360" w:lineRule="auto" w:before="4"/>
        <w:ind w:left="152" w:right="108" w:firstLine="705"/>
        <w:jc w:val="both"/>
      </w:pPr>
      <w:r>
        <w:rPr/>
        <w:t>Espinoza, J.C., A. Hjalmarsson, E. Everett, and J.C. Kuznar. 2000. Temporal and subcellular localization of infectious pancreatic necrosis virus structural proteins. Archives of virology 145: 739-748.</w:t>
      </w:r>
    </w:p>
    <w:p>
      <w:pPr>
        <w:pStyle w:val="BodyText"/>
        <w:spacing w:line="360" w:lineRule="auto" w:before="4"/>
        <w:ind w:left="152" w:right="113" w:firstLine="705"/>
        <w:jc w:val="both"/>
      </w:pPr>
      <w:r>
        <w:rPr/>
        <w:t>Espinoza, J., M. Cortés, J. Kuznar. 2005. Necrosis of infectious pancreatic necrosis virus (IPNV) infected cells rarely is preceded by apoptosis. Virus Res 109:133-138.</w:t>
      </w:r>
    </w:p>
    <w:p>
      <w:pPr>
        <w:pStyle w:val="BodyText"/>
        <w:spacing w:line="360" w:lineRule="auto" w:before="4"/>
        <w:ind w:left="152" w:right="106" w:firstLine="705"/>
        <w:jc w:val="both"/>
      </w:pPr>
      <w:r>
        <w:rPr/>
        <w:t>Galloux, M., S. Libersou, N. Morellet, S. Bouaziz, B. Da Costa, M. Ouldali, and B. Delmas. 2007. Infectious bursal disease virus, a non-enveloped virus, possesses a capsid- associated peptide that deforms and perforates biological membranes. Journal of Biological Chemistry 28: 20774-20784.</w:t>
      </w:r>
    </w:p>
    <w:p>
      <w:pPr>
        <w:pStyle w:val="BodyText"/>
        <w:spacing w:line="360" w:lineRule="auto" w:before="4"/>
        <w:ind w:left="152" w:right="103" w:firstLine="705"/>
        <w:jc w:val="both"/>
      </w:pPr>
      <w:r>
        <w:rPr/>
        <w:t>García, I., A. Galiana, A. Falcó, A. Estepa, and L. Perez. 2011. Characterization of an infectious pancreatic necrosis (IPN) virus carrier cell culture with resistance to superinfection with heterologous viruses. Veterinary Microbiology 149: 48-55.</w:t>
      </w:r>
    </w:p>
    <w:p>
      <w:pPr>
        <w:pStyle w:val="BodyText"/>
        <w:spacing w:line="360" w:lineRule="auto" w:before="4"/>
        <w:ind w:left="152" w:right="110" w:firstLine="705"/>
        <w:jc w:val="both"/>
      </w:pPr>
      <w:r>
        <w:rPr/>
        <w:t>Garcin, D., P. Latorre, and D. Kolakofsky. 1999. Sendai virus C proteins counteract the interferon-mediated induction of an antiviral state. Journal Virology 73: 6559-6565.</w:t>
      </w:r>
    </w:p>
    <w:p>
      <w:pPr>
        <w:pStyle w:val="BodyText"/>
      </w:pPr>
    </w:p>
    <w:p>
      <w:pPr>
        <w:pStyle w:val="BodyText"/>
        <w:spacing w:before="145"/>
        <w:ind w:left="858"/>
      </w:pPr>
      <w:r>
        <w:rPr/>
        <w:t>Gotoh, B., </w:t>
      </w:r>
      <w:r>
        <w:rPr>
          <w:spacing w:val="-3"/>
        </w:rPr>
        <w:t>K. </w:t>
      </w:r>
      <w:r>
        <w:rPr/>
        <w:t>Takeuchi, T. Komatsu, J. Yokoo, </w:t>
      </w:r>
      <w:r>
        <w:rPr>
          <w:spacing w:val="-3"/>
        </w:rPr>
        <w:t>Y. </w:t>
      </w:r>
      <w:r>
        <w:rPr/>
        <w:t>Kimura, </w:t>
      </w:r>
      <w:r>
        <w:rPr>
          <w:spacing w:val="-3"/>
        </w:rPr>
        <w:t>A. </w:t>
      </w:r>
      <w:r>
        <w:rPr/>
        <w:t>Kurotani, </w:t>
      </w:r>
      <w:r>
        <w:rPr>
          <w:spacing w:val="-3"/>
        </w:rPr>
        <w:t>A. </w:t>
      </w:r>
      <w:r>
        <w:rPr/>
        <w:t>Kato, and</w:t>
      </w:r>
    </w:p>
    <w:p>
      <w:pPr>
        <w:pStyle w:val="BodyText"/>
        <w:spacing w:line="360" w:lineRule="auto" w:before="137"/>
        <w:ind w:left="152"/>
      </w:pPr>
      <w:r>
        <w:rPr/>
        <w:t>Y. Nagai. 1999. Knockout of the Sendai virus C gene eliminates the viral ability to prevent the interferon-alpha/beta-mediated responses. FEBS Letter 459:205-210.</w:t>
      </w:r>
    </w:p>
    <w:p>
      <w:pPr>
        <w:pStyle w:val="BodyText"/>
      </w:pPr>
    </w:p>
    <w:p>
      <w:pPr>
        <w:pStyle w:val="BodyText"/>
        <w:spacing w:line="360" w:lineRule="auto" w:before="145"/>
        <w:ind w:left="152" w:right="100" w:firstLine="705"/>
        <w:jc w:val="both"/>
      </w:pPr>
      <w:r>
        <w:rPr/>
        <w:t>Granzow, H., F. Weiland, D. Fichtner, and P. J. Enzmann. 1997. Studies of the ultrastructure and morphogenesis of fish pathogenic viruses grown in cell culture. Journal Fish Disease 20:1-10.</w:t>
      </w:r>
    </w:p>
    <w:p>
      <w:pPr>
        <w:pStyle w:val="BodyText"/>
      </w:pPr>
    </w:p>
    <w:p>
      <w:pPr>
        <w:pStyle w:val="BodyText"/>
        <w:spacing w:line="360" w:lineRule="auto" w:before="145"/>
        <w:ind w:left="152" w:right="104" w:firstLine="705"/>
        <w:jc w:val="both"/>
      </w:pPr>
      <w:r>
        <w:rPr/>
        <w:t>Harcourt, B.H., A. Sanchez, and M.K. Offermann. 1999. Ebola virus selectively inhibits responses to interferons, but not to interleukin-1β, in endothelial cells. Journal Virology 73:3491-3496.</w:t>
      </w:r>
    </w:p>
    <w:p>
      <w:pPr>
        <w:spacing w:after="0" w:line="360" w:lineRule="auto"/>
        <w:jc w:val="both"/>
        <w:sectPr>
          <w:pgSz w:w="12240" w:h="15840"/>
          <w:pgMar w:header="0" w:footer="1382" w:top="1500" w:bottom="1580" w:left="1720" w:right="1420"/>
        </w:sectPr>
      </w:pPr>
    </w:p>
    <w:p>
      <w:pPr>
        <w:pStyle w:val="BodyText"/>
        <w:spacing w:before="7"/>
        <w:rPr>
          <w:sz w:val="25"/>
        </w:rPr>
      </w:pPr>
    </w:p>
    <w:p>
      <w:pPr>
        <w:pStyle w:val="BodyText"/>
        <w:spacing w:line="360" w:lineRule="auto" w:before="70"/>
        <w:ind w:left="152" w:right="109" w:firstLine="705"/>
        <w:jc w:val="both"/>
      </w:pPr>
      <w:r>
        <w:rPr/>
        <w:t>Hay,</w:t>
      </w:r>
      <w:r>
        <w:rPr>
          <w:spacing w:val="-9"/>
        </w:rPr>
        <w:t> </w:t>
      </w:r>
      <w:r>
        <w:rPr/>
        <w:t>S.,</w:t>
      </w:r>
      <w:r>
        <w:rPr>
          <w:spacing w:val="-9"/>
        </w:rPr>
        <w:t> </w:t>
      </w:r>
      <w:r>
        <w:rPr/>
        <w:t>and</w:t>
      </w:r>
      <w:r>
        <w:rPr>
          <w:spacing w:val="-10"/>
        </w:rPr>
        <w:t> </w:t>
      </w:r>
      <w:r>
        <w:rPr/>
        <w:t>G.</w:t>
      </w:r>
      <w:r>
        <w:rPr>
          <w:spacing w:val="-9"/>
        </w:rPr>
        <w:t> </w:t>
      </w:r>
      <w:r>
        <w:rPr/>
        <w:t>Kannourakis.</w:t>
      </w:r>
      <w:r>
        <w:rPr>
          <w:spacing w:val="-9"/>
        </w:rPr>
        <w:t> </w:t>
      </w:r>
      <w:r>
        <w:rPr/>
        <w:t>2002.</w:t>
      </w:r>
      <w:r>
        <w:rPr>
          <w:spacing w:val="-4"/>
        </w:rPr>
        <w:t> </w:t>
      </w:r>
      <w:r>
        <w:rPr/>
        <w:t>A</w:t>
      </w:r>
      <w:r>
        <w:rPr>
          <w:spacing w:val="-15"/>
        </w:rPr>
        <w:t> </w:t>
      </w:r>
      <w:r>
        <w:rPr/>
        <w:t>time</w:t>
      </w:r>
      <w:r>
        <w:rPr>
          <w:spacing w:val="-11"/>
        </w:rPr>
        <w:t> </w:t>
      </w:r>
      <w:r>
        <w:rPr/>
        <w:t>to</w:t>
      </w:r>
      <w:r>
        <w:rPr>
          <w:spacing w:val="-6"/>
        </w:rPr>
        <w:t> </w:t>
      </w:r>
      <w:r>
        <w:rPr/>
        <w:t>kill:</w:t>
      </w:r>
      <w:r>
        <w:rPr>
          <w:spacing w:val="-10"/>
        </w:rPr>
        <w:t> </w:t>
      </w:r>
      <w:r>
        <w:rPr/>
        <w:t>viral</w:t>
      </w:r>
      <w:r>
        <w:rPr>
          <w:spacing w:val="-14"/>
        </w:rPr>
        <w:t> </w:t>
      </w:r>
      <w:r>
        <w:rPr/>
        <w:t>manipulation</w:t>
      </w:r>
      <w:r>
        <w:rPr>
          <w:spacing w:val="-14"/>
        </w:rPr>
        <w:t> </w:t>
      </w:r>
      <w:r>
        <w:rPr/>
        <w:t>of</w:t>
      </w:r>
      <w:r>
        <w:rPr>
          <w:spacing w:val="-18"/>
        </w:rPr>
        <w:t> </w:t>
      </w:r>
      <w:r>
        <w:rPr/>
        <w:t>the</w:t>
      </w:r>
      <w:r>
        <w:rPr>
          <w:spacing w:val="-11"/>
        </w:rPr>
        <w:t> </w:t>
      </w:r>
      <w:r>
        <w:rPr/>
        <w:t>cell</w:t>
      </w:r>
      <w:r>
        <w:rPr>
          <w:spacing w:val="-13"/>
        </w:rPr>
        <w:t> </w:t>
      </w:r>
      <w:r>
        <w:rPr/>
        <w:t>death program. Journal </w:t>
      </w:r>
      <w:r>
        <w:rPr>
          <w:spacing w:val="4"/>
        </w:rPr>
        <w:t>of </w:t>
      </w:r>
      <w:r>
        <w:rPr/>
        <w:t>General Virology 83:</w:t>
      </w:r>
      <w:r>
        <w:rPr>
          <w:spacing w:val="-25"/>
        </w:rPr>
        <w:t> </w:t>
      </w:r>
      <w:r>
        <w:rPr/>
        <w:t>1547-1564.</w:t>
      </w:r>
    </w:p>
    <w:p>
      <w:pPr>
        <w:pStyle w:val="BodyText"/>
        <w:spacing w:line="360" w:lineRule="auto" w:before="4"/>
        <w:ind w:left="152" w:right="102" w:firstLine="705"/>
        <w:jc w:val="both"/>
      </w:pPr>
      <w:r>
        <w:rPr/>
        <w:t>Heim, M. H., D. Moradpour, and H. E. Blum. 1999. Expression of hepatitis C virus proteins inhibits signal transduction through the Jak-STAT pathway. Journal Virology 73:8469-8475.</w:t>
      </w:r>
    </w:p>
    <w:p>
      <w:pPr>
        <w:pStyle w:val="BodyText"/>
      </w:pPr>
    </w:p>
    <w:p>
      <w:pPr>
        <w:pStyle w:val="BodyText"/>
        <w:spacing w:line="360" w:lineRule="auto" w:before="141"/>
        <w:ind w:left="152" w:right="113" w:firstLine="705"/>
        <w:jc w:val="both"/>
      </w:pPr>
      <w:r>
        <w:rPr/>
        <w:t>Hoeve, T.J., M. Ibarra-Sanchez, Y. Fu, </w:t>
      </w:r>
      <w:r>
        <w:rPr>
          <w:spacing w:val="-3"/>
        </w:rPr>
        <w:t>W. </w:t>
      </w:r>
      <w:r>
        <w:rPr/>
        <w:t>Tremblay, M. David, and </w:t>
      </w:r>
      <w:r>
        <w:rPr>
          <w:spacing w:val="-3"/>
        </w:rPr>
        <w:t>K. </w:t>
      </w:r>
      <w:r>
        <w:rPr/>
        <w:t>Shuai. 2002. Identification of a nuclear Stat1 protein tyrosine phosphatase. Molecular and cellular biology 22: 5662-5668.</w:t>
      </w:r>
    </w:p>
    <w:p>
      <w:pPr>
        <w:pStyle w:val="BodyText"/>
        <w:spacing w:line="360" w:lineRule="auto" w:before="4"/>
        <w:ind w:left="152" w:right="113" w:firstLine="705"/>
        <w:jc w:val="both"/>
      </w:pPr>
      <w:r>
        <w:rPr/>
        <w:t>Hong,</w:t>
      </w:r>
      <w:r>
        <w:rPr>
          <w:spacing w:val="-1"/>
        </w:rPr>
        <w:t> </w:t>
      </w:r>
      <w:r>
        <w:rPr/>
        <w:t>J.,</w:t>
      </w:r>
      <w:r>
        <w:rPr>
          <w:spacing w:val="-6"/>
        </w:rPr>
        <w:t> </w:t>
      </w:r>
      <w:r>
        <w:rPr/>
        <w:t>Y.</w:t>
      </w:r>
      <w:r>
        <w:rPr>
          <w:spacing w:val="-6"/>
        </w:rPr>
        <w:t> </w:t>
      </w:r>
      <w:r>
        <w:rPr/>
        <w:t>Hsu,</w:t>
      </w:r>
      <w:r>
        <w:rPr>
          <w:spacing w:val="-6"/>
        </w:rPr>
        <w:t> </w:t>
      </w:r>
      <w:r>
        <w:rPr/>
        <w:t>J.</w:t>
      </w:r>
      <w:r>
        <w:rPr>
          <w:spacing w:val="-6"/>
        </w:rPr>
        <w:t> </w:t>
      </w:r>
      <w:r>
        <w:rPr/>
        <w:t>Wu.</w:t>
      </w:r>
      <w:r>
        <w:rPr>
          <w:spacing w:val="-6"/>
        </w:rPr>
        <w:t> </w:t>
      </w:r>
      <w:r>
        <w:rPr/>
        <w:t>1999.</w:t>
      </w:r>
      <w:r>
        <w:rPr>
          <w:spacing w:val="-9"/>
        </w:rPr>
        <w:t> </w:t>
      </w:r>
      <w:r>
        <w:rPr/>
        <w:t>Infectious</w:t>
      </w:r>
      <w:r>
        <w:rPr>
          <w:spacing w:val="-5"/>
        </w:rPr>
        <w:t> </w:t>
      </w:r>
      <w:r>
        <w:rPr/>
        <w:t>pancreatic</w:t>
      </w:r>
      <w:r>
        <w:rPr>
          <w:spacing w:val="-4"/>
        </w:rPr>
        <w:t> </w:t>
      </w:r>
      <w:r>
        <w:rPr/>
        <w:t>necrosis</w:t>
      </w:r>
      <w:r>
        <w:rPr>
          <w:spacing w:val="-5"/>
        </w:rPr>
        <w:t> </w:t>
      </w:r>
      <w:r>
        <w:rPr/>
        <w:t>virus</w:t>
      </w:r>
      <w:r>
        <w:rPr>
          <w:spacing w:val="-1"/>
        </w:rPr>
        <w:t> </w:t>
      </w:r>
      <w:r>
        <w:rPr/>
        <w:t>induces</w:t>
      </w:r>
      <w:r>
        <w:rPr>
          <w:spacing w:val="-5"/>
        </w:rPr>
        <w:t> </w:t>
      </w:r>
      <w:r>
        <w:rPr/>
        <w:t>apoptosis due to down-regulation of survival factor MCL-1 protein expression </w:t>
      </w:r>
      <w:r>
        <w:rPr>
          <w:spacing w:val="-3"/>
        </w:rPr>
        <w:t>in </w:t>
      </w:r>
      <w:r>
        <w:rPr/>
        <w:t>a fish</w:t>
      </w:r>
      <w:r>
        <w:rPr>
          <w:spacing w:val="-42"/>
        </w:rPr>
        <w:t> </w:t>
      </w:r>
      <w:r>
        <w:rPr/>
        <w:t>cell </w:t>
      </w:r>
      <w:r>
        <w:rPr>
          <w:spacing w:val="-3"/>
        </w:rPr>
        <w:t>line. </w:t>
      </w:r>
      <w:r>
        <w:rPr/>
        <w:t>Virus Res</w:t>
      </w:r>
      <w:r>
        <w:rPr>
          <w:spacing w:val="-3"/>
        </w:rPr>
        <w:t> </w:t>
      </w:r>
      <w:r>
        <w:rPr/>
        <w:t>63:75-83.</w:t>
      </w:r>
    </w:p>
    <w:p>
      <w:pPr>
        <w:pStyle w:val="BodyText"/>
        <w:spacing w:line="360" w:lineRule="auto" w:before="8"/>
        <w:ind w:left="152" w:right="104" w:firstLine="705"/>
        <w:jc w:val="both"/>
      </w:pPr>
      <w:r>
        <w:rPr/>
        <w:t>Horvath, C.M. 2004. Weapons of STAT destruction. European Journal of Biochemistry 271: 4621-4628.</w:t>
      </w:r>
    </w:p>
    <w:p>
      <w:pPr>
        <w:pStyle w:val="BodyText"/>
        <w:spacing w:line="360" w:lineRule="auto" w:before="4"/>
        <w:ind w:left="152" w:right="104" w:firstLine="705"/>
        <w:jc w:val="both"/>
      </w:pPr>
      <w:r>
        <w:rPr/>
        <w:t>Jensen, I., and B. Robertsen. 2002. Effect of double-stranded RNA and interferon on the antiviral activity of Atlantic salmon cells against infectious salmon anemia virus and infectious pancreatic necrosis virus. Fish &amp; shellfish immunology 13: 221-241.</w:t>
      </w:r>
    </w:p>
    <w:p>
      <w:pPr>
        <w:pStyle w:val="BodyText"/>
        <w:spacing w:line="360" w:lineRule="auto" w:before="4"/>
        <w:ind w:left="152" w:right="101" w:firstLine="705"/>
        <w:jc w:val="both"/>
      </w:pPr>
      <w:r>
        <w:rPr/>
        <w:t>Jørgensen,</w:t>
      </w:r>
      <w:r>
        <w:rPr>
          <w:spacing w:val="-11"/>
        </w:rPr>
        <w:t> </w:t>
      </w:r>
      <w:r>
        <w:rPr/>
        <w:t>J.</w:t>
      </w:r>
      <w:r>
        <w:rPr>
          <w:spacing w:val="-11"/>
        </w:rPr>
        <w:t> </w:t>
      </w:r>
      <w:r>
        <w:rPr/>
        <w:t>B.,</w:t>
      </w:r>
      <w:r>
        <w:rPr>
          <w:spacing w:val="-14"/>
        </w:rPr>
        <w:t> </w:t>
      </w:r>
      <w:r>
        <w:rPr>
          <w:spacing w:val="-3"/>
        </w:rPr>
        <w:t>A.</w:t>
      </w:r>
      <w:r>
        <w:rPr>
          <w:spacing w:val="-11"/>
        </w:rPr>
        <w:t> </w:t>
      </w:r>
      <w:r>
        <w:rPr/>
        <w:t>Johansen,</w:t>
      </w:r>
      <w:r>
        <w:rPr>
          <w:spacing w:val="-11"/>
        </w:rPr>
        <w:t> </w:t>
      </w:r>
      <w:r>
        <w:rPr/>
        <w:t>M.N.</w:t>
      </w:r>
      <w:r>
        <w:rPr>
          <w:spacing w:val="-11"/>
        </w:rPr>
        <w:t> </w:t>
      </w:r>
      <w:r>
        <w:rPr/>
        <w:t>Hegseth,</w:t>
      </w:r>
      <w:r>
        <w:rPr>
          <w:spacing w:val="-11"/>
        </w:rPr>
        <w:t> </w:t>
      </w:r>
      <w:r>
        <w:rPr/>
        <w:t>J.</w:t>
      </w:r>
      <w:r>
        <w:rPr>
          <w:spacing w:val="-14"/>
        </w:rPr>
        <w:t> </w:t>
      </w:r>
      <w:r>
        <w:rPr/>
        <w:t>Zou,</w:t>
      </w:r>
      <w:r>
        <w:rPr>
          <w:spacing w:val="-11"/>
        </w:rPr>
        <w:t> </w:t>
      </w:r>
      <w:r>
        <w:rPr/>
        <w:t>B.</w:t>
      </w:r>
      <w:r>
        <w:rPr>
          <w:spacing w:val="-14"/>
        </w:rPr>
        <w:t> </w:t>
      </w:r>
      <w:r>
        <w:rPr/>
        <w:t>Robertsen,</w:t>
      </w:r>
      <w:r>
        <w:rPr>
          <w:spacing w:val="-11"/>
        </w:rPr>
        <w:t> </w:t>
      </w:r>
      <w:r>
        <w:rPr/>
        <w:t>B.</w:t>
      </w:r>
      <w:r>
        <w:rPr>
          <w:spacing w:val="-11"/>
        </w:rPr>
        <w:t> </w:t>
      </w:r>
      <w:r>
        <w:rPr/>
        <w:t>Collet,</w:t>
      </w:r>
      <w:r>
        <w:rPr>
          <w:spacing w:val="-11"/>
        </w:rPr>
        <w:t> </w:t>
      </w:r>
      <w:r>
        <w:rPr/>
        <w:t>and</w:t>
      </w:r>
      <w:r>
        <w:rPr>
          <w:spacing w:val="-13"/>
        </w:rPr>
        <w:t> </w:t>
      </w:r>
      <w:r>
        <w:rPr/>
        <w:t>C.J. Secombes. 2007. A recombinant CHSE-214 cell </w:t>
      </w:r>
      <w:r>
        <w:rPr>
          <w:spacing w:val="-3"/>
        </w:rPr>
        <w:t>line </w:t>
      </w:r>
      <w:r>
        <w:rPr/>
        <w:t>expressing an Mx1 promoter–reporter system responds to both interferon type I and type II from salmonids and represents a versatile</w:t>
      </w:r>
      <w:r>
        <w:rPr>
          <w:spacing w:val="-5"/>
        </w:rPr>
        <w:t> </w:t>
      </w:r>
      <w:r>
        <w:rPr>
          <w:spacing w:val="2"/>
        </w:rPr>
        <w:t>tool</w:t>
      </w:r>
      <w:r>
        <w:rPr>
          <w:spacing w:val="-13"/>
        </w:rPr>
        <w:t> </w:t>
      </w:r>
      <w:r>
        <w:rPr/>
        <w:t>to</w:t>
      </w:r>
      <w:r>
        <w:rPr>
          <w:spacing w:val="1"/>
        </w:rPr>
        <w:t> </w:t>
      </w:r>
      <w:r>
        <w:rPr/>
        <w:t>study</w:t>
      </w:r>
      <w:r>
        <w:rPr>
          <w:spacing w:val="-13"/>
        </w:rPr>
        <w:t> </w:t>
      </w:r>
      <w:r>
        <w:rPr/>
        <w:t>the</w:t>
      </w:r>
      <w:r>
        <w:rPr>
          <w:spacing w:val="-5"/>
        </w:rPr>
        <w:t> </w:t>
      </w:r>
      <w:r>
        <w:rPr/>
        <w:t>IFN-system</w:t>
      </w:r>
      <w:r>
        <w:rPr>
          <w:spacing w:val="-8"/>
        </w:rPr>
        <w:t> </w:t>
      </w:r>
      <w:r>
        <w:rPr>
          <w:spacing w:val="-3"/>
        </w:rPr>
        <w:t>in</w:t>
      </w:r>
      <w:r>
        <w:rPr>
          <w:spacing w:val="-9"/>
        </w:rPr>
        <w:t> </w:t>
      </w:r>
      <w:r>
        <w:rPr/>
        <w:t>teleost</w:t>
      </w:r>
      <w:r>
        <w:rPr>
          <w:spacing w:val="1"/>
        </w:rPr>
        <w:t> </w:t>
      </w:r>
      <w:r>
        <w:rPr>
          <w:spacing w:val="-3"/>
        </w:rPr>
        <w:t>fish.</w:t>
      </w:r>
      <w:r>
        <w:rPr>
          <w:spacing w:val="-2"/>
        </w:rPr>
        <w:t> </w:t>
      </w:r>
      <w:r>
        <w:rPr/>
        <w:t>Fish</w:t>
      </w:r>
      <w:r>
        <w:rPr>
          <w:spacing w:val="-4"/>
        </w:rPr>
        <w:t> </w:t>
      </w:r>
      <w:r>
        <w:rPr/>
        <w:t>&amp;</w:t>
      </w:r>
      <w:r>
        <w:rPr>
          <w:spacing w:val="-8"/>
        </w:rPr>
        <w:t> </w:t>
      </w:r>
      <w:r>
        <w:rPr/>
        <w:t>shellfish</w:t>
      </w:r>
      <w:r>
        <w:rPr>
          <w:spacing w:val="-4"/>
        </w:rPr>
        <w:t> </w:t>
      </w:r>
      <w:r>
        <w:rPr/>
        <w:t>immunology</w:t>
      </w:r>
      <w:r>
        <w:rPr>
          <w:spacing w:val="-13"/>
        </w:rPr>
        <w:t> </w:t>
      </w:r>
      <w:r>
        <w:rPr/>
        <w:t>23:</w:t>
      </w:r>
      <w:r>
        <w:rPr>
          <w:spacing w:val="-3"/>
        </w:rPr>
        <w:t> </w:t>
      </w:r>
      <w:r>
        <w:rPr/>
        <w:t>1294- 1303.</w:t>
      </w:r>
    </w:p>
    <w:p>
      <w:pPr>
        <w:pStyle w:val="BodyText"/>
      </w:pPr>
    </w:p>
    <w:p>
      <w:pPr>
        <w:pStyle w:val="BodyText"/>
        <w:spacing w:line="360" w:lineRule="auto" w:before="141"/>
        <w:ind w:left="152" w:right="101" w:firstLine="705"/>
        <w:jc w:val="both"/>
      </w:pPr>
      <w:r>
        <w:rPr/>
        <w:t>Kinkelin, P., and M. Dorson. 1973. Interferon production in rainbow trout (Salmo gairdneri) experimentally infected with Egtved virus. Journal of General Virology 19: 125- 127.</w:t>
      </w:r>
    </w:p>
    <w:p>
      <w:pPr>
        <w:pStyle w:val="BodyText"/>
        <w:spacing w:line="360" w:lineRule="auto" w:before="4"/>
        <w:ind w:left="152" w:right="111" w:firstLine="705"/>
        <w:jc w:val="both"/>
      </w:pPr>
      <w:r>
        <w:rPr/>
        <w:t>Komatsu, T., </w:t>
      </w:r>
      <w:r>
        <w:rPr>
          <w:spacing w:val="-3"/>
        </w:rPr>
        <w:t>K. </w:t>
      </w:r>
      <w:r>
        <w:rPr/>
        <w:t>Takeuchi, J. Yokoo, </w:t>
      </w:r>
      <w:r>
        <w:rPr>
          <w:spacing w:val="-3"/>
        </w:rPr>
        <w:t>Y. </w:t>
      </w:r>
      <w:r>
        <w:rPr/>
        <w:t>Tanaka, and B. Gotoh. 2000. Sendai virus blocks</w:t>
      </w:r>
      <w:r>
        <w:rPr>
          <w:spacing w:val="-13"/>
        </w:rPr>
        <w:t> </w:t>
      </w:r>
      <w:r>
        <w:rPr/>
        <w:t>alpha</w:t>
      </w:r>
      <w:r>
        <w:rPr>
          <w:spacing w:val="-7"/>
        </w:rPr>
        <w:t> </w:t>
      </w:r>
      <w:r>
        <w:rPr/>
        <w:t>interferon</w:t>
      </w:r>
      <w:r>
        <w:rPr>
          <w:spacing w:val="-15"/>
        </w:rPr>
        <w:t> </w:t>
      </w:r>
      <w:r>
        <w:rPr/>
        <w:t>signaling</w:t>
      </w:r>
      <w:r>
        <w:rPr>
          <w:spacing w:val="-11"/>
        </w:rPr>
        <w:t> </w:t>
      </w:r>
      <w:r>
        <w:rPr/>
        <w:t>to</w:t>
      </w:r>
      <w:r>
        <w:rPr>
          <w:spacing w:val="-10"/>
        </w:rPr>
        <w:t> </w:t>
      </w:r>
      <w:r>
        <w:rPr/>
        <w:t>signal</w:t>
      </w:r>
      <w:r>
        <w:rPr>
          <w:spacing w:val="-20"/>
        </w:rPr>
        <w:t> </w:t>
      </w:r>
      <w:r>
        <w:rPr/>
        <w:t>transducers</w:t>
      </w:r>
      <w:r>
        <w:rPr>
          <w:spacing w:val="-13"/>
        </w:rPr>
        <w:t> </w:t>
      </w:r>
      <w:r>
        <w:rPr/>
        <w:t>and</w:t>
      </w:r>
      <w:r>
        <w:rPr>
          <w:spacing w:val="-11"/>
        </w:rPr>
        <w:t> </w:t>
      </w:r>
      <w:r>
        <w:rPr/>
        <w:t>activators</w:t>
      </w:r>
      <w:r>
        <w:rPr>
          <w:spacing w:val="-18"/>
        </w:rPr>
        <w:t> </w:t>
      </w:r>
      <w:r>
        <w:rPr/>
        <w:t>of</w:t>
      </w:r>
      <w:r>
        <w:rPr>
          <w:spacing w:val="-19"/>
        </w:rPr>
        <w:t> </w:t>
      </w:r>
      <w:r>
        <w:rPr/>
        <w:t>transcription.</w:t>
      </w:r>
      <w:r>
        <w:rPr>
          <w:spacing w:val="-9"/>
        </w:rPr>
        <w:t> </w:t>
      </w:r>
      <w:r>
        <w:rPr/>
        <w:t>Journal Virology 74:</w:t>
      </w:r>
      <w:r>
        <w:rPr>
          <w:spacing w:val="-2"/>
        </w:rPr>
        <w:t> </w:t>
      </w:r>
      <w:r>
        <w:rPr/>
        <w:t>2477-2480.</w:t>
      </w:r>
    </w:p>
    <w:p>
      <w:pPr>
        <w:spacing w:after="0" w:line="360" w:lineRule="auto"/>
        <w:jc w:val="both"/>
        <w:sectPr>
          <w:pgSz w:w="12240" w:h="15840"/>
          <w:pgMar w:header="0" w:footer="1382" w:top="1500" w:bottom="1580" w:left="1720" w:right="1420"/>
        </w:sectPr>
      </w:pPr>
    </w:p>
    <w:p>
      <w:pPr>
        <w:pStyle w:val="BodyText"/>
        <w:spacing w:before="7"/>
        <w:rPr>
          <w:sz w:val="25"/>
        </w:rPr>
      </w:pPr>
    </w:p>
    <w:p>
      <w:pPr>
        <w:pStyle w:val="BodyText"/>
        <w:spacing w:before="70"/>
        <w:ind w:left="858"/>
      </w:pPr>
      <w:r>
        <w:rPr/>
        <w:t>Kotenko, S.V., G. Gallagher, V.V. Baurin, A. Lewis-Antes, M. Shen, N.K. Shah, and</w:t>
      </w:r>
    </w:p>
    <w:p>
      <w:pPr>
        <w:pStyle w:val="BodyText"/>
        <w:spacing w:line="360" w:lineRule="auto" w:before="137"/>
        <w:ind w:left="152"/>
      </w:pPr>
      <w:r>
        <w:rPr/>
        <w:t>R.P. Donnelly. 2003. IFN-λs mediate antiviral protection through a distinct class II cytokine receptor complex. Nature immunology 4: 69-77.</w:t>
      </w:r>
    </w:p>
    <w:p>
      <w:pPr>
        <w:pStyle w:val="BodyText"/>
      </w:pPr>
    </w:p>
    <w:p>
      <w:pPr>
        <w:pStyle w:val="BodyText"/>
        <w:spacing w:line="360" w:lineRule="auto" w:before="145"/>
        <w:ind w:left="152" w:right="101" w:firstLine="1493"/>
        <w:jc w:val="both"/>
      </w:pPr>
      <w:r>
        <w:rPr/>
        <w:t>Kuznar, J. M., G Farias, and J.C Espinoza. 1995. Attachment and entry of infectious pancreatic necrosis virus (IPNV) into CHSE-214 cells. Arch Virol 140: 1833- 1840.</w:t>
      </w:r>
    </w:p>
    <w:p>
      <w:pPr>
        <w:pStyle w:val="BodyText"/>
        <w:spacing w:line="362" w:lineRule="auto" w:before="4"/>
        <w:ind w:left="152" w:right="102" w:firstLine="705"/>
        <w:jc w:val="right"/>
      </w:pPr>
      <w:r>
        <w:rPr/>
        <w:t>Larsen, R., T.P. Røkenes, &amp; B. Robertsen. 2004. Inhibition </w:t>
      </w:r>
      <w:r>
        <w:rPr>
          <w:spacing w:val="4"/>
        </w:rPr>
        <w:t>of</w:t>
      </w:r>
      <w:r>
        <w:rPr>
          <w:spacing w:val="28"/>
        </w:rPr>
        <w:t> </w:t>
      </w:r>
      <w:r>
        <w:rPr/>
        <w:t>infectious pancreatic necrosis</w:t>
      </w:r>
      <w:r>
        <w:rPr>
          <w:spacing w:val="-13"/>
        </w:rPr>
        <w:t> </w:t>
      </w:r>
      <w:r>
        <w:rPr/>
        <w:t>virus</w:t>
      </w:r>
      <w:r>
        <w:rPr>
          <w:spacing w:val="-13"/>
        </w:rPr>
        <w:t> </w:t>
      </w:r>
      <w:r>
        <w:rPr/>
        <w:t>replication</w:t>
      </w:r>
      <w:r>
        <w:rPr>
          <w:spacing w:val="-15"/>
        </w:rPr>
        <w:t> </w:t>
      </w:r>
      <w:r>
        <w:rPr/>
        <w:t>by</w:t>
      </w:r>
      <w:r>
        <w:rPr>
          <w:spacing w:val="-15"/>
        </w:rPr>
        <w:t> </w:t>
      </w:r>
      <w:r>
        <w:rPr/>
        <w:t>Atlantic</w:t>
      </w:r>
      <w:r>
        <w:rPr>
          <w:spacing w:val="-12"/>
        </w:rPr>
        <w:t> </w:t>
      </w:r>
      <w:r>
        <w:rPr/>
        <w:t>salmon</w:t>
      </w:r>
      <w:r>
        <w:rPr>
          <w:spacing w:val="-15"/>
        </w:rPr>
        <w:t> </w:t>
      </w:r>
      <w:r>
        <w:rPr>
          <w:spacing w:val="-3"/>
        </w:rPr>
        <w:t>Mx1</w:t>
      </w:r>
      <w:r>
        <w:rPr>
          <w:spacing w:val="-6"/>
        </w:rPr>
        <w:t> </w:t>
      </w:r>
      <w:r>
        <w:rPr/>
        <w:t>protein.</w:t>
      </w:r>
      <w:r>
        <w:rPr>
          <w:spacing w:val="-9"/>
        </w:rPr>
        <w:t> </w:t>
      </w:r>
      <w:r>
        <w:rPr/>
        <w:t>Journal</w:t>
      </w:r>
      <w:r>
        <w:rPr>
          <w:spacing w:val="-13"/>
        </w:rPr>
        <w:t> </w:t>
      </w:r>
      <w:r>
        <w:rPr/>
        <w:t>of</w:t>
      </w:r>
      <w:r>
        <w:rPr>
          <w:spacing w:val="-19"/>
        </w:rPr>
        <w:t> </w:t>
      </w:r>
      <w:r>
        <w:rPr/>
        <w:t>Virology</w:t>
      </w:r>
      <w:r>
        <w:rPr>
          <w:spacing w:val="-20"/>
        </w:rPr>
        <w:t> </w:t>
      </w:r>
      <w:r>
        <w:rPr/>
        <w:t>7:</w:t>
      </w:r>
      <w:r>
        <w:rPr>
          <w:spacing w:val="-10"/>
        </w:rPr>
        <w:t> </w:t>
      </w:r>
      <w:r>
        <w:rPr/>
        <w:t>7938-7944.</w:t>
      </w:r>
    </w:p>
    <w:p>
      <w:pPr>
        <w:pStyle w:val="BodyText"/>
      </w:pPr>
    </w:p>
    <w:p>
      <w:pPr>
        <w:pStyle w:val="BodyText"/>
        <w:spacing w:line="360" w:lineRule="auto" w:before="138"/>
        <w:ind w:left="152" w:right="117" w:firstLine="705"/>
        <w:jc w:val="both"/>
      </w:pPr>
      <w:r>
        <w:rPr/>
        <w:t>Livak, </w:t>
      </w:r>
      <w:r>
        <w:rPr>
          <w:spacing w:val="-3"/>
        </w:rPr>
        <w:t>K. </w:t>
      </w:r>
      <w:r>
        <w:rPr/>
        <w:t>J., and T.D. Schmittgen. 2001. Analysis of Relative Gene Expression Data Using Real-Time Quantitative PCR and the 2−ΔΔCT Method. Methods 25: 402-408.</w:t>
      </w:r>
    </w:p>
    <w:p>
      <w:pPr>
        <w:pStyle w:val="BodyText"/>
      </w:pPr>
    </w:p>
    <w:p>
      <w:pPr>
        <w:pStyle w:val="BodyText"/>
        <w:spacing w:before="145"/>
        <w:ind w:right="111"/>
        <w:jc w:val="right"/>
      </w:pPr>
      <w:r>
        <w:rPr/>
        <w:t>Leu, J.H., S.J. Yan, T.F. Lee, C.M. Chou, S.T. Chen, P.P. Hwang,    C.K. Chou, and</w:t>
      </w:r>
    </w:p>
    <w:p>
      <w:pPr>
        <w:pStyle w:val="BodyText"/>
        <w:spacing w:line="360" w:lineRule="auto" w:before="137"/>
        <w:ind w:left="152" w:right="106"/>
        <w:jc w:val="both"/>
      </w:pPr>
      <w:r>
        <w:rPr/>
        <w:t>C.J. Huang. 2000. Complete genomic organization and promoter analysis of the round spotted pufferfish JAK1, JAK2, JAK3, and TYK2 genes. DNA and Cell Biology 19:431- 446.</w:t>
      </w:r>
    </w:p>
    <w:p>
      <w:pPr>
        <w:pStyle w:val="BodyText"/>
      </w:pPr>
    </w:p>
    <w:p>
      <w:pPr>
        <w:pStyle w:val="BodyText"/>
        <w:spacing w:line="360" w:lineRule="auto" w:before="141"/>
        <w:ind w:left="152" w:right="111" w:firstLine="705"/>
        <w:jc w:val="both"/>
      </w:pPr>
      <w:r>
        <w:rPr>
          <w:spacing w:val="-3"/>
        </w:rPr>
        <w:t>Lin,</w:t>
      </w:r>
      <w:r>
        <w:rPr>
          <w:spacing w:val="-13"/>
        </w:rPr>
        <w:t> </w:t>
      </w:r>
      <w:r>
        <w:rPr/>
        <w:t>R.J.,</w:t>
      </w:r>
      <w:r>
        <w:rPr>
          <w:spacing w:val="-13"/>
        </w:rPr>
        <w:t> </w:t>
      </w:r>
      <w:r>
        <w:rPr/>
        <w:t>B.L.</w:t>
      </w:r>
      <w:r>
        <w:rPr>
          <w:spacing w:val="-13"/>
        </w:rPr>
        <w:t> </w:t>
      </w:r>
      <w:r>
        <w:rPr/>
        <w:t>Chang,</w:t>
      </w:r>
      <w:r>
        <w:rPr>
          <w:spacing w:val="-13"/>
        </w:rPr>
        <w:t> </w:t>
      </w:r>
      <w:r>
        <w:rPr/>
        <w:t>H.P.</w:t>
      </w:r>
      <w:r>
        <w:rPr>
          <w:spacing w:val="-13"/>
        </w:rPr>
        <w:t> </w:t>
      </w:r>
      <w:r>
        <w:rPr/>
        <w:t>Yu,</w:t>
      </w:r>
      <w:r>
        <w:rPr>
          <w:spacing w:val="-18"/>
        </w:rPr>
        <w:t> </w:t>
      </w:r>
      <w:r>
        <w:rPr/>
        <w:t>C.L.</w:t>
      </w:r>
      <w:r>
        <w:rPr>
          <w:spacing w:val="-13"/>
        </w:rPr>
        <w:t> </w:t>
      </w:r>
      <w:r>
        <w:rPr/>
        <w:t>Liao,</w:t>
      </w:r>
      <w:r>
        <w:rPr>
          <w:spacing w:val="-13"/>
        </w:rPr>
        <w:t> </w:t>
      </w:r>
      <w:r>
        <w:rPr/>
        <w:t>and</w:t>
      </w:r>
      <w:r>
        <w:rPr>
          <w:spacing w:val="-15"/>
        </w:rPr>
        <w:t> </w:t>
      </w:r>
      <w:r>
        <w:rPr/>
        <w:t>Y.L.</w:t>
      </w:r>
      <w:r>
        <w:rPr>
          <w:spacing w:val="-18"/>
        </w:rPr>
        <w:t> </w:t>
      </w:r>
      <w:r>
        <w:rPr>
          <w:spacing w:val="-3"/>
        </w:rPr>
        <w:t>Lin.</w:t>
      </w:r>
      <w:r>
        <w:rPr>
          <w:spacing w:val="-13"/>
        </w:rPr>
        <w:t> </w:t>
      </w:r>
      <w:r>
        <w:rPr/>
        <w:t>2006.</w:t>
      </w:r>
      <w:r>
        <w:rPr>
          <w:spacing w:val="-13"/>
        </w:rPr>
        <w:t> </w:t>
      </w:r>
      <w:r>
        <w:rPr/>
        <w:t>Blocking</w:t>
      </w:r>
      <w:r>
        <w:rPr>
          <w:spacing w:val="-8"/>
        </w:rPr>
        <w:t> </w:t>
      </w:r>
      <w:r>
        <w:rPr>
          <w:spacing w:val="4"/>
        </w:rPr>
        <w:t>of</w:t>
      </w:r>
      <w:r>
        <w:rPr>
          <w:spacing w:val="-19"/>
        </w:rPr>
        <w:t> </w:t>
      </w:r>
      <w:r>
        <w:rPr/>
        <w:t>interferon- induced Jak-Stat signaling by Japanese encephalitis virus NS5 through a protein tyrosine phosphatase-mediated mechanism. Journal </w:t>
      </w:r>
      <w:r>
        <w:rPr>
          <w:spacing w:val="4"/>
        </w:rPr>
        <w:t>of </w:t>
      </w:r>
      <w:r>
        <w:rPr/>
        <w:t>virology 80:</w:t>
      </w:r>
      <w:r>
        <w:rPr>
          <w:spacing w:val="-28"/>
        </w:rPr>
        <w:t> </w:t>
      </w:r>
      <w:r>
        <w:rPr/>
        <w:t>5908-5918.</w:t>
      </w:r>
    </w:p>
    <w:p>
      <w:pPr>
        <w:pStyle w:val="BodyText"/>
      </w:pPr>
    </w:p>
    <w:p>
      <w:pPr>
        <w:pStyle w:val="BodyText"/>
        <w:spacing w:line="360" w:lineRule="auto" w:before="141"/>
        <w:ind w:left="152" w:right="111" w:firstLine="705"/>
        <w:jc w:val="both"/>
      </w:pPr>
      <w:r>
        <w:rPr/>
        <w:t>Liu, W. J., X.J. Wang,V.V. Mokhonov, P.Y. Shi, R. Randall, and A.A. Khromykh. 2005. Inhibition of interferon signaling by the New York 99 strain and Kunjin subtype of West Nile virus involves blockage of STAT1 and STAT2 activation by nonstructural proteins. Journal of virology 79: 1934-1942.</w:t>
      </w:r>
    </w:p>
    <w:p>
      <w:pPr>
        <w:pStyle w:val="BodyText"/>
        <w:spacing w:line="360" w:lineRule="auto" w:before="4"/>
        <w:ind w:left="152" w:right="105" w:firstLine="705"/>
        <w:jc w:val="both"/>
      </w:pPr>
      <w:r>
        <w:rPr/>
        <w:t>McAllister, P.E., and J. Bebak. 1997. Infectious pancreatic necrosis virus </w:t>
      </w:r>
      <w:r>
        <w:rPr>
          <w:spacing w:val="-3"/>
        </w:rPr>
        <w:t>in </w:t>
      </w:r>
      <w:r>
        <w:rPr/>
        <w:t>the environment:</w:t>
      </w:r>
      <w:r>
        <w:rPr>
          <w:spacing w:val="-12"/>
        </w:rPr>
        <w:t> </w:t>
      </w:r>
      <w:r>
        <w:rPr/>
        <w:t>relationship</w:t>
      </w:r>
      <w:r>
        <w:rPr>
          <w:spacing w:val="-13"/>
        </w:rPr>
        <w:t> </w:t>
      </w:r>
      <w:r>
        <w:rPr/>
        <w:t>to</w:t>
      </w:r>
      <w:r>
        <w:rPr>
          <w:spacing w:val="-8"/>
        </w:rPr>
        <w:t> </w:t>
      </w:r>
      <w:r>
        <w:rPr/>
        <w:t>effluent</w:t>
      </w:r>
      <w:r>
        <w:rPr>
          <w:spacing w:val="-8"/>
        </w:rPr>
        <w:t> </w:t>
      </w:r>
      <w:r>
        <w:rPr/>
        <w:t>from</w:t>
      </w:r>
      <w:r>
        <w:rPr>
          <w:spacing w:val="-21"/>
        </w:rPr>
        <w:t> </w:t>
      </w:r>
      <w:r>
        <w:rPr/>
        <w:t>aquaculture</w:t>
      </w:r>
      <w:r>
        <w:rPr>
          <w:spacing w:val="-14"/>
        </w:rPr>
        <w:t> </w:t>
      </w:r>
      <w:r>
        <w:rPr/>
        <w:t>facilities.</w:t>
      </w:r>
      <w:r>
        <w:rPr>
          <w:spacing w:val="-4"/>
        </w:rPr>
        <w:t> </w:t>
      </w:r>
      <w:r>
        <w:rPr/>
        <w:t>Journal</w:t>
      </w:r>
      <w:r>
        <w:rPr>
          <w:spacing w:val="-21"/>
        </w:rPr>
        <w:t> </w:t>
      </w:r>
      <w:r>
        <w:rPr>
          <w:spacing w:val="4"/>
        </w:rPr>
        <w:t>of</w:t>
      </w:r>
      <w:r>
        <w:rPr>
          <w:spacing w:val="-20"/>
        </w:rPr>
        <w:t> </w:t>
      </w:r>
      <w:r>
        <w:rPr/>
        <w:t>Fish</w:t>
      </w:r>
      <w:r>
        <w:rPr>
          <w:spacing w:val="-17"/>
        </w:rPr>
        <w:t> </w:t>
      </w:r>
      <w:r>
        <w:rPr/>
        <w:t>Diseases</w:t>
      </w:r>
      <w:r>
        <w:rPr>
          <w:spacing w:val="-12"/>
        </w:rPr>
        <w:t> </w:t>
      </w:r>
      <w:r>
        <w:rPr/>
        <w:t>20: 201-207.</w:t>
      </w:r>
    </w:p>
    <w:p>
      <w:pPr>
        <w:spacing w:after="0" w:line="360" w:lineRule="auto"/>
        <w:jc w:val="both"/>
        <w:sectPr>
          <w:pgSz w:w="12240" w:h="15840"/>
          <w:pgMar w:header="0" w:footer="1382" w:top="1500" w:bottom="1580" w:left="1720" w:right="1420"/>
        </w:sectPr>
      </w:pPr>
    </w:p>
    <w:p>
      <w:pPr>
        <w:pStyle w:val="BodyText"/>
        <w:spacing w:before="7"/>
        <w:rPr>
          <w:sz w:val="25"/>
        </w:rPr>
      </w:pPr>
    </w:p>
    <w:p>
      <w:pPr>
        <w:pStyle w:val="BodyText"/>
        <w:spacing w:line="360" w:lineRule="auto" w:before="70"/>
        <w:ind w:left="152" w:right="118" w:firstLine="705"/>
        <w:jc w:val="both"/>
      </w:pPr>
      <w:r>
        <w:rPr/>
        <w:t>OIE (World Organization for Animal Health). 2006. Manual of diagnostic test for aquatic animals. Paris, France.</w:t>
      </w:r>
    </w:p>
    <w:p>
      <w:pPr>
        <w:pStyle w:val="BodyText"/>
      </w:pPr>
    </w:p>
    <w:p>
      <w:pPr>
        <w:pStyle w:val="BodyText"/>
        <w:spacing w:line="360" w:lineRule="auto" w:before="145"/>
        <w:ind w:left="152" w:right="112" w:firstLine="705"/>
        <w:jc w:val="both"/>
      </w:pPr>
      <w:r>
        <w:rPr/>
        <w:t>Ortega, S.C., S.S. Rodríguez , J.C. Espinoza, J. Kuznar, J. Romero, and R. Enríquez. 2014. Relationship between apoptosis and the BH2 domain sequence of the VP5 peptide of infectious pancreatic necrosis virus. Revista MVZ Córdoba 19: 3990-4002.</w:t>
      </w:r>
    </w:p>
    <w:p>
      <w:pPr>
        <w:pStyle w:val="BodyText"/>
        <w:spacing w:line="360" w:lineRule="auto" w:before="4"/>
        <w:ind w:left="152" w:right="109" w:firstLine="705"/>
        <w:jc w:val="both"/>
      </w:pPr>
      <w:r>
        <w:rPr/>
        <w:t>Ortega, C., S. Rodríguez, A.I. de </w:t>
      </w:r>
      <w:r>
        <w:rPr>
          <w:spacing w:val="-3"/>
        </w:rPr>
        <w:t>las </w:t>
      </w:r>
      <w:r>
        <w:rPr/>
        <w:t>Heras, </w:t>
      </w:r>
      <w:r>
        <w:rPr>
          <w:spacing w:val="-3"/>
        </w:rPr>
        <w:t>A. </w:t>
      </w:r>
      <w:r>
        <w:rPr/>
        <w:t>I., </w:t>
      </w:r>
      <w:r>
        <w:rPr>
          <w:spacing w:val="-3"/>
        </w:rPr>
        <w:t>A. </w:t>
      </w:r>
      <w:r>
        <w:rPr/>
        <w:t>Romero, M. Monrás, and R. Enríquez. 2011. Evaluation of the level </w:t>
      </w:r>
      <w:r>
        <w:rPr>
          <w:spacing w:val="4"/>
        </w:rPr>
        <w:t>of </w:t>
      </w:r>
      <w:r>
        <w:rPr>
          <w:spacing w:val="-3"/>
        </w:rPr>
        <w:t>Mx3 </w:t>
      </w:r>
      <w:r>
        <w:rPr/>
        <w:t>protein synthesis induced by infectious pancreatic</w:t>
      </w:r>
      <w:r>
        <w:rPr>
          <w:spacing w:val="-3"/>
        </w:rPr>
        <w:t> </w:t>
      </w:r>
      <w:r>
        <w:rPr/>
        <w:t>necrosis</w:t>
      </w:r>
      <w:r>
        <w:rPr>
          <w:spacing w:val="-4"/>
        </w:rPr>
        <w:t> </w:t>
      </w:r>
      <w:r>
        <w:rPr/>
        <w:t>virus</w:t>
      </w:r>
      <w:r>
        <w:rPr>
          <w:spacing w:val="-9"/>
        </w:rPr>
        <w:t> </w:t>
      </w:r>
      <w:r>
        <w:rPr/>
        <w:t>(IPNV)</w:t>
      </w:r>
      <w:r>
        <w:rPr>
          <w:spacing w:val="-5"/>
        </w:rPr>
        <w:t> </w:t>
      </w:r>
      <w:r>
        <w:rPr/>
        <w:t>strains</w:t>
      </w:r>
      <w:r>
        <w:rPr>
          <w:spacing w:val="-9"/>
        </w:rPr>
        <w:t> </w:t>
      </w:r>
      <w:r>
        <w:rPr/>
        <w:t>of</w:t>
      </w:r>
      <w:r>
        <w:rPr>
          <w:spacing w:val="-15"/>
        </w:rPr>
        <w:t> </w:t>
      </w:r>
      <w:r>
        <w:rPr/>
        <w:t>different</w:t>
      </w:r>
      <w:r>
        <w:rPr>
          <w:spacing w:val="-2"/>
        </w:rPr>
        <w:t> </w:t>
      </w:r>
      <w:r>
        <w:rPr/>
        <w:t>infectivity.</w:t>
      </w:r>
      <w:r>
        <w:rPr>
          <w:spacing w:val="-5"/>
        </w:rPr>
        <w:t> </w:t>
      </w:r>
      <w:r>
        <w:rPr/>
        <w:t>Veterinary</w:t>
      </w:r>
      <w:r>
        <w:rPr>
          <w:spacing w:val="-12"/>
        </w:rPr>
        <w:t> </w:t>
      </w:r>
      <w:r>
        <w:rPr/>
        <w:t>immunology</w:t>
      </w:r>
      <w:r>
        <w:rPr>
          <w:spacing w:val="-5"/>
        </w:rPr>
        <w:t> </w:t>
      </w:r>
      <w:r>
        <w:rPr/>
        <w:t>and immunopathology 141:</w:t>
      </w:r>
      <w:r>
        <w:rPr>
          <w:spacing w:val="-5"/>
        </w:rPr>
        <w:t> </w:t>
      </w:r>
      <w:r>
        <w:rPr/>
        <w:t>190-200.</w:t>
      </w:r>
    </w:p>
    <w:p>
      <w:pPr>
        <w:pStyle w:val="BodyText"/>
        <w:spacing w:line="360" w:lineRule="auto" w:before="4"/>
        <w:ind w:left="152" w:right="110" w:firstLine="705"/>
        <w:jc w:val="both"/>
      </w:pPr>
      <w:r>
        <w:rPr/>
        <w:t>Platanias, L.C. 2005. Mechanisms of type-I-and type-II-interferon-mediated signalling. Nature Reviews Immunology 5: 375-386.</w:t>
      </w:r>
    </w:p>
    <w:p>
      <w:pPr>
        <w:pStyle w:val="BodyText"/>
      </w:pPr>
    </w:p>
    <w:p>
      <w:pPr>
        <w:pStyle w:val="BodyText"/>
        <w:spacing w:line="360" w:lineRule="auto" w:before="145"/>
        <w:ind w:left="152" w:right="111" w:firstLine="705"/>
        <w:jc w:val="both"/>
      </w:pPr>
      <w:r>
        <w:rPr/>
        <w:t>Randall,</w:t>
      </w:r>
      <w:r>
        <w:rPr>
          <w:spacing w:val="-10"/>
        </w:rPr>
        <w:t> </w:t>
      </w:r>
      <w:r>
        <w:rPr/>
        <w:t>R.E.,</w:t>
      </w:r>
      <w:r>
        <w:rPr>
          <w:spacing w:val="-10"/>
        </w:rPr>
        <w:t> </w:t>
      </w:r>
      <w:r>
        <w:rPr/>
        <w:t>and</w:t>
      </w:r>
      <w:r>
        <w:rPr>
          <w:spacing w:val="-12"/>
        </w:rPr>
        <w:t> </w:t>
      </w:r>
      <w:r>
        <w:rPr/>
        <w:t>S.</w:t>
      </w:r>
      <w:r>
        <w:rPr>
          <w:spacing w:val="-10"/>
        </w:rPr>
        <w:t> </w:t>
      </w:r>
      <w:r>
        <w:rPr/>
        <w:t>Goodbourn.</w:t>
      </w:r>
      <w:r>
        <w:rPr>
          <w:spacing w:val="-10"/>
        </w:rPr>
        <w:t> </w:t>
      </w:r>
      <w:r>
        <w:rPr/>
        <w:t>2008.</w:t>
      </w:r>
      <w:r>
        <w:rPr>
          <w:spacing w:val="-10"/>
        </w:rPr>
        <w:t> </w:t>
      </w:r>
      <w:r>
        <w:rPr/>
        <w:t>Interferons</w:t>
      </w:r>
      <w:r>
        <w:rPr>
          <w:spacing w:val="-9"/>
        </w:rPr>
        <w:t> </w:t>
      </w:r>
      <w:r>
        <w:rPr/>
        <w:t>and</w:t>
      </w:r>
      <w:r>
        <w:rPr>
          <w:spacing w:val="-8"/>
        </w:rPr>
        <w:t> </w:t>
      </w:r>
      <w:r>
        <w:rPr/>
        <w:t>viruses:</w:t>
      </w:r>
      <w:r>
        <w:rPr>
          <w:spacing w:val="-11"/>
        </w:rPr>
        <w:t> </w:t>
      </w:r>
      <w:r>
        <w:rPr/>
        <w:t>an</w:t>
      </w:r>
      <w:r>
        <w:rPr>
          <w:spacing w:val="-12"/>
        </w:rPr>
        <w:t> </w:t>
      </w:r>
      <w:r>
        <w:rPr/>
        <w:t>interplay</w:t>
      </w:r>
      <w:r>
        <w:rPr>
          <w:spacing w:val="-12"/>
        </w:rPr>
        <w:t> </w:t>
      </w:r>
      <w:r>
        <w:rPr/>
        <w:t>between induction, signalling, antiviral responses and virus countermeasures. Journal of General Virology 89:</w:t>
      </w:r>
      <w:r>
        <w:rPr>
          <w:spacing w:val="-2"/>
        </w:rPr>
        <w:t> </w:t>
      </w:r>
      <w:r>
        <w:rPr/>
        <w:t>1-47.</w:t>
      </w:r>
    </w:p>
    <w:p>
      <w:pPr>
        <w:pStyle w:val="BodyText"/>
      </w:pPr>
    </w:p>
    <w:p>
      <w:pPr>
        <w:pStyle w:val="BodyText"/>
        <w:spacing w:before="145"/>
        <w:ind w:left="858"/>
      </w:pPr>
      <w:r>
        <w:rPr/>
        <w:t>Reed, L. J., H. Muench. 1938. A simple method of estimating fifty percent endpoints.</w:t>
      </w:r>
    </w:p>
    <w:p>
      <w:pPr>
        <w:pStyle w:val="BodyText"/>
        <w:spacing w:before="137"/>
        <w:ind w:left="152"/>
      </w:pPr>
      <w:r>
        <w:rPr/>
        <w:t>American Journal of Epidemiology 27: 493-497.</w:t>
      </w:r>
    </w:p>
    <w:p>
      <w:pPr>
        <w:pStyle w:val="BodyText"/>
      </w:pPr>
    </w:p>
    <w:p>
      <w:pPr>
        <w:pStyle w:val="BodyText"/>
        <w:spacing w:before="2"/>
      </w:pPr>
    </w:p>
    <w:p>
      <w:pPr>
        <w:pStyle w:val="BodyText"/>
        <w:spacing w:line="360" w:lineRule="auto"/>
        <w:ind w:left="152" w:right="113" w:firstLine="705"/>
        <w:jc w:val="both"/>
      </w:pPr>
      <w:r>
        <w:rPr/>
        <w:t>Robertsen, B. 2006. The interferon system of teleost fish. Fish &amp; Shellfish Immunology 20: 172-191.</w:t>
      </w:r>
    </w:p>
    <w:p>
      <w:pPr>
        <w:pStyle w:val="BodyText"/>
      </w:pPr>
    </w:p>
    <w:p>
      <w:pPr>
        <w:pStyle w:val="BodyText"/>
        <w:spacing w:line="360" w:lineRule="auto" w:before="141"/>
        <w:ind w:left="152" w:right="117" w:firstLine="705"/>
        <w:jc w:val="both"/>
      </w:pPr>
      <w:r>
        <w:rPr/>
        <w:t>Robertsen,</w:t>
      </w:r>
      <w:r>
        <w:rPr>
          <w:spacing w:val="-15"/>
        </w:rPr>
        <w:t> </w:t>
      </w:r>
      <w:r>
        <w:rPr/>
        <w:t>B.,</w:t>
      </w:r>
      <w:r>
        <w:rPr>
          <w:spacing w:val="-15"/>
        </w:rPr>
        <w:t> </w:t>
      </w:r>
      <w:r>
        <w:rPr>
          <w:spacing w:val="-3"/>
        </w:rPr>
        <w:t>V.</w:t>
      </w:r>
      <w:r>
        <w:rPr>
          <w:spacing w:val="-15"/>
        </w:rPr>
        <w:t> </w:t>
      </w:r>
      <w:r>
        <w:rPr/>
        <w:t>Bergan,</w:t>
      </w:r>
      <w:r>
        <w:rPr>
          <w:spacing w:val="-15"/>
        </w:rPr>
        <w:t> </w:t>
      </w:r>
      <w:r>
        <w:rPr/>
        <w:t>T.</w:t>
      </w:r>
      <w:r>
        <w:rPr>
          <w:spacing w:val="-15"/>
        </w:rPr>
        <w:t> </w:t>
      </w:r>
      <w:r>
        <w:rPr/>
        <w:t>Røkenes,</w:t>
      </w:r>
      <w:r>
        <w:rPr>
          <w:spacing w:val="-15"/>
        </w:rPr>
        <w:t> </w:t>
      </w:r>
      <w:r>
        <w:rPr/>
        <w:t>R.</w:t>
      </w:r>
      <w:r>
        <w:rPr>
          <w:spacing w:val="28"/>
        </w:rPr>
        <w:t> </w:t>
      </w:r>
      <w:r>
        <w:rPr/>
        <w:t>Larsen,</w:t>
      </w:r>
      <w:r>
        <w:rPr>
          <w:spacing w:val="-15"/>
        </w:rPr>
        <w:t> </w:t>
      </w:r>
      <w:r>
        <w:rPr/>
        <w:t>and</w:t>
      </w:r>
      <w:r>
        <w:rPr>
          <w:spacing w:val="-14"/>
        </w:rPr>
        <w:t> </w:t>
      </w:r>
      <w:r>
        <w:rPr>
          <w:spacing w:val="-3"/>
        </w:rPr>
        <w:t>A.</w:t>
      </w:r>
      <w:r>
        <w:rPr>
          <w:spacing w:val="-15"/>
        </w:rPr>
        <w:t> </w:t>
      </w:r>
      <w:r>
        <w:rPr/>
        <w:t>Albuquerque.</w:t>
      </w:r>
      <w:r>
        <w:rPr>
          <w:spacing w:val="-15"/>
        </w:rPr>
        <w:t> </w:t>
      </w:r>
      <w:r>
        <w:rPr/>
        <w:t>2003.</w:t>
      </w:r>
      <w:r>
        <w:rPr>
          <w:spacing w:val="-15"/>
        </w:rPr>
        <w:t> </w:t>
      </w:r>
      <w:r>
        <w:rPr/>
        <w:t>Atlantic salmon interferon genes: cloning, sequence analysis, expression, and biological activity. Journal of Interferon &amp; Cytokine Research 23:</w:t>
      </w:r>
      <w:r>
        <w:rPr>
          <w:spacing w:val="-15"/>
        </w:rPr>
        <w:t> </w:t>
      </w:r>
      <w:r>
        <w:rPr/>
        <w:t>601-612.</w:t>
      </w:r>
    </w:p>
    <w:p>
      <w:pPr>
        <w:spacing w:after="0" w:line="360" w:lineRule="auto"/>
        <w:jc w:val="both"/>
        <w:sectPr>
          <w:pgSz w:w="12240" w:h="15840"/>
          <w:pgMar w:header="0" w:footer="1382" w:top="1500" w:bottom="1580" w:left="1720" w:right="1420"/>
        </w:sectPr>
      </w:pPr>
    </w:p>
    <w:p>
      <w:pPr>
        <w:pStyle w:val="BodyText"/>
        <w:spacing w:before="7"/>
        <w:rPr>
          <w:sz w:val="25"/>
        </w:rPr>
      </w:pPr>
    </w:p>
    <w:p>
      <w:pPr>
        <w:pStyle w:val="BodyText"/>
        <w:spacing w:line="360" w:lineRule="auto" w:before="70"/>
        <w:ind w:left="152" w:right="106" w:firstLine="705"/>
        <w:jc w:val="both"/>
      </w:pPr>
      <w:r>
        <w:rPr/>
        <w:t>Robertsen, B. 2008. Expression of interferon and interferon-induced genes in salmonids in response  to  virus  infection,  interferon-inducing  compounds  and vaccination. Fish &amp; shellfish immunology 25: 351-357.</w:t>
      </w:r>
    </w:p>
    <w:p>
      <w:pPr>
        <w:pStyle w:val="BodyText"/>
        <w:spacing w:line="360" w:lineRule="auto" w:before="8"/>
        <w:ind w:left="152" w:right="110" w:firstLine="705"/>
        <w:jc w:val="both"/>
      </w:pPr>
      <w:r>
        <w:rPr/>
        <w:t>Saint-Jean, S.R., and S.I. Pérez-Prieto. 2007. Effects of salmonid fish viruses on Mx gene</w:t>
      </w:r>
      <w:r>
        <w:rPr>
          <w:spacing w:val="-16"/>
        </w:rPr>
        <w:t> </w:t>
      </w:r>
      <w:r>
        <w:rPr/>
        <w:t>expression</w:t>
      </w:r>
      <w:r>
        <w:rPr>
          <w:spacing w:val="-19"/>
        </w:rPr>
        <w:t> </w:t>
      </w:r>
      <w:r>
        <w:rPr/>
        <w:t>and</w:t>
      </w:r>
      <w:r>
        <w:rPr>
          <w:spacing w:val="-15"/>
        </w:rPr>
        <w:t> </w:t>
      </w:r>
      <w:r>
        <w:rPr/>
        <w:t>resistance</w:t>
      </w:r>
      <w:r>
        <w:rPr>
          <w:spacing w:val="-16"/>
        </w:rPr>
        <w:t> </w:t>
      </w:r>
      <w:r>
        <w:rPr/>
        <w:t>to</w:t>
      </w:r>
      <w:r>
        <w:rPr>
          <w:spacing w:val="-10"/>
        </w:rPr>
        <w:t> </w:t>
      </w:r>
      <w:r>
        <w:rPr>
          <w:spacing w:val="-3"/>
        </w:rPr>
        <w:t>single</w:t>
      </w:r>
      <w:r>
        <w:rPr>
          <w:spacing w:val="-16"/>
        </w:rPr>
        <w:t> </w:t>
      </w:r>
      <w:r>
        <w:rPr/>
        <w:t>or</w:t>
      </w:r>
      <w:r>
        <w:rPr>
          <w:spacing w:val="-14"/>
        </w:rPr>
        <w:t> </w:t>
      </w:r>
      <w:r>
        <w:rPr/>
        <w:t>dual</w:t>
      </w:r>
      <w:r>
        <w:rPr>
          <w:spacing w:val="-19"/>
        </w:rPr>
        <w:t> </w:t>
      </w:r>
      <w:r>
        <w:rPr/>
        <w:t>viral</w:t>
      </w:r>
      <w:r>
        <w:rPr>
          <w:spacing w:val="-15"/>
        </w:rPr>
        <w:t> </w:t>
      </w:r>
      <w:r>
        <w:rPr/>
        <w:t>infections.</w:t>
      </w:r>
      <w:r>
        <w:rPr>
          <w:spacing w:val="-13"/>
        </w:rPr>
        <w:t> </w:t>
      </w:r>
      <w:r>
        <w:rPr/>
        <w:t>Fish</w:t>
      </w:r>
      <w:r>
        <w:rPr>
          <w:spacing w:val="-15"/>
        </w:rPr>
        <w:t> </w:t>
      </w:r>
      <w:r>
        <w:rPr/>
        <w:t>&amp;</w:t>
      </w:r>
      <w:r>
        <w:rPr>
          <w:spacing w:val="-19"/>
        </w:rPr>
        <w:t> </w:t>
      </w:r>
      <w:r>
        <w:rPr/>
        <w:t>shellfish</w:t>
      </w:r>
      <w:r>
        <w:rPr>
          <w:spacing w:val="-11"/>
        </w:rPr>
        <w:t> </w:t>
      </w:r>
      <w:r>
        <w:rPr/>
        <w:t>immunology 23:</w:t>
      </w:r>
      <w:r>
        <w:rPr>
          <w:spacing w:val="3"/>
        </w:rPr>
        <w:t> </w:t>
      </w:r>
      <w:r>
        <w:rPr/>
        <w:t>390-400.</w:t>
      </w:r>
    </w:p>
    <w:p>
      <w:pPr>
        <w:pStyle w:val="BodyText"/>
      </w:pPr>
    </w:p>
    <w:p>
      <w:pPr>
        <w:pStyle w:val="BodyText"/>
        <w:spacing w:line="360" w:lineRule="auto" w:before="140"/>
        <w:ind w:left="152" w:right="103" w:firstLine="705"/>
        <w:jc w:val="both"/>
      </w:pPr>
      <w:r>
        <w:rPr/>
        <w:t>Sano, M., N. Okamoto, H. Fukuda, M. Saneyoshi, and T. Sano. 1992. Virulence of IPNV is associated with the larger RNA segment (RNA segment A). Journal Fish Disease 15: 283-293.</w:t>
      </w:r>
    </w:p>
    <w:p>
      <w:pPr>
        <w:pStyle w:val="BodyText"/>
        <w:spacing w:line="360" w:lineRule="auto" w:before="4"/>
        <w:ind w:left="152" w:right="118" w:firstLine="705"/>
        <w:jc w:val="both"/>
      </w:pPr>
      <w:r>
        <w:rPr/>
        <w:t>Santi, N., V.N. Vakharia, and Ø. Evensen. 2004. Identification of putative motifs involved in the virulence of infectious pancreatic necrosis virus. Virology 322: 31-40.</w:t>
      </w:r>
    </w:p>
    <w:p>
      <w:pPr>
        <w:pStyle w:val="BodyText"/>
        <w:spacing w:line="360" w:lineRule="auto" w:before="8"/>
        <w:ind w:left="152" w:right="120" w:firstLine="705"/>
        <w:jc w:val="both"/>
      </w:pPr>
      <w:r>
        <w:rPr/>
        <w:t>Santi, N., H. Song, V.N Vakharia, and Ø. Evensen. 2005. Infectious pancreatic necrosis virus VP5 is dispensable for virulence and persistence. Journal of Virology 79: 9206-9216.</w:t>
      </w:r>
    </w:p>
    <w:p>
      <w:pPr>
        <w:pStyle w:val="BodyText"/>
        <w:spacing w:line="362" w:lineRule="auto" w:before="4"/>
        <w:ind w:left="152" w:right="112" w:firstLine="705"/>
        <w:jc w:val="both"/>
      </w:pPr>
      <w:r>
        <w:rPr/>
        <w:t>Santi, N., V.N. Vakharia, and Ø. Evensen. 2004. Identification of putative motifs involved in the virulence of infectious pancreatic necrosis virus. Virology 322: 31-40.</w:t>
      </w:r>
    </w:p>
    <w:p>
      <w:pPr>
        <w:pStyle w:val="BodyText"/>
        <w:spacing w:before="1"/>
        <w:ind w:left="858"/>
      </w:pPr>
      <w:r>
        <w:rPr/>
        <w:t>Sen, G.C. 2001. Viruses and interferons. Annual Reviews in Microbiology 55:  255-</w:t>
      </w:r>
    </w:p>
    <w:p>
      <w:pPr>
        <w:pStyle w:val="BodyText"/>
        <w:spacing w:before="137"/>
        <w:ind w:left="152"/>
      </w:pPr>
      <w:r>
        <w:rPr/>
        <w:t>281.</w:t>
      </w:r>
    </w:p>
    <w:p>
      <w:pPr>
        <w:pStyle w:val="BodyText"/>
        <w:spacing w:before="137"/>
        <w:ind w:left="858" w:right="-11"/>
      </w:pPr>
      <w:r>
        <w:rPr/>
        <w:t>Shi, J., Y.B. Zhang, T.K. Liu, F. Sun, and J.F. Gui. 2012. Subcellular localization and</w:t>
      </w:r>
    </w:p>
    <w:p>
      <w:pPr>
        <w:pStyle w:val="BodyText"/>
        <w:spacing w:line="360" w:lineRule="auto" w:before="141"/>
        <w:ind w:left="152"/>
      </w:pPr>
      <w:r>
        <w:rPr/>
        <w:t>functional characterization of a fish IRF9 from crucian carp </w:t>
      </w:r>
      <w:r>
        <w:rPr>
          <w:i/>
        </w:rPr>
        <w:t>Carassius auratus</w:t>
      </w:r>
      <w:r>
        <w:rPr/>
        <w:t>. Fish &amp; shellfish immunology 33: 258-266.</w:t>
      </w:r>
    </w:p>
    <w:p>
      <w:pPr>
        <w:pStyle w:val="BodyText"/>
      </w:pPr>
    </w:p>
    <w:p>
      <w:pPr>
        <w:pStyle w:val="BodyText"/>
        <w:spacing w:line="362" w:lineRule="auto" w:before="141"/>
        <w:ind w:left="152" w:right="111" w:firstLine="705"/>
        <w:jc w:val="both"/>
      </w:pPr>
      <w:r>
        <w:rPr/>
        <w:t>Sironi, J. J., and T. Ouchi. 2004. STAT1-induced apoptosis is mediated by caspases 2, 3, and 7. Journal of Biological Chemistry 279: 4066-4074.</w:t>
      </w:r>
    </w:p>
    <w:p>
      <w:pPr>
        <w:pStyle w:val="BodyText"/>
      </w:pPr>
    </w:p>
    <w:p>
      <w:pPr>
        <w:pStyle w:val="BodyText"/>
        <w:spacing w:line="360" w:lineRule="auto" w:before="138"/>
        <w:ind w:left="152" w:right="105" w:firstLine="705"/>
        <w:jc w:val="both"/>
      </w:pPr>
      <w:r>
        <w:rPr/>
        <w:t>Skjesol, A., T. Aamo, M.N. Hegseth, B. Robertsen, and J.B. Jørgensen. 2009. The interplay between infectious pancreatic necrosis virus (IPNV) and the IFN system: IFN signaling is inhibited by IPNV infection. Virus research 143:53-60.</w:t>
      </w:r>
    </w:p>
    <w:p>
      <w:pPr>
        <w:spacing w:after="0" w:line="360" w:lineRule="auto"/>
        <w:jc w:val="both"/>
        <w:sectPr>
          <w:pgSz w:w="12240" w:h="15840"/>
          <w:pgMar w:header="0" w:footer="1382" w:top="1500" w:bottom="1580" w:left="1720" w:right="1420"/>
        </w:sectPr>
      </w:pPr>
    </w:p>
    <w:p>
      <w:pPr>
        <w:pStyle w:val="BodyText"/>
        <w:spacing w:before="7"/>
        <w:rPr>
          <w:sz w:val="25"/>
        </w:rPr>
      </w:pPr>
    </w:p>
    <w:p>
      <w:pPr>
        <w:pStyle w:val="BodyText"/>
        <w:spacing w:line="360" w:lineRule="auto" w:before="70"/>
        <w:ind w:left="152" w:right="106" w:firstLine="705"/>
        <w:jc w:val="both"/>
      </w:pPr>
      <w:r>
        <w:rPr/>
        <w:t>Skjesol,</w:t>
      </w:r>
      <w:r>
        <w:rPr>
          <w:spacing w:val="-10"/>
        </w:rPr>
        <w:t> </w:t>
      </w:r>
      <w:r>
        <w:rPr/>
        <w:t>A.,</w:t>
      </w:r>
      <w:r>
        <w:rPr>
          <w:spacing w:val="-10"/>
        </w:rPr>
        <w:t> </w:t>
      </w:r>
      <w:r>
        <w:rPr/>
        <w:t>T.</w:t>
      </w:r>
      <w:r>
        <w:rPr>
          <w:spacing w:val="-14"/>
        </w:rPr>
        <w:t> </w:t>
      </w:r>
      <w:r>
        <w:rPr/>
        <w:t>Hansen,</w:t>
      </w:r>
      <w:r>
        <w:rPr>
          <w:spacing w:val="-10"/>
        </w:rPr>
        <w:t> </w:t>
      </w:r>
      <w:r>
        <w:rPr/>
        <w:t>C.Y.</w:t>
      </w:r>
      <w:r>
        <w:rPr>
          <w:spacing w:val="-10"/>
        </w:rPr>
        <w:t> </w:t>
      </w:r>
      <w:r>
        <w:rPr>
          <w:spacing w:val="-3"/>
        </w:rPr>
        <w:t>Shi,</w:t>
      </w:r>
      <w:r>
        <w:rPr>
          <w:spacing w:val="-10"/>
        </w:rPr>
        <w:t> </w:t>
      </w:r>
      <w:r>
        <w:rPr/>
        <w:t>H.L.</w:t>
      </w:r>
      <w:r>
        <w:rPr>
          <w:spacing w:val="-10"/>
        </w:rPr>
        <w:t> </w:t>
      </w:r>
      <w:r>
        <w:rPr>
          <w:spacing w:val="-3"/>
        </w:rPr>
        <w:t>Thim,</w:t>
      </w:r>
      <w:r>
        <w:rPr>
          <w:spacing w:val="-10"/>
        </w:rPr>
        <w:t> </w:t>
      </w:r>
      <w:r>
        <w:rPr/>
        <w:t>and</w:t>
      </w:r>
      <w:r>
        <w:rPr>
          <w:spacing w:val="-12"/>
        </w:rPr>
        <w:t> </w:t>
      </w:r>
      <w:r>
        <w:rPr/>
        <w:t>J.B.</w:t>
      </w:r>
      <w:r>
        <w:rPr>
          <w:spacing w:val="-10"/>
        </w:rPr>
        <w:t> </w:t>
      </w:r>
      <w:r>
        <w:rPr/>
        <w:t>Jørgensen.</w:t>
      </w:r>
      <w:r>
        <w:rPr>
          <w:spacing w:val="-10"/>
        </w:rPr>
        <w:t> </w:t>
      </w:r>
      <w:r>
        <w:rPr/>
        <w:t>2010.</w:t>
      </w:r>
      <w:r>
        <w:rPr>
          <w:spacing w:val="-10"/>
        </w:rPr>
        <w:t> </w:t>
      </w:r>
      <w:r>
        <w:rPr/>
        <w:t>Structural</w:t>
      </w:r>
      <w:r>
        <w:rPr>
          <w:spacing w:val="-20"/>
        </w:rPr>
        <w:t> </w:t>
      </w:r>
      <w:r>
        <w:rPr/>
        <w:t>and functional studies of STAT1 from Atlantic salmon (</w:t>
      </w:r>
      <w:r>
        <w:rPr>
          <w:i/>
        </w:rPr>
        <w:t>Salmo salar</w:t>
      </w:r>
      <w:r>
        <w:rPr/>
        <w:t>). BMC immunology 11:1- 17.</w:t>
      </w:r>
    </w:p>
    <w:p>
      <w:pPr>
        <w:pStyle w:val="BodyText"/>
        <w:spacing w:line="360" w:lineRule="auto" w:before="8"/>
        <w:ind w:left="152" w:right="119" w:firstLine="705"/>
        <w:jc w:val="both"/>
      </w:pPr>
      <w:r>
        <w:rPr/>
        <w:t>Skjesol, A., I. Skjæveland, M. Elnæs, G. Timmerhaus, B.N. Fredriksen, Jørgensen, S.M, and J.B. Jørgensen. 2011. IPNV with high and low virulence: host immune responses and viral mutations during infection. Virol Journal 8: 396.</w:t>
      </w:r>
    </w:p>
    <w:p>
      <w:pPr>
        <w:pStyle w:val="BodyText"/>
        <w:spacing w:line="360" w:lineRule="auto" w:before="4"/>
        <w:ind w:left="152" w:right="110" w:firstLine="705"/>
        <w:jc w:val="both"/>
      </w:pPr>
      <w:r>
        <w:rPr/>
        <w:t>Silvennoinen, O., J.N. Ihle, J. Schlessinger, and D.E. </w:t>
      </w:r>
      <w:r>
        <w:rPr>
          <w:spacing w:val="-3"/>
        </w:rPr>
        <w:t>Levy. </w:t>
      </w:r>
      <w:r>
        <w:rPr/>
        <w:t>1993. Interferon-induced nuclear signaling by Jak protein tyrosine kinases. Nature 366: 583-585.</w:t>
      </w:r>
    </w:p>
    <w:p>
      <w:pPr>
        <w:pStyle w:val="BodyText"/>
        <w:spacing w:line="360" w:lineRule="auto" w:before="8"/>
        <w:ind w:left="152" w:right="114" w:firstLine="705"/>
        <w:jc w:val="both"/>
      </w:pPr>
      <w:r>
        <w:rPr/>
        <w:t>Smail, D.A., N. Bain. D.W. Bruno, J.A. King, F. Thompson, D.J. Pendrey, and C.O. Cunningham. 2006. Infectious pancreatic necrosis virus in Atlantic salmon (Salmo salar) post</w:t>
      </w:r>
      <w:r>
        <w:rPr>
          <w:rFonts w:ascii="Cambria Math" w:hAnsi="Cambria Math"/>
        </w:rPr>
        <w:t>‐</w:t>
      </w:r>
      <w:r>
        <w:rPr/>
        <w:t>smolts in the Shetland Isles, Scotland: virus identification, histopathology, immunohistochemistry and genetic comparison with Scottish mainland isolates. Journal of Fish Diseases 29: 31-41.</w:t>
      </w:r>
    </w:p>
    <w:p>
      <w:pPr>
        <w:pStyle w:val="BodyText"/>
        <w:spacing w:line="360" w:lineRule="auto" w:before="8"/>
        <w:ind w:left="152" w:right="109" w:firstLine="705"/>
        <w:jc w:val="both"/>
      </w:pPr>
      <w:r>
        <w:rPr/>
        <w:t>Song, H., N. Santi, O. Evensen, V.N. Vakharia. 2005. Molecular determinants of infectious pancreatic necrosis virus virulence and cell culture adaptation. Journal Virology 79: 10289-10299.</w:t>
      </w:r>
    </w:p>
    <w:p>
      <w:pPr>
        <w:pStyle w:val="BodyText"/>
        <w:spacing w:before="4"/>
        <w:ind w:left="858"/>
      </w:pPr>
      <w:r>
        <w:rPr/>
        <w:t>Stark, G. R., Kerr, I. M., B.R. Williams, R.H. Silverman, and R.D. Schreiber.  1998.</w:t>
      </w:r>
    </w:p>
    <w:p>
      <w:pPr>
        <w:pStyle w:val="BodyText"/>
        <w:spacing w:before="141"/>
        <w:ind w:left="152"/>
      </w:pPr>
      <w:r>
        <w:rPr/>
        <w:t>How cells respond to interferons. Annu. Rev. Biochem 67: 227-264.</w:t>
      </w:r>
    </w:p>
    <w:p>
      <w:pPr>
        <w:pStyle w:val="BodyText"/>
        <w:spacing w:line="360" w:lineRule="auto" w:before="137"/>
        <w:ind w:left="152" w:right="113" w:firstLine="705"/>
        <w:jc w:val="both"/>
      </w:pPr>
      <w:r>
        <w:rPr/>
        <w:t>Stein, C., M. Caccamo, G. Laird, M. Leptin. 2007. Conservation and divergence of gene families encoding components of innate immune response systems in zebrafish. Genome Biol 8, R251.</w:t>
      </w:r>
    </w:p>
    <w:p>
      <w:pPr>
        <w:pStyle w:val="BodyText"/>
      </w:pPr>
    </w:p>
    <w:p>
      <w:pPr>
        <w:pStyle w:val="BodyText"/>
        <w:spacing w:line="360" w:lineRule="auto" w:before="146"/>
        <w:ind w:left="152" w:right="117" w:firstLine="705"/>
        <w:jc w:val="both"/>
      </w:pPr>
      <w:r>
        <w:rPr/>
        <w:t>Sun, B., B. Robertsen, Z, Wang, and B. Liu. 2009. Identification of an Atlantic salmon IFN multigene cluster encoding three IFN subtypes with very different expression properties. Developmental &amp; Comparative Immunology 33:547-558.</w:t>
      </w:r>
    </w:p>
    <w:p>
      <w:pPr>
        <w:pStyle w:val="BodyText"/>
        <w:spacing w:before="8"/>
        <w:ind w:left="858"/>
      </w:pPr>
      <w:r>
        <w:rPr/>
        <w:t>Thomas, M., C.E. Finnegan, K.M. Rogers, </w:t>
      </w:r>
      <w:r>
        <w:rPr>
          <w:spacing w:val="-3"/>
        </w:rPr>
        <w:t>A. Purcell, </w:t>
      </w:r>
      <w:r>
        <w:rPr/>
        <w:t>J.W. Trimble, </w:t>
      </w:r>
      <w:r>
        <w:rPr>
          <w:spacing w:val="-3"/>
        </w:rPr>
        <w:t>A. </w:t>
      </w:r>
      <w:r>
        <w:rPr/>
        <w:t>Johnston, and</w:t>
      </w:r>
    </w:p>
    <w:p>
      <w:pPr>
        <w:pStyle w:val="BodyText"/>
        <w:spacing w:line="360" w:lineRule="auto" w:before="137"/>
        <w:ind w:left="152"/>
      </w:pPr>
      <w:r>
        <w:rPr/>
        <w:t>M.P. Boland. 2004. STAT1 A Modulator of Chemotherapy-induced Apoptosis. Cancer research 64: 8357-8364.</w:t>
      </w:r>
    </w:p>
    <w:p>
      <w:pPr>
        <w:spacing w:after="0" w:line="360" w:lineRule="auto"/>
        <w:sectPr>
          <w:pgSz w:w="12240" w:h="15840"/>
          <w:pgMar w:header="0" w:footer="1382" w:top="1500" w:bottom="1580" w:left="1720" w:right="1420"/>
        </w:sectPr>
      </w:pPr>
    </w:p>
    <w:p>
      <w:pPr>
        <w:pStyle w:val="BodyText"/>
        <w:spacing w:before="7"/>
        <w:rPr>
          <w:sz w:val="25"/>
        </w:rPr>
      </w:pPr>
    </w:p>
    <w:p>
      <w:pPr>
        <w:pStyle w:val="BodyText"/>
        <w:spacing w:before="70"/>
        <w:ind w:left="858"/>
      </w:pPr>
      <w:r>
        <w:rPr/>
        <w:t>Townsend, P. A., T.M. Scarabelli, S.M. Davidson, R.A. Knight, D.S Latchman, and</w:t>
      </w:r>
    </w:p>
    <w:p>
      <w:pPr>
        <w:pStyle w:val="ListParagraph"/>
        <w:numPr>
          <w:ilvl w:val="0"/>
          <w:numId w:val="14"/>
        </w:numPr>
        <w:tabs>
          <w:tab w:pos="537" w:val="left" w:leader="none"/>
        </w:tabs>
        <w:spacing w:line="360" w:lineRule="auto" w:before="137" w:after="0"/>
        <w:ind w:left="152" w:right="110" w:firstLine="0"/>
        <w:jc w:val="left"/>
        <w:rPr>
          <w:sz w:val="24"/>
        </w:rPr>
      </w:pPr>
      <w:r>
        <w:rPr>
          <w:sz w:val="24"/>
        </w:rPr>
        <w:t>Stephanou. 2004. STAT-1 interacts with p53 to enhance DNA damage-induced apoptosis. Journal of Biological Chemistry 279:</w:t>
      </w:r>
      <w:r>
        <w:rPr>
          <w:spacing w:val="-15"/>
          <w:sz w:val="24"/>
        </w:rPr>
        <w:t> </w:t>
      </w:r>
      <w:r>
        <w:rPr>
          <w:sz w:val="24"/>
        </w:rPr>
        <w:t>5811-5820.</w:t>
      </w:r>
    </w:p>
    <w:p>
      <w:pPr>
        <w:pStyle w:val="BodyText"/>
        <w:spacing w:line="360" w:lineRule="auto" w:before="8"/>
        <w:ind w:left="152" w:right="112" w:firstLine="705"/>
        <w:jc w:val="both"/>
      </w:pPr>
      <w:r>
        <w:rPr/>
        <w:t>Verrier, E. R., C. Langevin, A. Benmansour, and P. Boudinot. 2011. Early antiviral response and virus-induced genes in fish. Developmental &amp; Comparative Immunology 3: 1204-1214.</w:t>
      </w:r>
    </w:p>
    <w:p>
      <w:pPr>
        <w:pStyle w:val="BodyText"/>
        <w:spacing w:line="360" w:lineRule="auto" w:before="4"/>
        <w:ind w:left="152" w:right="101" w:firstLine="705"/>
        <w:jc w:val="both"/>
      </w:pPr>
      <w:r>
        <w:rPr/>
        <w:t>Williams,</w:t>
      </w:r>
      <w:r>
        <w:rPr>
          <w:spacing w:val="-12"/>
        </w:rPr>
        <w:t> </w:t>
      </w:r>
      <w:r>
        <w:rPr/>
        <w:t>K.,</w:t>
      </w:r>
      <w:r>
        <w:rPr>
          <w:spacing w:val="-15"/>
        </w:rPr>
        <w:t> </w:t>
      </w:r>
      <w:r>
        <w:rPr/>
        <w:t>S.</w:t>
      </w:r>
      <w:r>
        <w:rPr>
          <w:spacing w:val="-15"/>
        </w:rPr>
        <w:t> </w:t>
      </w:r>
      <w:r>
        <w:rPr/>
        <w:t>Blake,</w:t>
      </w:r>
      <w:r>
        <w:rPr>
          <w:spacing w:val="-15"/>
        </w:rPr>
        <w:t> </w:t>
      </w:r>
      <w:r>
        <w:rPr>
          <w:spacing w:val="-3"/>
        </w:rPr>
        <w:t>A.</w:t>
      </w:r>
      <w:r>
        <w:rPr>
          <w:spacing w:val="-15"/>
        </w:rPr>
        <w:t> </w:t>
      </w:r>
      <w:r>
        <w:rPr/>
        <w:t>Sweeney,</w:t>
      </w:r>
      <w:r>
        <w:rPr>
          <w:spacing w:val="-12"/>
        </w:rPr>
        <w:t> </w:t>
      </w:r>
      <w:r>
        <w:rPr/>
        <w:t>J.T.</w:t>
      </w:r>
      <w:r>
        <w:rPr>
          <w:spacing w:val="-15"/>
        </w:rPr>
        <w:t> </w:t>
      </w:r>
      <w:r>
        <w:rPr/>
        <w:t>Singer,</w:t>
      </w:r>
      <w:r>
        <w:rPr>
          <w:spacing w:val="-15"/>
        </w:rPr>
        <w:t> </w:t>
      </w:r>
      <w:r>
        <w:rPr/>
        <w:t>and</w:t>
      </w:r>
      <w:r>
        <w:rPr>
          <w:spacing w:val="-17"/>
        </w:rPr>
        <w:t> </w:t>
      </w:r>
      <w:r>
        <w:rPr/>
        <w:t>B.L.</w:t>
      </w:r>
      <w:r>
        <w:rPr>
          <w:spacing w:val="-15"/>
        </w:rPr>
        <w:t> </w:t>
      </w:r>
      <w:r>
        <w:rPr/>
        <w:t>Nicholson.</w:t>
      </w:r>
      <w:r>
        <w:rPr>
          <w:spacing w:val="-15"/>
        </w:rPr>
        <w:t> </w:t>
      </w:r>
      <w:r>
        <w:rPr/>
        <w:t>1999.</w:t>
      </w:r>
      <w:r>
        <w:rPr>
          <w:spacing w:val="-15"/>
        </w:rPr>
        <w:t> </w:t>
      </w:r>
      <w:r>
        <w:rPr/>
        <w:t>Multiplex Reverse</w:t>
      </w:r>
      <w:r>
        <w:rPr>
          <w:spacing w:val="-14"/>
        </w:rPr>
        <w:t> </w:t>
      </w:r>
      <w:r>
        <w:rPr/>
        <w:t>Transcriptase</w:t>
      </w:r>
      <w:r>
        <w:rPr>
          <w:spacing w:val="-14"/>
        </w:rPr>
        <w:t> </w:t>
      </w:r>
      <w:r>
        <w:rPr/>
        <w:t>PCR</w:t>
      </w:r>
      <w:r>
        <w:rPr>
          <w:spacing w:val="-14"/>
        </w:rPr>
        <w:t> </w:t>
      </w:r>
      <w:r>
        <w:rPr/>
        <w:t>Assay</w:t>
      </w:r>
      <w:r>
        <w:rPr>
          <w:spacing w:val="-16"/>
        </w:rPr>
        <w:t> </w:t>
      </w:r>
      <w:r>
        <w:rPr/>
        <w:t>for</w:t>
      </w:r>
      <w:r>
        <w:rPr>
          <w:spacing w:val="-11"/>
        </w:rPr>
        <w:t> </w:t>
      </w:r>
      <w:r>
        <w:rPr/>
        <w:t>Simultaneous</w:t>
      </w:r>
      <w:r>
        <w:rPr>
          <w:spacing w:val="-15"/>
        </w:rPr>
        <w:t> </w:t>
      </w:r>
      <w:r>
        <w:rPr/>
        <w:t>Detection</w:t>
      </w:r>
      <w:r>
        <w:rPr>
          <w:spacing w:val="-16"/>
        </w:rPr>
        <w:t> </w:t>
      </w:r>
      <w:r>
        <w:rPr/>
        <w:t>of</w:t>
      </w:r>
      <w:r>
        <w:rPr>
          <w:spacing w:val="-20"/>
        </w:rPr>
        <w:t> </w:t>
      </w:r>
      <w:r>
        <w:rPr/>
        <w:t>Three</w:t>
      </w:r>
      <w:r>
        <w:rPr>
          <w:spacing w:val="-14"/>
        </w:rPr>
        <w:t> </w:t>
      </w:r>
      <w:r>
        <w:rPr/>
        <w:t>Fish</w:t>
      </w:r>
      <w:r>
        <w:rPr>
          <w:spacing w:val="-16"/>
        </w:rPr>
        <w:t> </w:t>
      </w:r>
      <w:r>
        <w:rPr/>
        <w:t>Viruses.</w:t>
      </w:r>
      <w:r>
        <w:rPr>
          <w:spacing w:val="-2"/>
        </w:rPr>
        <w:t> </w:t>
      </w:r>
      <w:r>
        <w:rPr/>
        <w:t>Journal of Clinical Microbiology 37:</w:t>
      </w:r>
      <w:r>
        <w:rPr>
          <w:spacing w:val="-16"/>
        </w:rPr>
        <w:t> </w:t>
      </w:r>
      <w:r>
        <w:rPr/>
        <w:t>4139-4141.</w:t>
      </w:r>
    </w:p>
    <w:p>
      <w:pPr>
        <w:pStyle w:val="BodyText"/>
        <w:spacing w:line="360" w:lineRule="auto" w:before="4"/>
        <w:ind w:left="152" w:right="111" w:firstLine="705"/>
        <w:jc w:val="both"/>
      </w:pPr>
      <w:r>
        <w:rPr/>
        <w:t>Wolf, K. 1988. Infectious pancreatic necrosis. Pages 115-157. In Cornell and Press editors. Fish Viruses and Fish Diseases.  Ithaca, New York.</w:t>
      </w:r>
    </w:p>
    <w:p>
      <w:pPr>
        <w:pStyle w:val="BodyText"/>
        <w:spacing w:line="360" w:lineRule="auto" w:before="4"/>
        <w:ind w:left="152" w:right="106" w:firstLine="705"/>
        <w:jc w:val="both"/>
      </w:pPr>
      <w:r>
        <w:rPr/>
        <w:t>Zhou, Z., O.J. Hamming, N. Ank, S.R. Paludan, A.L. Nielsen, and R. Hartmann. 2007. Type III interferon (IFN) induces a type I IFN-like response in a restricted subset of cells through signaling pathways involving both the Jak-STAT pathway and the mitogen- activated protein kinases. Journal of Virology 81: 7749-7758.</w:t>
      </w:r>
    </w:p>
    <w:p>
      <w:pPr>
        <w:spacing w:after="0" w:line="360" w:lineRule="auto"/>
        <w:jc w:val="both"/>
        <w:sectPr>
          <w:pgSz w:w="12240" w:h="15840"/>
          <w:pgMar w:header="0" w:footer="1382" w:top="1500" w:bottom="1580" w:left="1720" w:right="1420"/>
        </w:sectPr>
      </w:pPr>
    </w:p>
    <w:p>
      <w:pPr>
        <w:pStyle w:val="BodyText"/>
        <w:spacing w:before="1"/>
        <w:rPr>
          <w:sz w:val="26"/>
        </w:rPr>
      </w:pPr>
    </w:p>
    <w:p>
      <w:pPr>
        <w:pStyle w:val="Heading1"/>
        <w:numPr>
          <w:ilvl w:val="0"/>
          <w:numId w:val="9"/>
        </w:numPr>
        <w:tabs>
          <w:tab w:pos="4191" w:val="left" w:leader="none"/>
        </w:tabs>
        <w:spacing w:line="240" w:lineRule="auto" w:before="69" w:after="0"/>
        <w:ind w:left="4190" w:right="0" w:hanging="570"/>
        <w:jc w:val="left"/>
      </w:pPr>
      <w:bookmarkStart w:name="_bookmark44" w:id="82"/>
      <w:bookmarkEnd w:id="82"/>
      <w:r>
        <w:rPr>
          <w:b w:val="0"/>
        </w:rPr>
      </w:r>
      <w:bookmarkStart w:name="_bookmark44" w:id="83"/>
      <w:bookmarkEnd w:id="83"/>
      <w:r>
        <w:rPr/>
        <w:t>D</w:t>
      </w:r>
      <w:r>
        <w:rPr/>
        <w:t>ISCUSIÓN</w:t>
      </w:r>
    </w:p>
    <w:p>
      <w:pPr>
        <w:pStyle w:val="BodyText"/>
        <w:spacing w:line="360" w:lineRule="auto" w:before="132"/>
        <w:ind w:left="152" w:right="102"/>
        <w:jc w:val="both"/>
      </w:pPr>
      <w:r>
        <w:rPr/>
        <w:t>En esta investigación se contribuye al entendimiento del efecto de la temperatura sobre la expresión de genes involucrados en la respuesta inmune de actividad antiviral (IFN-I(</w:t>
      </w:r>
      <w:r>
        <w:rPr>
          <w:i/>
        </w:rPr>
        <w:t>α</w:t>
      </w:r>
      <w:r>
        <w:rPr/>
        <w:t>), STAT-1(</w:t>
      </w:r>
      <w:r>
        <w:rPr>
          <w:i/>
        </w:rPr>
        <w:t>α</w:t>
      </w:r>
      <w:r>
        <w:rPr/>
        <w:t>) y Mx-1) ante la infección por IPNV, y el posible efecto de la virulencia de este virus sobre la transcripción de estos genes y la activación de la proteína STAT1(α/β).</w:t>
      </w:r>
    </w:p>
    <w:p>
      <w:pPr>
        <w:pStyle w:val="BodyText"/>
        <w:spacing w:line="360" w:lineRule="auto" w:before="4"/>
        <w:ind w:left="152" w:right="100"/>
        <w:jc w:val="both"/>
      </w:pPr>
      <w:r>
        <w:rPr/>
        <w:t>En </w:t>
      </w:r>
      <w:r>
        <w:rPr>
          <w:spacing w:val="-5"/>
        </w:rPr>
        <w:t>la </w:t>
      </w:r>
      <w:r>
        <w:rPr/>
        <w:t>primera etapa de nuestro estudio hemos analizado </w:t>
      </w:r>
      <w:r>
        <w:rPr>
          <w:spacing w:val="-5"/>
        </w:rPr>
        <w:t>la </w:t>
      </w:r>
      <w:r>
        <w:rPr/>
        <w:t>expresión de genes antivirales relevantes de </w:t>
      </w:r>
      <w:r>
        <w:rPr>
          <w:spacing w:val="-5"/>
        </w:rPr>
        <w:t>la </w:t>
      </w:r>
      <w:r>
        <w:rPr/>
        <w:t>respuesta inmune innata de alevines de trucha arcoíris desafiados contra el virus</w:t>
      </w:r>
      <w:r>
        <w:rPr>
          <w:spacing w:val="-12"/>
        </w:rPr>
        <w:t> </w:t>
      </w:r>
      <w:r>
        <w:rPr/>
        <w:t>de</w:t>
      </w:r>
      <w:r>
        <w:rPr>
          <w:spacing w:val="-11"/>
        </w:rPr>
        <w:t> </w:t>
      </w:r>
      <w:r>
        <w:rPr/>
        <w:t>IPNV</w:t>
      </w:r>
      <w:r>
        <w:rPr>
          <w:spacing w:val="-11"/>
        </w:rPr>
        <w:t> </w:t>
      </w:r>
      <w:r>
        <w:rPr/>
        <w:t>a</w:t>
      </w:r>
      <w:r>
        <w:rPr>
          <w:spacing w:val="-11"/>
        </w:rPr>
        <w:t> </w:t>
      </w:r>
      <w:r>
        <w:rPr/>
        <w:t>tres</w:t>
      </w:r>
      <w:r>
        <w:rPr>
          <w:spacing w:val="-12"/>
        </w:rPr>
        <w:t> </w:t>
      </w:r>
      <w:r>
        <w:rPr/>
        <w:t>distintas</w:t>
      </w:r>
      <w:r>
        <w:rPr>
          <w:spacing w:val="-12"/>
        </w:rPr>
        <w:t> </w:t>
      </w:r>
      <w:r>
        <w:rPr/>
        <w:t>temperaturas</w:t>
      </w:r>
      <w:r>
        <w:rPr>
          <w:spacing w:val="-12"/>
        </w:rPr>
        <w:t> </w:t>
      </w:r>
      <w:r>
        <w:rPr>
          <w:spacing w:val="-2"/>
        </w:rPr>
        <w:t>(baja,</w:t>
      </w:r>
      <w:r>
        <w:rPr>
          <w:spacing w:val="-8"/>
        </w:rPr>
        <w:t> </w:t>
      </w:r>
      <w:r>
        <w:rPr/>
        <w:t>óptima</w:t>
      </w:r>
      <w:r>
        <w:rPr>
          <w:spacing w:val="-6"/>
        </w:rPr>
        <w:t> </w:t>
      </w:r>
      <w:r>
        <w:rPr/>
        <w:t>y</w:t>
      </w:r>
      <w:r>
        <w:rPr>
          <w:spacing w:val="-14"/>
        </w:rPr>
        <w:t> </w:t>
      </w:r>
      <w:r>
        <w:rPr/>
        <w:t>media).</w:t>
      </w:r>
      <w:r>
        <w:rPr>
          <w:spacing w:val="-8"/>
        </w:rPr>
        <w:t> </w:t>
      </w:r>
      <w:r>
        <w:rPr>
          <w:spacing w:val="7"/>
        </w:rPr>
        <w:t>El</w:t>
      </w:r>
      <w:r>
        <w:rPr>
          <w:spacing w:val="-19"/>
        </w:rPr>
        <w:t> </w:t>
      </w:r>
      <w:r>
        <w:rPr/>
        <w:t>titulo</w:t>
      </w:r>
      <w:r>
        <w:rPr>
          <w:spacing w:val="-5"/>
        </w:rPr>
        <w:t> </w:t>
      </w:r>
      <w:r>
        <w:rPr/>
        <w:t>viral</w:t>
      </w:r>
      <w:r>
        <w:rPr>
          <w:spacing w:val="-14"/>
        </w:rPr>
        <w:t> </w:t>
      </w:r>
      <w:r>
        <w:rPr/>
        <w:t>en</w:t>
      </w:r>
      <w:r>
        <w:rPr>
          <w:spacing w:val="-10"/>
        </w:rPr>
        <w:t> </w:t>
      </w:r>
      <w:r>
        <w:rPr/>
        <w:t>los</w:t>
      </w:r>
      <w:r>
        <w:rPr>
          <w:spacing w:val="-12"/>
        </w:rPr>
        <w:t> </w:t>
      </w:r>
      <w:r>
        <w:rPr/>
        <w:t>peces infectados a 8°C fue mayor al observado en peces mantenidos a 12 y 16°C desde el día 2 y hasta los 11 dpi; esta tendencia concuerda con una menor respuesta de IFN-I(</w:t>
      </w:r>
      <w:r>
        <w:rPr>
          <w:i/>
        </w:rPr>
        <w:t>α</w:t>
      </w:r>
      <w:r>
        <w:rPr/>
        <w:t>) a 8°C. En este sentido, IPNV puede replicarse en un amplio rango de temperaturas en varias líneas de células de peces (Roberts y Dobos, 1983; Moss y Gravell, 1969), con mejores resultados de multiplicación y aislamiento en células BF-2 (</w:t>
      </w:r>
      <w:r>
        <w:rPr>
          <w:i/>
        </w:rPr>
        <w:t>Lepomis</w:t>
      </w:r>
      <w:r>
        <w:rPr>
          <w:i/>
          <w:spacing w:val="-24"/>
        </w:rPr>
        <w:t> </w:t>
      </w:r>
      <w:r>
        <w:rPr>
          <w:i/>
        </w:rPr>
        <w:t>machrochirus</w:t>
      </w:r>
      <w:r>
        <w:rPr/>
        <w:t>).</w:t>
      </w:r>
    </w:p>
    <w:p>
      <w:pPr>
        <w:pStyle w:val="BodyText"/>
        <w:spacing w:line="360" w:lineRule="auto" w:before="4"/>
        <w:ind w:left="152" w:right="105"/>
        <w:jc w:val="both"/>
      </w:pPr>
      <w:r>
        <w:rPr/>
        <w:t>En este estudio, aparentemente </w:t>
      </w:r>
      <w:r>
        <w:rPr>
          <w:spacing w:val="-5"/>
        </w:rPr>
        <w:t>la </w:t>
      </w:r>
      <w:r>
        <w:rPr/>
        <w:t>respuesta celular varío en función de </w:t>
      </w:r>
      <w:r>
        <w:rPr>
          <w:spacing w:val="-3"/>
        </w:rPr>
        <w:t>la </w:t>
      </w:r>
      <w:r>
        <w:rPr/>
        <w:t>temperatura, </w:t>
      </w:r>
      <w:r>
        <w:rPr>
          <w:spacing w:val="-5"/>
        </w:rPr>
        <w:t>ya </w:t>
      </w:r>
      <w:r>
        <w:rPr/>
        <w:t>que</w:t>
      </w:r>
      <w:r>
        <w:rPr>
          <w:spacing w:val="-6"/>
        </w:rPr>
        <w:t> </w:t>
      </w:r>
      <w:r>
        <w:rPr/>
        <w:t>a</w:t>
      </w:r>
      <w:r>
        <w:rPr>
          <w:spacing w:val="-6"/>
        </w:rPr>
        <w:t> </w:t>
      </w:r>
      <w:r>
        <w:rPr/>
        <w:t>8°C</w:t>
      </w:r>
      <w:r>
        <w:rPr>
          <w:spacing w:val="-7"/>
        </w:rPr>
        <w:t> </w:t>
      </w:r>
      <w:r>
        <w:rPr/>
        <w:t>el</w:t>
      </w:r>
      <w:r>
        <w:rPr>
          <w:spacing w:val="-14"/>
        </w:rPr>
        <w:t> </w:t>
      </w:r>
      <w:r>
        <w:rPr/>
        <w:t>título</w:t>
      </w:r>
      <w:r>
        <w:rPr>
          <w:spacing w:val="-1"/>
        </w:rPr>
        <w:t> </w:t>
      </w:r>
      <w:r>
        <w:rPr/>
        <w:t>viral</w:t>
      </w:r>
      <w:r>
        <w:rPr>
          <w:spacing w:val="-5"/>
        </w:rPr>
        <w:t> </w:t>
      </w:r>
      <w:r>
        <w:rPr>
          <w:spacing w:val="-3"/>
        </w:rPr>
        <w:t>fue</w:t>
      </w:r>
      <w:r>
        <w:rPr>
          <w:spacing w:val="-6"/>
        </w:rPr>
        <w:t> </w:t>
      </w:r>
      <w:r>
        <w:rPr/>
        <w:t>regulado</w:t>
      </w:r>
      <w:r>
        <w:rPr>
          <w:spacing w:val="-1"/>
        </w:rPr>
        <w:t> </w:t>
      </w:r>
      <w:r>
        <w:rPr/>
        <w:t>por</w:t>
      </w:r>
      <w:r>
        <w:rPr>
          <w:spacing w:val="-8"/>
        </w:rPr>
        <w:t> </w:t>
      </w:r>
      <w:r>
        <w:rPr/>
        <w:t>Mx-1</w:t>
      </w:r>
      <w:r>
        <w:rPr>
          <w:spacing w:val="-1"/>
        </w:rPr>
        <w:t> </w:t>
      </w:r>
      <w:r>
        <w:rPr/>
        <w:t>y</w:t>
      </w:r>
      <w:r>
        <w:rPr>
          <w:spacing w:val="-14"/>
        </w:rPr>
        <w:t> </w:t>
      </w:r>
      <w:r>
        <w:rPr/>
        <w:t>STAT-1(</w:t>
      </w:r>
      <w:r>
        <w:rPr>
          <w:i/>
        </w:rPr>
        <w:t>α</w:t>
      </w:r>
      <w:r>
        <w:rPr/>
        <w:t>),</w:t>
      </w:r>
      <w:r>
        <w:rPr>
          <w:spacing w:val="-7"/>
        </w:rPr>
        <w:t> </w:t>
      </w:r>
      <w:r>
        <w:rPr/>
        <w:t>dado</w:t>
      </w:r>
      <w:r>
        <w:rPr>
          <w:spacing w:val="-1"/>
        </w:rPr>
        <w:t> </w:t>
      </w:r>
      <w:r>
        <w:rPr/>
        <w:t>que</w:t>
      </w:r>
      <w:r>
        <w:rPr>
          <w:spacing w:val="-6"/>
        </w:rPr>
        <w:t> </w:t>
      </w:r>
      <w:r>
        <w:rPr>
          <w:spacing w:val="-5"/>
        </w:rPr>
        <w:t>la</w:t>
      </w:r>
      <w:r>
        <w:rPr>
          <w:spacing w:val="-6"/>
        </w:rPr>
        <w:t> </w:t>
      </w:r>
      <w:r>
        <w:rPr/>
        <w:t>expresión</w:t>
      </w:r>
      <w:r>
        <w:rPr>
          <w:spacing w:val="-10"/>
        </w:rPr>
        <w:t> </w:t>
      </w:r>
      <w:r>
        <w:rPr/>
        <w:t>aumentó al</w:t>
      </w:r>
      <w:r>
        <w:rPr>
          <w:spacing w:val="-14"/>
        </w:rPr>
        <w:t> </w:t>
      </w:r>
      <w:r>
        <w:rPr/>
        <w:t>tiempo</w:t>
      </w:r>
      <w:r>
        <w:rPr>
          <w:spacing w:val="-1"/>
        </w:rPr>
        <w:t> </w:t>
      </w:r>
      <w:r>
        <w:rPr/>
        <w:t>que</w:t>
      </w:r>
      <w:r>
        <w:rPr>
          <w:spacing w:val="-7"/>
        </w:rPr>
        <w:t> </w:t>
      </w:r>
      <w:r>
        <w:rPr/>
        <w:t>el</w:t>
      </w:r>
      <w:r>
        <w:rPr>
          <w:spacing w:val="-14"/>
        </w:rPr>
        <w:t> </w:t>
      </w:r>
      <w:r>
        <w:rPr/>
        <w:t>título</w:t>
      </w:r>
      <w:r>
        <w:rPr>
          <w:spacing w:val="-1"/>
        </w:rPr>
        <w:t> </w:t>
      </w:r>
      <w:r>
        <w:rPr/>
        <w:t>viral</w:t>
      </w:r>
      <w:r>
        <w:rPr>
          <w:spacing w:val="-7"/>
        </w:rPr>
        <w:t> </w:t>
      </w:r>
      <w:r>
        <w:rPr/>
        <w:t>(cepa</w:t>
      </w:r>
      <w:r>
        <w:rPr>
          <w:spacing w:val="-7"/>
        </w:rPr>
        <w:t> </w:t>
      </w:r>
      <w:r>
        <w:rPr/>
        <w:t>Buhl)</w:t>
      </w:r>
      <w:r>
        <w:rPr>
          <w:spacing w:val="-3"/>
        </w:rPr>
        <w:t> </w:t>
      </w:r>
      <w:r>
        <w:rPr/>
        <w:t>decreció.</w:t>
      </w:r>
      <w:r>
        <w:rPr>
          <w:spacing w:val="-4"/>
        </w:rPr>
        <w:t> </w:t>
      </w:r>
      <w:r>
        <w:rPr>
          <w:spacing w:val="-3"/>
        </w:rPr>
        <w:t>Así,</w:t>
      </w:r>
      <w:r>
        <w:rPr>
          <w:spacing w:val="-2"/>
        </w:rPr>
        <w:t> </w:t>
      </w:r>
      <w:r>
        <w:rPr/>
        <w:t>Mx-1</w:t>
      </w:r>
      <w:r>
        <w:rPr>
          <w:spacing w:val="-6"/>
        </w:rPr>
        <w:t> </w:t>
      </w:r>
      <w:r>
        <w:rPr/>
        <w:t>ejerció</w:t>
      </w:r>
      <w:r>
        <w:rPr>
          <w:spacing w:val="-1"/>
        </w:rPr>
        <w:t> </w:t>
      </w:r>
      <w:r>
        <w:rPr/>
        <w:t>actividad</w:t>
      </w:r>
      <w:r>
        <w:rPr>
          <w:spacing w:val="-6"/>
        </w:rPr>
        <w:t> </w:t>
      </w:r>
      <w:r>
        <w:rPr/>
        <w:t>antiviral</w:t>
      </w:r>
      <w:r>
        <w:rPr>
          <w:spacing w:val="-9"/>
        </w:rPr>
        <w:t> </w:t>
      </w:r>
      <w:r>
        <w:rPr/>
        <w:t>como </w:t>
      </w:r>
      <w:r>
        <w:rPr>
          <w:spacing w:val="-3"/>
        </w:rPr>
        <w:t>ha </w:t>
      </w:r>
      <w:r>
        <w:rPr/>
        <w:t>sido descrito contra un </w:t>
      </w:r>
      <w:r>
        <w:rPr>
          <w:spacing w:val="-3"/>
        </w:rPr>
        <w:t>amplio </w:t>
      </w:r>
      <w:r>
        <w:rPr/>
        <w:t>rango de virus RNA, posiblemente interfiriendo con el ensamblaje</w:t>
      </w:r>
      <w:r>
        <w:rPr>
          <w:spacing w:val="-6"/>
        </w:rPr>
        <w:t> </w:t>
      </w:r>
      <w:r>
        <w:rPr/>
        <w:t>del</w:t>
      </w:r>
      <w:r>
        <w:rPr>
          <w:spacing w:val="-9"/>
        </w:rPr>
        <w:t> </w:t>
      </w:r>
      <w:r>
        <w:rPr/>
        <w:t>virión</w:t>
      </w:r>
      <w:r>
        <w:rPr>
          <w:spacing w:val="-8"/>
        </w:rPr>
        <w:t> </w:t>
      </w:r>
      <w:r>
        <w:rPr/>
        <w:t>(Goodbourn</w:t>
      </w:r>
      <w:r>
        <w:rPr>
          <w:spacing w:val="-5"/>
        </w:rPr>
        <w:t> </w:t>
      </w:r>
      <w:r>
        <w:rPr/>
        <w:t>y</w:t>
      </w:r>
      <w:r>
        <w:rPr>
          <w:spacing w:val="-14"/>
        </w:rPr>
        <w:t> </w:t>
      </w:r>
      <w:r>
        <w:rPr/>
        <w:t>Randall,</w:t>
      </w:r>
      <w:r>
        <w:rPr>
          <w:spacing w:val="-3"/>
        </w:rPr>
        <w:t> </w:t>
      </w:r>
      <w:r>
        <w:rPr/>
        <w:t>2008)</w:t>
      </w:r>
      <w:r>
        <w:rPr>
          <w:spacing w:val="-1"/>
        </w:rPr>
        <w:t> </w:t>
      </w:r>
      <w:r>
        <w:rPr/>
        <w:t>desde</w:t>
      </w:r>
      <w:r>
        <w:rPr>
          <w:spacing w:val="-6"/>
        </w:rPr>
        <w:t> </w:t>
      </w:r>
      <w:r>
        <w:rPr/>
        <w:t>el</w:t>
      </w:r>
      <w:r>
        <w:rPr>
          <w:spacing w:val="-14"/>
        </w:rPr>
        <w:t> </w:t>
      </w:r>
      <w:r>
        <w:rPr/>
        <w:t>día</w:t>
      </w:r>
      <w:r>
        <w:rPr>
          <w:spacing w:val="-6"/>
        </w:rPr>
        <w:t> </w:t>
      </w:r>
      <w:r>
        <w:rPr/>
        <w:t>4,</w:t>
      </w:r>
      <w:r>
        <w:rPr>
          <w:spacing w:val="-3"/>
        </w:rPr>
        <w:t> </w:t>
      </w:r>
      <w:r>
        <w:rPr/>
        <w:t>cuando</w:t>
      </w:r>
      <w:r>
        <w:rPr>
          <w:spacing w:val="-1"/>
        </w:rPr>
        <w:t> </w:t>
      </w:r>
      <w:r>
        <w:rPr/>
        <w:t>Mx-1</w:t>
      </w:r>
      <w:r>
        <w:rPr>
          <w:spacing w:val="-1"/>
        </w:rPr>
        <w:t> </w:t>
      </w:r>
      <w:r>
        <w:rPr/>
        <w:t>incrementó </w:t>
      </w:r>
      <w:r>
        <w:rPr>
          <w:spacing w:val="-3"/>
        </w:rPr>
        <w:t>la</w:t>
      </w:r>
      <w:r>
        <w:rPr>
          <w:spacing w:val="-6"/>
        </w:rPr>
        <w:t> </w:t>
      </w:r>
      <w:r>
        <w:rPr/>
        <w:t>expresión</w:t>
      </w:r>
      <w:r>
        <w:rPr>
          <w:spacing w:val="-5"/>
        </w:rPr>
        <w:t> </w:t>
      </w:r>
      <w:r>
        <w:rPr/>
        <w:t>y</w:t>
      </w:r>
      <w:r>
        <w:rPr>
          <w:spacing w:val="-10"/>
        </w:rPr>
        <w:t> </w:t>
      </w:r>
      <w:r>
        <w:rPr/>
        <w:t>el</w:t>
      </w:r>
      <w:r>
        <w:rPr>
          <w:spacing w:val="-9"/>
        </w:rPr>
        <w:t> </w:t>
      </w:r>
      <w:r>
        <w:rPr/>
        <w:t>titulo</w:t>
      </w:r>
      <w:r>
        <w:rPr>
          <w:spacing w:val="-1"/>
        </w:rPr>
        <w:t> </w:t>
      </w:r>
      <w:r>
        <w:rPr/>
        <w:t>viral</w:t>
      </w:r>
      <w:r>
        <w:rPr>
          <w:spacing w:val="-9"/>
        </w:rPr>
        <w:t> </w:t>
      </w:r>
      <w:r>
        <w:rPr/>
        <w:t>decreció.</w:t>
      </w:r>
      <w:r>
        <w:rPr>
          <w:spacing w:val="2"/>
        </w:rPr>
        <w:t> </w:t>
      </w:r>
      <w:r>
        <w:rPr/>
        <w:t>Lo</w:t>
      </w:r>
      <w:r>
        <w:rPr>
          <w:spacing w:val="-1"/>
        </w:rPr>
        <w:t> </w:t>
      </w:r>
      <w:r>
        <w:rPr/>
        <w:t>anterior,</w:t>
      </w:r>
      <w:r>
        <w:rPr>
          <w:spacing w:val="-8"/>
        </w:rPr>
        <w:t> </w:t>
      </w:r>
      <w:r>
        <w:rPr/>
        <w:t>podría</w:t>
      </w:r>
      <w:r>
        <w:rPr>
          <w:spacing w:val="-6"/>
        </w:rPr>
        <w:t> </w:t>
      </w:r>
      <w:r>
        <w:rPr/>
        <w:t>explicar </w:t>
      </w:r>
      <w:r>
        <w:rPr>
          <w:spacing w:val="-3"/>
        </w:rPr>
        <w:t>la</w:t>
      </w:r>
      <w:r>
        <w:rPr>
          <w:spacing w:val="-6"/>
        </w:rPr>
        <w:t> </w:t>
      </w:r>
      <w:r>
        <w:rPr/>
        <w:t>ausencia</w:t>
      </w:r>
      <w:r>
        <w:rPr>
          <w:spacing w:val="-6"/>
        </w:rPr>
        <w:t> </w:t>
      </w:r>
      <w:r>
        <w:rPr/>
        <w:t>de</w:t>
      </w:r>
      <w:r>
        <w:rPr>
          <w:spacing w:val="-6"/>
        </w:rPr>
        <w:t> </w:t>
      </w:r>
      <w:r>
        <w:rPr/>
        <w:t>síntomas</w:t>
      </w:r>
      <w:r>
        <w:rPr>
          <w:spacing w:val="-7"/>
        </w:rPr>
        <w:t> </w:t>
      </w:r>
      <w:r>
        <w:rPr/>
        <w:t>de enfermedad desde ese tiempo; posiblemente 8°C, es una temperatura apropiada para </w:t>
      </w:r>
      <w:r>
        <w:rPr>
          <w:spacing w:val="-5"/>
        </w:rPr>
        <w:t>la </w:t>
      </w:r>
      <w:r>
        <w:rPr/>
        <w:t>expresión de éste gen, aunque en los primeros 11 dpi los títulos virales alcanzados a esta temperatura fueron mayores en comparación a 12 y 16°C. Por </w:t>
      </w:r>
      <w:r>
        <w:rPr>
          <w:spacing w:val="-5"/>
        </w:rPr>
        <w:t>lo </w:t>
      </w:r>
      <w:r>
        <w:rPr/>
        <w:t>tanto, IPNV se vería imposibilitado para ejercer algún mecanismo antagónico de evasión de respuesta inmune a 8°C. Este resultado concuerda con los hallazgos tanto </w:t>
      </w:r>
      <w:r>
        <w:rPr>
          <w:i/>
        </w:rPr>
        <w:t>in vitro </w:t>
      </w:r>
      <w:r>
        <w:rPr>
          <w:spacing w:val="-3"/>
        </w:rPr>
        <w:t>como </w:t>
      </w:r>
      <w:r>
        <w:rPr>
          <w:i/>
        </w:rPr>
        <w:t>in vivo </w:t>
      </w:r>
      <w:r>
        <w:rPr/>
        <w:t>de Kinkelin y Dorson (1973), que han descrito significante actividad antiviral de interferón y los genes estimulados, como </w:t>
      </w:r>
      <w:r>
        <w:rPr>
          <w:spacing w:val="-5"/>
        </w:rPr>
        <w:t>la </w:t>
      </w:r>
      <w:r>
        <w:rPr/>
        <w:t>proteína Mx-1.</w:t>
      </w:r>
    </w:p>
    <w:p>
      <w:pPr>
        <w:pStyle w:val="BodyText"/>
        <w:spacing w:line="360" w:lineRule="auto" w:before="4"/>
        <w:ind w:left="152" w:right="105"/>
        <w:jc w:val="both"/>
      </w:pPr>
      <w:r>
        <w:rPr/>
        <w:t>Los resultados en peces infectados a 12°C mostraron aparición de enfermedad y 100% de mortalidad</w:t>
      </w:r>
      <w:r>
        <w:rPr>
          <w:spacing w:val="-7"/>
        </w:rPr>
        <w:t> </w:t>
      </w:r>
      <w:r>
        <w:rPr/>
        <w:t>entre</w:t>
      </w:r>
      <w:r>
        <w:rPr>
          <w:spacing w:val="-9"/>
        </w:rPr>
        <w:t> </w:t>
      </w:r>
      <w:r>
        <w:rPr/>
        <w:t>el</w:t>
      </w:r>
      <w:r>
        <w:rPr>
          <w:spacing w:val="-18"/>
        </w:rPr>
        <w:t> </w:t>
      </w:r>
      <w:r>
        <w:rPr/>
        <w:t>6</w:t>
      </w:r>
      <w:r>
        <w:rPr>
          <w:spacing w:val="-5"/>
        </w:rPr>
        <w:t> </w:t>
      </w:r>
      <w:r>
        <w:rPr/>
        <w:t>y</w:t>
      </w:r>
      <w:r>
        <w:rPr>
          <w:spacing w:val="-18"/>
        </w:rPr>
        <w:t> </w:t>
      </w:r>
      <w:r>
        <w:rPr/>
        <w:t>14</w:t>
      </w:r>
      <w:r>
        <w:rPr>
          <w:spacing w:val="-9"/>
        </w:rPr>
        <w:t> </w:t>
      </w:r>
      <w:r>
        <w:rPr/>
        <w:t>dpi,</w:t>
      </w:r>
      <w:r>
        <w:rPr>
          <w:spacing w:val="-7"/>
        </w:rPr>
        <w:t> </w:t>
      </w:r>
      <w:r>
        <w:rPr/>
        <w:t>concordante</w:t>
      </w:r>
      <w:r>
        <w:rPr>
          <w:spacing w:val="-7"/>
        </w:rPr>
        <w:t> </w:t>
      </w:r>
      <w:r>
        <w:rPr/>
        <w:t>con</w:t>
      </w:r>
      <w:r>
        <w:rPr>
          <w:spacing w:val="-13"/>
        </w:rPr>
        <w:t> </w:t>
      </w:r>
      <w:r>
        <w:rPr/>
        <w:t>Wolf</w:t>
      </w:r>
      <w:r>
        <w:rPr>
          <w:spacing w:val="-16"/>
        </w:rPr>
        <w:t> </w:t>
      </w:r>
      <w:r>
        <w:rPr/>
        <w:t>(1988),</w:t>
      </w:r>
      <w:r>
        <w:rPr>
          <w:spacing w:val="-7"/>
        </w:rPr>
        <w:t> </w:t>
      </w:r>
      <w:r>
        <w:rPr/>
        <w:t>quien</w:t>
      </w:r>
      <w:r>
        <w:rPr>
          <w:spacing w:val="-13"/>
        </w:rPr>
        <w:t> </w:t>
      </w:r>
      <w:r>
        <w:rPr/>
        <w:t>refiere</w:t>
      </w:r>
      <w:r>
        <w:rPr>
          <w:spacing w:val="-10"/>
        </w:rPr>
        <w:t> </w:t>
      </w:r>
      <w:r>
        <w:rPr/>
        <w:t>que</w:t>
      </w:r>
      <w:r>
        <w:rPr>
          <w:spacing w:val="-6"/>
        </w:rPr>
        <w:t> </w:t>
      </w:r>
      <w:r>
        <w:rPr>
          <w:spacing w:val="-3"/>
        </w:rPr>
        <w:t>la</w:t>
      </w:r>
      <w:r>
        <w:rPr>
          <w:spacing w:val="-10"/>
        </w:rPr>
        <w:t> </w:t>
      </w:r>
      <w:r>
        <w:rPr/>
        <w:t>enfermedad clínica de IPN se desarrolla en salmónidos en torno a esta</w:t>
      </w:r>
      <w:r>
        <w:rPr>
          <w:spacing w:val="-43"/>
        </w:rPr>
        <w:t> </w:t>
      </w:r>
      <w:r>
        <w:rPr/>
        <w:t>temperatura. En nuestro caso, una</w:t>
      </w:r>
    </w:p>
    <w:p>
      <w:pPr>
        <w:spacing w:after="0" w:line="360" w:lineRule="auto"/>
        <w:jc w:val="both"/>
        <w:sectPr>
          <w:pgSz w:w="12240" w:h="15840"/>
          <w:pgMar w:header="0" w:footer="1382" w:top="1500" w:bottom="1580" w:left="1720" w:right="1420"/>
        </w:sectPr>
      </w:pPr>
    </w:p>
    <w:p>
      <w:pPr>
        <w:pStyle w:val="BodyText"/>
        <w:spacing w:before="7"/>
        <w:rPr>
          <w:sz w:val="25"/>
        </w:rPr>
      </w:pPr>
    </w:p>
    <w:p>
      <w:pPr>
        <w:pStyle w:val="BodyText"/>
        <w:spacing w:line="360" w:lineRule="auto" w:before="70"/>
        <w:ind w:left="152" w:right="101"/>
        <w:jc w:val="both"/>
      </w:pPr>
      <w:r>
        <w:rPr/>
        <w:t>explicación se focaliza en </w:t>
      </w:r>
      <w:r>
        <w:rPr>
          <w:spacing w:val="-3"/>
        </w:rPr>
        <w:t>las </w:t>
      </w:r>
      <w:r>
        <w:rPr/>
        <w:t>estrategias virales para evasión del sistema de interferón, apoyado en </w:t>
      </w:r>
      <w:r>
        <w:rPr>
          <w:spacing w:val="-3"/>
        </w:rPr>
        <w:t>la </w:t>
      </w:r>
      <w:r>
        <w:rPr/>
        <w:t>disminución de </w:t>
      </w:r>
      <w:r>
        <w:rPr>
          <w:spacing w:val="-3"/>
        </w:rPr>
        <w:t>la </w:t>
      </w:r>
      <w:r>
        <w:rPr/>
        <w:t>expresión de STAT-1(</w:t>
      </w:r>
      <w:r>
        <w:rPr>
          <w:i/>
        </w:rPr>
        <w:t>α</w:t>
      </w:r>
      <w:r>
        <w:rPr/>
        <w:t>) después del día 7 en comparación con</w:t>
      </w:r>
      <w:r>
        <w:rPr>
          <w:spacing w:val="-4"/>
        </w:rPr>
        <w:t> </w:t>
      </w:r>
      <w:r>
        <w:rPr>
          <w:spacing w:val="-5"/>
        </w:rPr>
        <w:t>lo</w:t>
      </w:r>
      <w:r>
        <w:rPr>
          <w:spacing w:val="1"/>
        </w:rPr>
        <w:t> </w:t>
      </w:r>
      <w:r>
        <w:rPr/>
        <w:t>obtenido</w:t>
      </w:r>
      <w:r>
        <w:rPr>
          <w:spacing w:val="1"/>
        </w:rPr>
        <w:t> </w:t>
      </w:r>
      <w:r>
        <w:rPr/>
        <w:t>a</w:t>
      </w:r>
      <w:r>
        <w:rPr>
          <w:spacing w:val="-5"/>
        </w:rPr>
        <w:t> </w:t>
      </w:r>
      <w:r>
        <w:rPr/>
        <w:t>8</w:t>
      </w:r>
      <w:r>
        <w:rPr>
          <w:spacing w:val="1"/>
        </w:rPr>
        <w:t> </w:t>
      </w:r>
      <w:r>
        <w:rPr/>
        <w:t>y</w:t>
      </w:r>
      <w:r>
        <w:rPr>
          <w:spacing w:val="-13"/>
        </w:rPr>
        <w:t> </w:t>
      </w:r>
      <w:r>
        <w:rPr/>
        <w:t>16°C.</w:t>
      </w:r>
      <w:r>
        <w:rPr>
          <w:spacing w:val="-2"/>
        </w:rPr>
        <w:t> </w:t>
      </w:r>
      <w:r>
        <w:rPr/>
        <w:t>Además</w:t>
      </w:r>
      <w:r>
        <w:rPr>
          <w:spacing w:val="-6"/>
        </w:rPr>
        <w:t> </w:t>
      </w:r>
      <w:r>
        <w:rPr/>
        <w:t>de</w:t>
      </w:r>
      <w:r>
        <w:rPr>
          <w:spacing w:val="-5"/>
        </w:rPr>
        <w:t> </w:t>
      </w:r>
      <w:r>
        <w:rPr/>
        <w:t>una</w:t>
      </w:r>
      <w:r>
        <w:rPr>
          <w:spacing w:val="-5"/>
        </w:rPr>
        <w:t> </w:t>
      </w:r>
      <w:r>
        <w:rPr/>
        <w:t>disminución</w:t>
      </w:r>
      <w:r>
        <w:rPr>
          <w:spacing w:val="-9"/>
        </w:rPr>
        <w:t> </w:t>
      </w:r>
      <w:r>
        <w:rPr/>
        <w:t>de</w:t>
      </w:r>
      <w:r>
        <w:rPr>
          <w:spacing w:val="-5"/>
        </w:rPr>
        <w:t> </w:t>
      </w:r>
      <w:r>
        <w:rPr/>
        <w:t>expresión</w:t>
      </w:r>
      <w:r>
        <w:rPr>
          <w:spacing w:val="-9"/>
        </w:rPr>
        <w:t> </w:t>
      </w:r>
      <w:r>
        <w:rPr/>
        <w:t>de</w:t>
      </w:r>
      <w:r>
        <w:rPr>
          <w:spacing w:val="3"/>
        </w:rPr>
        <w:t> </w:t>
      </w:r>
      <w:r>
        <w:rPr/>
        <w:t>IFN-I(</w:t>
      </w:r>
      <w:r>
        <w:rPr>
          <w:i/>
        </w:rPr>
        <w:t>α</w:t>
      </w:r>
      <w:r>
        <w:rPr/>
        <w:t>)</w:t>
      </w:r>
      <w:r>
        <w:rPr>
          <w:spacing w:val="-2"/>
        </w:rPr>
        <w:t> </w:t>
      </w:r>
      <w:r>
        <w:rPr/>
        <w:t>en</w:t>
      </w:r>
      <w:r>
        <w:rPr>
          <w:spacing w:val="-9"/>
        </w:rPr>
        <w:t> </w:t>
      </w:r>
      <w:r>
        <w:rPr/>
        <w:t>todo</w:t>
      </w:r>
      <w:r>
        <w:rPr>
          <w:spacing w:val="1"/>
        </w:rPr>
        <w:t> </w:t>
      </w:r>
      <w:r>
        <w:rPr/>
        <w:t>el experimento comparado con los valores obtenidos a 16°C. Posiblemente a 12°C en los primeros días de infección, IPNV pudo bloquear el promotor de STAT-1(</w:t>
      </w:r>
      <w:r>
        <w:rPr>
          <w:i/>
        </w:rPr>
        <w:t>α</w:t>
      </w:r>
      <w:r>
        <w:rPr/>
        <w:t>) o ejercer un bloqueo</w:t>
      </w:r>
      <w:r>
        <w:rPr>
          <w:spacing w:val="-9"/>
        </w:rPr>
        <w:t> </w:t>
      </w:r>
      <w:r>
        <w:rPr/>
        <w:t>sobre</w:t>
      </w:r>
      <w:r>
        <w:rPr>
          <w:spacing w:val="-14"/>
        </w:rPr>
        <w:t> </w:t>
      </w:r>
      <w:r>
        <w:rPr/>
        <w:t>los</w:t>
      </w:r>
      <w:r>
        <w:rPr>
          <w:spacing w:val="-15"/>
        </w:rPr>
        <w:t> </w:t>
      </w:r>
      <w:r>
        <w:rPr/>
        <w:t>elementos</w:t>
      </w:r>
      <w:r>
        <w:rPr>
          <w:spacing w:val="-20"/>
        </w:rPr>
        <w:t> </w:t>
      </w:r>
      <w:r>
        <w:rPr/>
        <w:t>de</w:t>
      </w:r>
      <w:r>
        <w:rPr>
          <w:spacing w:val="-18"/>
        </w:rPr>
        <w:t> </w:t>
      </w:r>
      <w:r>
        <w:rPr/>
        <w:t>respuesta</w:t>
      </w:r>
      <w:r>
        <w:rPr>
          <w:spacing w:val="-14"/>
        </w:rPr>
        <w:t> </w:t>
      </w:r>
      <w:r>
        <w:rPr/>
        <w:t>estimulados</w:t>
      </w:r>
      <w:r>
        <w:rPr>
          <w:spacing w:val="-15"/>
        </w:rPr>
        <w:t> </w:t>
      </w:r>
      <w:r>
        <w:rPr/>
        <w:t>por</w:t>
      </w:r>
      <w:r>
        <w:rPr>
          <w:spacing w:val="-12"/>
        </w:rPr>
        <w:t> </w:t>
      </w:r>
      <w:r>
        <w:rPr/>
        <w:t>interferón</w:t>
      </w:r>
      <w:r>
        <w:rPr>
          <w:spacing w:val="-17"/>
        </w:rPr>
        <w:t> </w:t>
      </w:r>
      <w:r>
        <w:rPr/>
        <w:t>(ISRE),</w:t>
      </w:r>
      <w:r>
        <w:rPr>
          <w:spacing w:val="-15"/>
        </w:rPr>
        <w:t> </w:t>
      </w:r>
      <w:r>
        <w:rPr/>
        <w:t>afectando</w:t>
      </w:r>
      <w:r>
        <w:rPr>
          <w:spacing w:val="-9"/>
        </w:rPr>
        <w:t> </w:t>
      </w:r>
      <w:r>
        <w:rPr/>
        <w:t>genes estimulados por interferón (ISGs) e interfiriendo a nivel de vía de señalamiento de esta citoquina. Una segunda explicación para este hallazgo </w:t>
      </w:r>
      <w:r>
        <w:rPr>
          <w:spacing w:val="-3"/>
        </w:rPr>
        <w:t>podría </w:t>
      </w:r>
      <w:r>
        <w:rPr/>
        <w:t>ser un efecto viral antagónico sobre </w:t>
      </w:r>
      <w:r>
        <w:rPr>
          <w:spacing w:val="-5"/>
        </w:rPr>
        <w:t>la </w:t>
      </w:r>
      <w:r>
        <w:rPr/>
        <w:t>traducción del gen Mx-1, única isoforma en truchas inducida directamente por</w:t>
      </w:r>
      <w:r>
        <w:rPr>
          <w:spacing w:val="-36"/>
        </w:rPr>
        <w:t> </w:t>
      </w:r>
      <w:r>
        <w:rPr/>
        <w:t>IFN- I (</w:t>
      </w:r>
      <w:r>
        <w:rPr>
          <w:i/>
        </w:rPr>
        <w:t>α</w:t>
      </w:r>
      <w:r>
        <w:rPr/>
        <w:t>) (Tafalla </w:t>
      </w:r>
      <w:r>
        <w:rPr>
          <w:i/>
        </w:rPr>
        <w:t>et al</w:t>
      </w:r>
      <w:r>
        <w:rPr/>
        <w:t>., 2007), dado que el nivel de expresión de Mx-1 </w:t>
      </w:r>
      <w:r>
        <w:rPr>
          <w:spacing w:val="-3"/>
        </w:rPr>
        <w:t>fue </w:t>
      </w:r>
      <w:r>
        <w:rPr/>
        <w:t>incrementado de manera</w:t>
      </w:r>
      <w:r>
        <w:rPr>
          <w:spacing w:val="-16"/>
        </w:rPr>
        <w:t> </w:t>
      </w:r>
      <w:r>
        <w:rPr/>
        <w:t>significativa</w:t>
      </w:r>
      <w:r>
        <w:rPr>
          <w:spacing w:val="-12"/>
        </w:rPr>
        <w:t> </w:t>
      </w:r>
      <w:r>
        <w:rPr/>
        <w:t>los</w:t>
      </w:r>
      <w:r>
        <w:rPr>
          <w:spacing w:val="-18"/>
        </w:rPr>
        <w:t> </w:t>
      </w:r>
      <w:r>
        <w:rPr/>
        <w:t>días</w:t>
      </w:r>
      <w:r>
        <w:rPr>
          <w:spacing w:val="-18"/>
        </w:rPr>
        <w:t> </w:t>
      </w:r>
      <w:r>
        <w:rPr/>
        <w:t>2,</w:t>
      </w:r>
      <w:r>
        <w:rPr>
          <w:spacing w:val="-13"/>
        </w:rPr>
        <w:t> </w:t>
      </w:r>
      <w:r>
        <w:rPr/>
        <w:t>4,</w:t>
      </w:r>
      <w:r>
        <w:rPr>
          <w:spacing w:val="-13"/>
        </w:rPr>
        <w:t> </w:t>
      </w:r>
      <w:r>
        <w:rPr/>
        <w:t>7</w:t>
      </w:r>
      <w:r>
        <w:rPr>
          <w:spacing w:val="-15"/>
        </w:rPr>
        <w:t> </w:t>
      </w:r>
      <w:r>
        <w:rPr/>
        <w:t>y</w:t>
      </w:r>
      <w:r>
        <w:rPr>
          <w:spacing w:val="-24"/>
        </w:rPr>
        <w:t> </w:t>
      </w:r>
      <w:r>
        <w:rPr/>
        <w:t>14,</w:t>
      </w:r>
      <w:r>
        <w:rPr>
          <w:spacing w:val="-13"/>
        </w:rPr>
        <w:t> </w:t>
      </w:r>
      <w:r>
        <w:rPr/>
        <w:t>comparado</w:t>
      </w:r>
      <w:r>
        <w:rPr>
          <w:spacing w:val="-11"/>
        </w:rPr>
        <w:t> </w:t>
      </w:r>
      <w:r>
        <w:rPr/>
        <w:t>con</w:t>
      </w:r>
      <w:r>
        <w:rPr>
          <w:spacing w:val="-15"/>
        </w:rPr>
        <w:t> </w:t>
      </w:r>
      <w:r>
        <w:rPr/>
        <w:t>los</w:t>
      </w:r>
      <w:r>
        <w:rPr>
          <w:spacing w:val="-18"/>
        </w:rPr>
        <w:t> </w:t>
      </w:r>
      <w:r>
        <w:rPr/>
        <w:t>valores</w:t>
      </w:r>
      <w:r>
        <w:rPr>
          <w:spacing w:val="-18"/>
        </w:rPr>
        <w:t> </w:t>
      </w:r>
      <w:r>
        <w:rPr/>
        <w:t>de</w:t>
      </w:r>
      <w:r>
        <w:rPr>
          <w:spacing w:val="-16"/>
        </w:rPr>
        <w:t> </w:t>
      </w:r>
      <w:r>
        <w:rPr/>
        <w:t>expresiones</w:t>
      </w:r>
      <w:r>
        <w:rPr>
          <w:spacing w:val="-18"/>
        </w:rPr>
        <w:t> </w:t>
      </w:r>
      <w:r>
        <w:rPr/>
        <w:t>obtenidas a</w:t>
      </w:r>
      <w:r>
        <w:rPr>
          <w:spacing w:val="-12"/>
        </w:rPr>
        <w:t> </w:t>
      </w:r>
      <w:r>
        <w:rPr/>
        <w:t>8</w:t>
      </w:r>
      <w:r>
        <w:rPr>
          <w:spacing w:val="-11"/>
        </w:rPr>
        <w:t> </w:t>
      </w:r>
      <w:r>
        <w:rPr/>
        <w:t>y</w:t>
      </w:r>
      <w:r>
        <w:rPr>
          <w:spacing w:val="-20"/>
        </w:rPr>
        <w:t> </w:t>
      </w:r>
      <w:r>
        <w:rPr/>
        <w:t>16°C.</w:t>
      </w:r>
      <w:r>
        <w:rPr>
          <w:spacing w:val="-10"/>
        </w:rPr>
        <w:t> </w:t>
      </w:r>
      <w:r>
        <w:rPr/>
        <w:t>Además</w:t>
      </w:r>
      <w:r>
        <w:rPr>
          <w:spacing w:val="-9"/>
        </w:rPr>
        <w:t> </w:t>
      </w:r>
      <w:r>
        <w:rPr>
          <w:spacing w:val="-5"/>
        </w:rPr>
        <w:t>la</w:t>
      </w:r>
      <w:r>
        <w:rPr>
          <w:spacing w:val="-12"/>
        </w:rPr>
        <w:t> </w:t>
      </w:r>
      <w:r>
        <w:rPr/>
        <w:t>expresión</w:t>
      </w:r>
      <w:r>
        <w:rPr>
          <w:spacing w:val="-15"/>
        </w:rPr>
        <w:t> </w:t>
      </w:r>
      <w:r>
        <w:rPr/>
        <w:t>de</w:t>
      </w:r>
      <w:r>
        <w:rPr>
          <w:spacing w:val="-12"/>
        </w:rPr>
        <w:t> </w:t>
      </w:r>
      <w:r>
        <w:rPr/>
        <w:t>este</w:t>
      </w:r>
      <w:r>
        <w:rPr>
          <w:spacing w:val="-12"/>
        </w:rPr>
        <w:t> </w:t>
      </w:r>
      <w:r>
        <w:rPr/>
        <w:t>gen</w:t>
      </w:r>
      <w:r>
        <w:rPr>
          <w:spacing w:val="-15"/>
        </w:rPr>
        <w:t> </w:t>
      </w:r>
      <w:r>
        <w:rPr>
          <w:spacing w:val="-3"/>
        </w:rPr>
        <w:t>fue</w:t>
      </w:r>
      <w:r>
        <w:rPr>
          <w:spacing w:val="-12"/>
        </w:rPr>
        <w:t> </w:t>
      </w:r>
      <w:r>
        <w:rPr/>
        <w:t>significativamente</w:t>
      </w:r>
      <w:r>
        <w:rPr>
          <w:spacing w:val="-12"/>
        </w:rPr>
        <w:t> </w:t>
      </w:r>
      <w:r>
        <w:rPr/>
        <w:t>aumentado</w:t>
      </w:r>
      <w:r>
        <w:rPr>
          <w:spacing w:val="-7"/>
        </w:rPr>
        <w:t> </w:t>
      </w:r>
      <w:r>
        <w:rPr/>
        <w:t>al</w:t>
      </w:r>
      <w:r>
        <w:rPr>
          <w:spacing w:val="-20"/>
        </w:rPr>
        <w:t> </w:t>
      </w:r>
      <w:r>
        <w:rPr/>
        <w:t>compararse con</w:t>
      </w:r>
      <w:r>
        <w:rPr>
          <w:spacing w:val="-11"/>
        </w:rPr>
        <w:t> </w:t>
      </w:r>
      <w:r>
        <w:rPr/>
        <w:t>IFN-I(</w:t>
      </w:r>
      <w:r>
        <w:rPr>
          <w:i/>
        </w:rPr>
        <w:t>α</w:t>
      </w:r>
      <w:r>
        <w:rPr/>
        <w:t>)</w:t>
      </w:r>
      <w:r>
        <w:rPr>
          <w:spacing w:val="-4"/>
        </w:rPr>
        <w:t> </w:t>
      </w:r>
      <w:r>
        <w:rPr/>
        <w:t>y</w:t>
      </w:r>
      <w:r>
        <w:rPr>
          <w:spacing w:val="-14"/>
        </w:rPr>
        <w:t> </w:t>
      </w:r>
      <w:r>
        <w:rPr/>
        <w:t>STAT-1(</w:t>
      </w:r>
      <w:r>
        <w:rPr>
          <w:i/>
        </w:rPr>
        <w:t>α</w:t>
      </w:r>
      <w:r>
        <w:rPr/>
        <w:t>);</w:t>
      </w:r>
      <w:r>
        <w:rPr>
          <w:spacing w:val="-10"/>
        </w:rPr>
        <w:t> </w:t>
      </w:r>
      <w:r>
        <w:rPr/>
        <w:t>sin</w:t>
      </w:r>
      <w:r>
        <w:rPr>
          <w:spacing w:val="-11"/>
        </w:rPr>
        <w:t> </w:t>
      </w:r>
      <w:r>
        <w:rPr/>
        <w:t>embargo</w:t>
      </w:r>
      <w:r>
        <w:rPr>
          <w:spacing w:val="-1"/>
        </w:rPr>
        <w:t> </w:t>
      </w:r>
      <w:r>
        <w:rPr>
          <w:spacing w:val="-3"/>
        </w:rPr>
        <w:t>no</w:t>
      </w:r>
      <w:r>
        <w:rPr>
          <w:spacing w:val="-1"/>
        </w:rPr>
        <w:t> </w:t>
      </w:r>
      <w:r>
        <w:rPr>
          <w:spacing w:val="-3"/>
        </w:rPr>
        <w:t>fue</w:t>
      </w:r>
      <w:r>
        <w:rPr>
          <w:spacing w:val="-7"/>
        </w:rPr>
        <w:t> </w:t>
      </w:r>
      <w:r>
        <w:rPr/>
        <w:t>capaz</w:t>
      </w:r>
      <w:r>
        <w:rPr>
          <w:spacing w:val="-7"/>
        </w:rPr>
        <w:t> </w:t>
      </w:r>
      <w:r>
        <w:rPr/>
        <w:t>de</w:t>
      </w:r>
      <w:r>
        <w:rPr>
          <w:spacing w:val="-7"/>
        </w:rPr>
        <w:t> </w:t>
      </w:r>
      <w:r>
        <w:rPr/>
        <w:t>ejercer</w:t>
      </w:r>
      <w:r>
        <w:rPr>
          <w:spacing w:val="-4"/>
        </w:rPr>
        <w:t> </w:t>
      </w:r>
      <w:r>
        <w:rPr/>
        <w:t>actividad</w:t>
      </w:r>
      <w:r>
        <w:rPr>
          <w:spacing w:val="-1"/>
        </w:rPr>
        <w:t> </w:t>
      </w:r>
      <w:r>
        <w:rPr/>
        <w:t>biológica</w:t>
      </w:r>
      <w:r>
        <w:rPr>
          <w:spacing w:val="-2"/>
        </w:rPr>
        <w:t> </w:t>
      </w:r>
      <w:r>
        <w:rPr/>
        <w:t>antiviral (Larsen et al., 2004) después del día 7, cuando IPNV aumento el título. Ambas hipótesis, podrían dar respuesta a </w:t>
      </w:r>
      <w:r>
        <w:rPr>
          <w:spacing w:val="-5"/>
        </w:rPr>
        <w:t>la </w:t>
      </w:r>
      <w:r>
        <w:rPr/>
        <w:t>mortalidad presentada con </w:t>
      </w:r>
      <w:r>
        <w:rPr>
          <w:spacing w:val="-5"/>
        </w:rPr>
        <w:t>la </w:t>
      </w:r>
      <w:r>
        <w:rPr/>
        <w:t>sintomatología clínica de </w:t>
      </w:r>
      <w:r>
        <w:rPr>
          <w:spacing w:val="-5"/>
        </w:rPr>
        <w:t>la </w:t>
      </w:r>
      <w:r>
        <w:rPr/>
        <w:t>enfermedad de IPN (Snieszko y Wolf,</w:t>
      </w:r>
      <w:r>
        <w:rPr>
          <w:spacing w:val="-14"/>
        </w:rPr>
        <w:t> </w:t>
      </w:r>
      <w:r>
        <w:rPr/>
        <w:t>1958).</w:t>
      </w:r>
    </w:p>
    <w:p>
      <w:pPr>
        <w:pStyle w:val="BodyText"/>
        <w:spacing w:line="360" w:lineRule="auto" w:before="8"/>
        <w:ind w:left="152" w:right="116"/>
        <w:jc w:val="both"/>
      </w:pPr>
      <w:r>
        <w:rPr/>
        <w:t>A pesar de que Dobos (1995) comenta que IPNV se replica en el citoplasma y que el virus  y sus proteínas nunca ingresan al núcleo, es necesario abundar el tema mediante estudios de co-localización celular de las proteínas VP4 y VP5 que podrían elucidar posibles funciones antagónicas a </w:t>
      </w:r>
      <w:r>
        <w:rPr>
          <w:spacing w:val="-5"/>
        </w:rPr>
        <w:t>la </w:t>
      </w:r>
      <w:r>
        <w:rPr/>
        <w:t>vía de señalización de interferón tipo I (Skjesol </w:t>
      </w:r>
      <w:r>
        <w:rPr>
          <w:i/>
        </w:rPr>
        <w:t>et al</w:t>
      </w:r>
      <w:r>
        <w:rPr/>
        <w:t>.,</w:t>
      </w:r>
      <w:r>
        <w:rPr>
          <w:spacing w:val="-4"/>
        </w:rPr>
        <w:t> </w:t>
      </w:r>
      <w:r>
        <w:rPr/>
        <w:t>2009).</w:t>
      </w:r>
    </w:p>
    <w:p>
      <w:pPr>
        <w:pStyle w:val="BodyText"/>
        <w:spacing w:line="360" w:lineRule="auto" w:before="8"/>
        <w:ind w:left="152" w:right="106"/>
        <w:jc w:val="both"/>
      </w:pPr>
      <w:r>
        <w:rPr/>
        <w:t>Jørgensen </w:t>
      </w:r>
      <w:r>
        <w:rPr>
          <w:i/>
        </w:rPr>
        <w:t>et al</w:t>
      </w:r>
      <w:r>
        <w:rPr/>
        <w:t>., (2007) propuso posible bloqueo del promotor de Mx-1, al estimular células CHSE-MX-10 con IPNV e IFN-I(</w:t>
      </w:r>
      <w:r>
        <w:rPr>
          <w:i/>
        </w:rPr>
        <w:t>α</w:t>
      </w:r>
      <w:r>
        <w:rPr/>
        <w:t>) a </w:t>
      </w:r>
      <w:r>
        <w:rPr>
          <w:spacing w:val="-5"/>
        </w:rPr>
        <w:t>la </w:t>
      </w:r>
      <w:r>
        <w:rPr/>
        <w:t>temperatura de 20°C, </w:t>
      </w:r>
      <w:r>
        <w:rPr>
          <w:spacing w:val="-3"/>
        </w:rPr>
        <w:t>sin </w:t>
      </w:r>
      <w:r>
        <w:rPr/>
        <w:t>embargo nuestros resultados a 12°C, temperatura donde se presentó </w:t>
      </w:r>
      <w:r>
        <w:rPr>
          <w:spacing w:val="-3"/>
        </w:rPr>
        <w:t>la </w:t>
      </w:r>
      <w:r>
        <w:rPr/>
        <w:t>enfermedad clínica, </w:t>
      </w:r>
      <w:r>
        <w:rPr>
          <w:spacing w:val="-3"/>
        </w:rPr>
        <w:t>no </w:t>
      </w:r>
      <w:r>
        <w:rPr/>
        <w:t>se registró este hallazgo. Por el contrario, el promedio de expresión de Mx-1 </w:t>
      </w:r>
      <w:r>
        <w:rPr>
          <w:spacing w:val="-3"/>
        </w:rPr>
        <w:t>fue </w:t>
      </w:r>
      <w:r>
        <w:rPr/>
        <w:t>significativamente </w:t>
      </w:r>
      <w:r>
        <w:rPr>
          <w:spacing w:val="-3"/>
        </w:rPr>
        <w:t>mayor </w:t>
      </w:r>
      <w:r>
        <w:rPr/>
        <w:t>que los valores obtenidos a 8 y 16°C. A </w:t>
      </w:r>
      <w:r>
        <w:rPr>
          <w:spacing w:val="-3"/>
        </w:rPr>
        <w:t>la </w:t>
      </w:r>
      <w:r>
        <w:rPr/>
        <w:t>temperatura de 16°C, </w:t>
      </w:r>
      <w:r>
        <w:rPr>
          <w:spacing w:val="-5"/>
        </w:rPr>
        <w:t>la </w:t>
      </w:r>
      <w:r>
        <w:rPr/>
        <w:t>expresión de Mx-1 </w:t>
      </w:r>
      <w:r>
        <w:rPr>
          <w:spacing w:val="-3"/>
        </w:rPr>
        <w:t>fue </w:t>
      </w:r>
      <w:r>
        <w:rPr/>
        <w:t>disminuida durante el experimento, por </w:t>
      </w:r>
      <w:r>
        <w:rPr>
          <w:spacing w:val="-5"/>
        </w:rPr>
        <w:t>lo </w:t>
      </w:r>
      <w:r>
        <w:rPr/>
        <w:t>que el bloqueo del promotor de Mx-1 reportado por estos autores posiblemente ocurriría a temperaturas superiores a 16°C, pero </w:t>
      </w:r>
      <w:r>
        <w:rPr>
          <w:spacing w:val="-3"/>
        </w:rPr>
        <w:t>no </w:t>
      </w:r>
      <w:r>
        <w:rPr/>
        <w:t>representaría</w:t>
      </w:r>
      <w:r>
        <w:rPr>
          <w:spacing w:val="-16"/>
        </w:rPr>
        <w:t> </w:t>
      </w:r>
      <w:r>
        <w:rPr/>
        <w:t>un</w:t>
      </w:r>
      <w:r>
        <w:rPr>
          <w:spacing w:val="-20"/>
        </w:rPr>
        <w:t> </w:t>
      </w:r>
      <w:r>
        <w:rPr/>
        <w:t>antagonismo</w:t>
      </w:r>
      <w:r>
        <w:rPr>
          <w:spacing w:val="-12"/>
        </w:rPr>
        <w:t> </w:t>
      </w:r>
      <w:r>
        <w:rPr/>
        <w:t>viral</w:t>
      </w:r>
      <w:r>
        <w:rPr>
          <w:spacing w:val="-25"/>
        </w:rPr>
        <w:t> </w:t>
      </w:r>
      <w:r>
        <w:rPr/>
        <w:t>para</w:t>
      </w:r>
      <w:r>
        <w:rPr>
          <w:spacing w:val="-12"/>
        </w:rPr>
        <w:t> </w:t>
      </w:r>
      <w:r>
        <w:rPr>
          <w:spacing w:val="-5"/>
        </w:rPr>
        <w:t>la</w:t>
      </w:r>
      <w:r>
        <w:rPr>
          <w:spacing w:val="-16"/>
        </w:rPr>
        <w:t> </w:t>
      </w:r>
      <w:r>
        <w:rPr/>
        <w:t>aparición</w:t>
      </w:r>
      <w:r>
        <w:rPr>
          <w:spacing w:val="-15"/>
        </w:rPr>
        <w:t> </w:t>
      </w:r>
      <w:r>
        <w:rPr/>
        <w:t>de</w:t>
      </w:r>
      <w:r>
        <w:rPr>
          <w:spacing w:val="-16"/>
        </w:rPr>
        <w:t> </w:t>
      </w:r>
      <w:r>
        <w:rPr/>
        <w:t>enfermedad</w:t>
      </w:r>
      <w:r>
        <w:rPr>
          <w:spacing w:val="-12"/>
        </w:rPr>
        <w:t> </w:t>
      </w:r>
      <w:r>
        <w:rPr/>
        <w:t>y</w:t>
      </w:r>
      <w:r>
        <w:rPr>
          <w:spacing w:val="-20"/>
        </w:rPr>
        <w:t> </w:t>
      </w:r>
      <w:r>
        <w:rPr/>
        <w:t>mortalidad</w:t>
      </w:r>
      <w:r>
        <w:rPr>
          <w:spacing w:val="-15"/>
        </w:rPr>
        <w:t> </w:t>
      </w:r>
      <w:r>
        <w:rPr/>
        <w:t>en</w:t>
      </w:r>
      <w:r>
        <w:rPr>
          <w:spacing w:val="-12"/>
        </w:rPr>
        <w:t> </w:t>
      </w:r>
      <w:r>
        <w:rPr>
          <w:i/>
        </w:rPr>
        <w:t>O.</w:t>
      </w:r>
      <w:r>
        <w:rPr>
          <w:i/>
          <w:spacing w:val="-13"/>
        </w:rPr>
        <w:t> </w:t>
      </w:r>
      <w:r>
        <w:rPr>
          <w:i/>
        </w:rPr>
        <w:t>mykiss </w:t>
      </w:r>
      <w:r>
        <w:rPr/>
        <w:t>infectadas</w:t>
      </w:r>
      <w:r>
        <w:rPr>
          <w:spacing w:val="40"/>
        </w:rPr>
        <w:t> </w:t>
      </w:r>
      <w:r>
        <w:rPr/>
        <w:t>con</w:t>
      </w:r>
      <w:r>
        <w:rPr>
          <w:spacing w:val="37"/>
        </w:rPr>
        <w:t> </w:t>
      </w:r>
      <w:r>
        <w:rPr/>
        <w:t>IPNV.</w:t>
      </w:r>
      <w:r>
        <w:rPr>
          <w:spacing w:val="39"/>
        </w:rPr>
        <w:t> </w:t>
      </w:r>
      <w:r>
        <w:rPr/>
        <w:t>Por</w:t>
      </w:r>
      <w:r>
        <w:rPr>
          <w:spacing w:val="39"/>
        </w:rPr>
        <w:t> </w:t>
      </w:r>
      <w:r>
        <w:rPr>
          <w:spacing w:val="-5"/>
        </w:rPr>
        <w:t>lo</w:t>
      </w:r>
      <w:r>
        <w:rPr>
          <w:spacing w:val="42"/>
        </w:rPr>
        <w:t> </w:t>
      </w:r>
      <w:r>
        <w:rPr/>
        <w:t>tanto,</w:t>
      </w:r>
      <w:r>
        <w:rPr>
          <w:spacing w:val="39"/>
        </w:rPr>
        <w:t> </w:t>
      </w:r>
      <w:r>
        <w:rPr/>
        <w:t>es</w:t>
      </w:r>
      <w:r>
        <w:rPr>
          <w:spacing w:val="40"/>
        </w:rPr>
        <w:t> </w:t>
      </w:r>
      <w:r>
        <w:rPr/>
        <w:t>notorio</w:t>
      </w:r>
      <w:r>
        <w:rPr>
          <w:spacing w:val="46"/>
        </w:rPr>
        <w:t> </w:t>
      </w:r>
      <w:r>
        <w:rPr/>
        <w:t>que</w:t>
      </w:r>
      <w:r>
        <w:rPr>
          <w:spacing w:val="41"/>
        </w:rPr>
        <w:t> </w:t>
      </w:r>
      <w:r>
        <w:rPr/>
        <w:t>este</w:t>
      </w:r>
      <w:r>
        <w:rPr>
          <w:spacing w:val="36"/>
        </w:rPr>
        <w:t> </w:t>
      </w:r>
      <w:r>
        <w:rPr/>
        <w:t>factor</w:t>
      </w:r>
      <w:r>
        <w:rPr>
          <w:spacing w:val="39"/>
        </w:rPr>
        <w:t> </w:t>
      </w:r>
      <w:r>
        <w:rPr/>
        <w:t>abiótico</w:t>
      </w:r>
      <w:r>
        <w:rPr>
          <w:spacing w:val="46"/>
        </w:rPr>
        <w:t> </w:t>
      </w:r>
      <w:r>
        <w:rPr/>
        <w:t>genera</w:t>
      </w:r>
      <w:r>
        <w:rPr>
          <w:spacing w:val="41"/>
        </w:rPr>
        <w:t> </w:t>
      </w:r>
      <w:r>
        <w:rPr/>
        <w:t>un</w:t>
      </w:r>
      <w:r>
        <w:rPr>
          <w:spacing w:val="37"/>
        </w:rPr>
        <w:t> </w:t>
      </w:r>
      <w:r>
        <w:rPr/>
        <w:t>efecto</w:t>
      </w:r>
    </w:p>
    <w:p>
      <w:pPr>
        <w:spacing w:after="0" w:line="360" w:lineRule="auto"/>
        <w:jc w:val="both"/>
        <w:sectPr>
          <w:footerReference w:type="default" r:id="rId64"/>
          <w:pgSz w:w="12240" w:h="15840"/>
          <w:pgMar w:footer="1382" w:header="0" w:top="1500" w:bottom="1580" w:left="1720" w:right="1420"/>
        </w:sectPr>
      </w:pPr>
    </w:p>
    <w:p>
      <w:pPr>
        <w:pStyle w:val="BodyText"/>
        <w:spacing w:before="7"/>
        <w:rPr>
          <w:sz w:val="25"/>
        </w:rPr>
      </w:pPr>
    </w:p>
    <w:p>
      <w:pPr>
        <w:pStyle w:val="BodyText"/>
        <w:spacing w:line="360" w:lineRule="auto" w:before="70"/>
        <w:ind w:left="152" w:right="105"/>
        <w:jc w:val="both"/>
      </w:pPr>
      <w:r>
        <w:rPr/>
        <w:t>regulatorio</w:t>
      </w:r>
      <w:r>
        <w:rPr>
          <w:spacing w:val="-5"/>
        </w:rPr>
        <w:t> </w:t>
      </w:r>
      <w:r>
        <w:rPr/>
        <w:t>sobre</w:t>
      </w:r>
      <w:r>
        <w:rPr>
          <w:spacing w:val="-6"/>
        </w:rPr>
        <w:t> </w:t>
      </w:r>
      <w:r>
        <w:rPr>
          <w:spacing w:val="-3"/>
        </w:rPr>
        <w:t>la</w:t>
      </w:r>
      <w:r>
        <w:rPr>
          <w:spacing w:val="-11"/>
        </w:rPr>
        <w:t> </w:t>
      </w:r>
      <w:r>
        <w:rPr/>
        <w:t>expresión</w:t>
      </w:r>
      <w:r>
        <w:rPr>
          <w:spacing w:val="-14"/>
        </w:rPr>
        <w:t> </w:t>
      </w:r>
      <w:r>
        <w:rPr/>
        <w:t>de</w:t>
      </w:r>
      <w:r>
        <w:rPr>
          <w:spacing w:val="-11"/>
        </w:rPr>
        <w:t> </w:t>
      </w:r>
      <w:r>
        <w:rPr/>
        <w:t>Mx-1</w:t>
      </w:r>
      <w:r>
        <w:rPr>
          <w:spacing w:val="-10"/>
        </w:rPr>
        <w:t> </w:t>
      </w:r>
      <w:r>
        <w:rPr/>
        <w:t>en</w:t>
      </w:r>
      <w:r>
        <w:rPr>
          <w:spacing w:val="-14"/>
        </w:rPr>
        <w:t> </w:t>
      </w:r>
      <w:r>
        <w:rPr/>
        <w:t>respuesta</w:t>
      </w:r>
      <w:r>
        <w:rPr>
          <w:spacing w:val="-11"/>
        </w:rPr>
        <w:t> </w:t>
      </w:r>
      <w:r>
        <w:rPr/>
        <w:t>a</w:t>
      </w:r>
      <w:r>
        <w:rPr>
          <w:spacing w:val="-11"/>
        </w:rPr>
        <w:t> </w:t>
      </w:r>
      <w:r>
        <w:rPr/>
        <w:t>este</w:t>
      </w:r>
      <w:r>
        <w:rPr>
          <w:spacing w:val="-11"/>
        </w:rPr>
        <w:t> </w:t>
      </w:r>
      <w:r>
        <w:rPr/>
        <w:t>birnavirus.</w:t>
      </w:r>
      <w:r>
        <w:rPr>
          <w:spacing w:val="-8"/>
        </w:rPr>
        <w:t> </w:t>
      </w:r>
      <w:r>
        <w:rPr/>
        <w:t>Además,</w:t>
      </w:r>
      <w:r>
        <w:rPr>
          <w:spacing w:val="-8"/>
        </w:rPr>
        <w:t> </w:t>
      </w:r>
      <w:r>
        <w:rPr/>
        <w:t>es</w:t>
      </w:r>
      <w:r>
        <w:rPr>
          <w:spacing w:val="-7"/>
        </w:rPr>
        <w:t> </w:t>
      </w:r>
      <w:r>
        <w:rPr/>
        <w:t>importante señalar que a 12°C se registró el menor título viral el día 2, </w:t>
      </w:r>
      <w:r>
        <w:rPr>
          <w:spacing w:val="-5"/>
        </w:rPr>
        <w:t>lo </w:t>
      </w:r>
      <w:r>
        <w:rPr>
          <w:spacing w:val="3"/>
        </w:rPr>
        <w:t>que </w:t>
      </w:r>
      <w:r>
        <w:rPr/>
        <w:t>nos </w:t>
      </w:r>
      <w:r>
        <w:rPr>
          <w:spacing w:val="-2"/>
        </w:rPr>
        <w:t>indica </w:t>
      </w:r>
      <w:r>
        <w:rPr/>
        <w:t>que una mayor cantidad de virus que ingresan al pez, </w:t>
      </w:r>
      <w:r>
        <w:rPr>
          <w:spacing w:val="-3"/>
        </w:rPr>
        <w:t>no </w:t>
      </w:r>
      <w:r>
        <w:rPr/>
        <w:t>necesariamente se asocian con el desarrollo de una infección</w:t>
      </w:r>
      <w:r>
        <w:rPr>
          <w:spacing w:val="-15"/>
        </w:rPr>
        <w:t> </w:t>
      </w:r>
      <w:r>
        <w:rPr/>
        <w:t>productiva.</w:t>
      </w:r>
    </w:p>
    <w:p>
      <w:pPr>
        <w:pStyle w:val="BodyText"/>
        <w:spacing w:line="360" w:lineRule="auto" w:before="4"/>
        <w:ind w:left="152" w:right="101"/>
        <w:jc w:val="both"/>
      </w:pPr>
      <w:r>
        <w:rPr/>
        <w:t>En nuestro estudio, en peces desafiados a 16°C se registró un efecto protector por acción de interferón, que se mantuvo expresado de manera altamente significativa desde el día 2 y durante todo el experimento en comparación con la expresión registrada de STAT-1(</w:t>
      </w:r>
      <w:r>
        <w:rPr>
          <w:i/>
        </w:rPr>
        <w:t>α</w:t>
      </w:r>
      <w:r>
        <w:rPr/>
        <w:t>) y Mx-1. Estos resultados serían concordante con (Kinkelin y Dorson 1973), quienes observaron un efecto positivo de IFN-I(</w:t>
      </w:r>
      <w:r>
        <w:rPr>
          <w:i/>
        </w:rPr>
        <w:t>α</w:t>
      </w:r>
      <w:r>
        <w:rPr/>
        <w:t>) en infecciones con IPNV </w:t>
      </w:r>
      <w:r>
        <w:rPr>
          <w:i/>
        </w:rPr>
        <w:t>in vitro </w:t>
      </w:r>
      <w:r>
        <w:rPr/>
        <w:t>durante los primeros días del experimento.</w:t>
      </w:r>
    </w:p>
    <w:p>
      <w:pPr>
        <w:pStyle w:val="BodyText"/>
        <w:spacing w:line="360" w:lineRule="auto" w:before="4"/>
        <w:ind w:left="152" w:right="102"/>
        <w:jc w:val="both"/>
      </w:pPr>
      <w:r>
        <w:rPr/>
        <w:t>Dios </w:t>
      </w:r>
      <w:r>
        <w:rPr>
          <w:i/>
        </w:rPr>
        <w:t>et al</w:t>
      </w:r>
      <w:r>
        <w:rPr/>
        <w:t>., (2010) al estimular larvas de pez cebra (</w:t>
      </w:r>
      <w:r>
        <w:rPr>
          <w:i/>
        </w:rPr>
        <w:t>Danio rerio</w:t>
      </w:r>
      <w:r>
        <w:rPr/>
        <w:t>) con Poly: IC a una temperatura de 15°C, observaron una inhibición en el perfil de expresión de Mx-1. Pero además detectaron menor expresión de Mx-1 en peces adultos tratados con poly I:C, comparado con los valores encontrados en larvas, argumentando que Mx-1 juega papel antiviral importante en etapas tempranas de peces cuando </w:t>
      </w:r>
      <w:r>
        <w:rPr>
          <w:spacing w:val="-3"/>
        </w:rPr>
        <w:t>la </w:t>
      </w:r>
      <w:r>
        <w:rPr/>
        <w:t>repuesta inmune adaptativa </w:t>
      </w:r>
      <w:r>
        <w:rPr>
          <w:spacing w:val="-3"/>
        </w:rPr>
        <w:t>no </w:t>
      </w:r>
      <w:r>
        <w:rPr/>
        <w:t>es funcional. Nosotros, también registramos bajas expresiones de Mx-1 a 16°C en alevines de trucha arcoíris y sin presencia de mortalidad, </w:t>
      </w:r>
      <w:r>
        <w:rPr>
          <w:spacing w:val="-5"/>
        </w:rPr>
        <w:t>lo </w:t>
      </w:r>
      <w:r>
        <w:rPr/>
        <w:t>que permite postular que </w:t>
      </w:r>
      <w:r>
        <w:rPr>
          <w:spacing w:val="-5"/>
        </w:rPr>
        <w:t>la </w:t>
      </w:r>
      <w:r>
        <w:rPr/>
        <w:t>proteína Mx- 1</w:t>
      </w:r>
      <w:r>
        <w:rPr>
          <w:spacing w:val="-9"/>
        </w:rPr>
        <w:t> </w:t>
      </w:r>
      <w:r>
        <w:rPr>
          <w:spacing w:val="-3"/>
        </w:rPr>
        <w:t>no</w:t>
      </w:r>
      <w:r>
        <w:rPr>
          <w:spacing w:val="-4"/>
        </w:rPr>
        <w:t> </w:t>
      </w:r>
      <w:r>
        <w:rPr/>
        <w:t>es</w:t>
      </w:r>
      <w:r>
        <w:rPr>
          <w:spacing w:val="-11"/>
        </w:rPr>
        <w:t> </w:t>
      </w:r>
      <w:r>
        <w:rPr/>
        <w:t>necesaria</w:t>
      </w:r>
      <w:r>
        <w:rPr>
          <w:spacing w:val="-10"/>
        </w:rPr>
        <w:t> </w:t>
      </w:r>
      <w:r>
        <w:rPr/>
        <w:t>en</w:t>
      </w:r>
      <w:r>
        <w:rPr>
          <w:spacing w:val="-13"/>
        </w:rPr>
        <w:t> </w:t>
      </w:r>
      <w:r>
        <w:rPr/>
        <w:t>alevines</w:t>
      </w:r>
      <w:r>
        <w:rPr>
          <w:spacing w:val="-11"/>
        </w:rPr>
        <w:t> </w:t>
      </w:r>
      <w:r>
        <w:rPr/>
        <w:t>desafiados</w:t>
      </w:r>
      <w:r>
        <w:rPr>
          <w:spacing w:val="-11"/>
        </w:rPr>
        <w:t> </w:t>
      </w:r>
      <w:r>
        <w:rPr/>
        <w:t>con</w:t>
      </w:r>
      <w:r>
        <w:rPr>
          <w:spacing w:val="-13"/>
        </w:rPr>
        <w:t> </w:t>
      </w:r>
      <w:r>
        <w:rPr/>
        <w:t>IPNV</w:t>
      </w:r>
      <w:r>
        <w:rPr>
          <w:spacing w:val="-14"/>
        </w:rPr>
        <w:t> </w:t>
      </w:r>
      <w:r>
        <w:rPr/>
        <w:t>a</w:t>
      </w:r>
      <w:r>
        <w:rPr>
          <w:spacing w:val="-10"/>
        </w:rPr>
        <w:t> </w:t>
      </w:r>
      <w:r>
        <w:rPr/>
        <w:t>16°C</w:t>
      </w:r>
      <w:r>
        <w:rPr>
          <w:spacing w:val="-10"/>
        </w:rPr>
        <w:t> </w:t>
      </w:r>
      <w:r>
        <w:rPr/>
        <w:t>al</w:t>
      </w:r>
      <w:r>
        <w:rPr>
          <w:spacing w:val="-13"/>
        </w:rPr>
        <w:t> </w:t>
      </w:r>
      <w:r>
        <w:rPr/>
        <w:t>igual</w:t>
      </w:r>
      <w:r>
        <w:rPr>
          <w:spacing w:val="-13"/>
        </w:rPr>
        <w:t> </w:t>
      </w:r>
      <w:r>
        <w:rPr/>
        <w:t>que</w:t>
      </w:r>
      <w:r>
        <w:rPr>
          <w:spacing w:val="-10"/>
        </w:rPr>
        <w:t> </w:t>
      </w:r>
      <w:r>
        <w:rPr/>
        <w:t>en</w:t>
      </w:r>
      <w:r>
        <w:rPr>
          <w:spacing w:val="-13"/>
        </w:rPr>
        <w:t> </w:t>
      </w:r>
      <w:r>
        <w:rPr/>
        <w:t>peces</w:t>
      </w:r>
      <w:r>
        <w:rPr>
          <w:spacing w:val="-11"/>
        </w:rPr>
        <w:t> </w:t>
      </w:r>
      <w:r>
        <w:rPr/>
        <w:t>adultos</w:t>
      </w:r>
      <w:r>
        <w:rPr>
          <w:spacing w:val="-11"/>
        </w:rPr>
        <w:t> </w:t>
      </w:r>
      <w:r>
        <w:rPr/>
        <w:t>(Dios </w:t>
      </w:r>
      <w:r>
        <w:rPr>
          <w:i/>
        </w:rPr>
        <w:t>et</w:t>
      </w:r>
      <w:r>
        <w:rPr>
          <w:i/>
          <w:spacing w:val="-14"/>
        </w:rPr>
        <w:t> </w:t>
      </w:r>
      <w:r>
        <w:rPr>
          <w:i/>
        </w:rPr>
        <w:t>al</w:t>
      </w:r>
      <w:r>
        <w:rPr/>
        <w:t>.,</w:t>
      </w:r>
      <w:r>
        <w:rPr>
          <w:spacing w:val="-12"/>
        </w:rPr>
        <w:t> </w:t>
      </w:r>
      <w:r>
        <w:rPr/>
        <w:t>2010),</w:t>
      </w:r>
      <w:r>
        <w:rPr>
          <w:spacing w:val="-12"/>
        </w:rPr>
        <w:t> </w:t>
      </w:r>
      <w:r>
        <w:rPr/>
        <w:t>y</w:t>
      </w:r>
      <w:r>
        <w:rPr>
          <w:spacing w:val="-24"/>
        </w:rPr>
        <w:t> </w:t>
      </w:r>
      <w:r>
        <w:rPr/>
        <w:t>probamente</w:t>
      </w:r>
      <w:r>
        <w:rPr>
          <w:spacing w:val="-11"/>
        </w:rPr>
        <w:t> </w:t>
      </w:r>
      <w:r>
        <w:rPr>
          <w:spacing w:val="-5"/>
        </w:rPr>
        <w:t>la</w:t>
      </w:r>
      <w:r>
        <w:rPr>
          <w:spacing w:val="-11"/>
        </w:rPr>
        <w:t> </w:t>
      </w:r>
      <w:r>
        <w:rPr/>
        <w:t>sobreexpresión</w:t>
      </w:r>
      <w:r>
        <w:rPr>
          <w:spacing w:val="-19"/>
        </w:rPr>
        <w:t> </w:t>
      </w:r>
      <w:r>
        <w:rPr/>
        <w:t>de</w:t>
      </w:r>
      <w:r>
        <w:rPr>
          <w:spacing w:val="-11"/>
        </w:rPr>
        <w:t> </w:t>
      </w:r>
      <w:r>
        <w:rPr/>
        <w:t>interferón</w:t>
      </w:r>
      <w:r>
        <w:rPr>
          <w:spacing w:val="-19"/>
        </w:rPr>
        <w:t> </w:t>
      </w:r>
      <w:r>
        <w:rPr/>
        <w:t>a</w:t>
      </w:r>
      <w:r>
        <w:rPr>
          <w:spacing w:val="-15"/>
        </w:rPr>
        <w:t> </w:t>
      </w:r>
      <w:r>
        <w:rPr/>
        <w:t>16°C</w:t>
      </w:r>
      <w:r>
        <w:rPr>
          <w:spacing w:val="-11"/>
        </w:rPr>
        <w:t> </w:t>
      </w:r>
      <w:r>
        <w:rPr/>
        <w:t>implicaría</w:t>
      </w:r>
      <w:r>
        <w:rPr>
          <w:spacing w:val="-15"/>
        </w:rPr>
        <w:t> </w:t>
      </w:r>
      <w:r>
        <w:rPr/>
        <w:t>un</w:t>
      </w:r>
      <w:r>
        <w:rPr>
          <w:spacing w:val="-14"/>
        </w:rPr>
        <w:t> </w:t>
      </w:r>
      <w:r>
        <w:rPr/>
        <w:t>mayor</w:t>
      </w:r>
      <w:r>
        <w:rPr>
          <w:spacing w:val="-13"/>
        </w:rPr>
        <w:t> </w:t>
      </w:r>
      <w:r>
        <w:rPr/>
        <w:t>efecto mediador entre </w:t>
      </w:r>
      <w:r>
        <w:rPr>
          <w:spacing w:val="-5"/>
        </w:rPr>
        <w:t>la </w:t>
      </w:r>
      <w:r>
        <w:rPr/>
        <w:t>respuesta innata y </w:t>
      </w:r>
      <w:r>
        <w:rPr>
          <w:spacing w:val="-3"/>
        </w:rPr>
        <w:t>la </w:t>
      </w:r>
      <w:r>
        <w:rPr/>
        <w:t>respuesta inmune específica (Decker </w:t>
      </w:r>
      <w:r>
        <w:rPr>
          <w:i/>
        </w:rPr>
        <w:t>et al</w:t>
      </w:r>
      <w:r>
        <w:rPr/>
        <w:t>., 2002).</w:t>
      </w:r>
    </w:p>
    <w:p>
      <w:pPr>
        <w:pStyle w:val="BodyText"/>
        <w:spacing w:line="360" w:lineRule="auto" w:before="8"/>
        <w:ind w:left="152" w:right="101"/>
        <w:jc w:val="both"/>
      </w:pPr>
      <w:r>
        <w:rPr/>
        <w:t>La inhibición de expresión de Mx observado por Dios </w:t>
      </w:r>
      <w:r>
        <w:rPr>
          <w:i/>
        </w:rPr>
        <w:t>et al</w:t>
      </w:r>
      <w:r>
        <w:rPr/>
        <w:t>., (2010) en pez cebra se produjo a temperatura considerada baja para peces tropicales (Lawrence, 2007), contrario a este trabajo donde </w:t>
      </w:r>
      <w:r>
        <w:rPr>
          <w:spacing w:val="-5"/>
        </w:rPr>
        <w:t>la </w:t>
      </w:r>
      <w:r>
        <w:rPr/>
        <w:t>disminución se presentó a una temperatura considerada máxima fisiológica para cultivo de trucha (16°C) (Azevedo </w:t>
      </w:r>
      <w:r>
        <w:rPr>
          <w:i/>
        </w:rPr>
        <w:t>et al</w:t>
      </w:r>
      <w:r>
        <w:rPr/>
        <w:t>., 1998). Esto sugiere que </w:t>
      </w:r>
      <w:r>
        <w:rPr>
          <w:spacing w:val="-5"/>
        </w:rPr>
        <w:t>la </w:t>
      </w:r>
      <w:r>
        <w:rPr/>
        <w:t>expresión de </w:t>
      </w:r>
      <w:r>
        <w:rPr>
          <w:spacing w:val="-4"/>
        </w:rPr>
        <w:t>las</w:t>
      </w:r>
      <w:r>
        <w:rPr>
          <w:spacing w:val="52"/>
        </w:rPr>
        <w:t> </w:t>
      </w:r>
      <w:r>
        <w:rPr/>
        <w:t>isoformas de Mx podría depender de </w:t>
      </w:r>
      <w:r>
        <w:rPr>
          <w:spacing w:val="-3"/>
        </w:rPr>
        <w:t>la </w:t>
      </w:r>
      <w:r>
        <w:rPr/>
        <w:t>especie, edad y valores extremos fisiológicos específicos de temperatura; que a nuestro entender deben considerarse como puntos críticos para </w:t>
      </w:r>
      <w:r>
        <w:rPr>
          <w:spacing w:val="-5"/>
        </w:rPr>
        <w:t>la </w:t>
      </w:r>
      <w:r>
        <w:rPr/>
        <w:t>respuesta de interferón. Por </w:t>
      </w:r>
      <w:r>
        <w:rPr>
          <w:spacing w:val="-5"/>
        </w:rPr>
        <w:t>lo </w:t>
      </w:r>
      <w:r>
        <w:rPr/>
        <w:t>anterior, nuestra investigación apoya que </w:t>
      </w:r>
      <w:r>
        <w:rPr>
          <w:spacing w:val="-3"/>
        </w:rPr>
        <w:t>la </w:t>
      </w:r>
      <w:r>
        <w:rPr/>
        <w:t>expresión de   genes  relevantes  de   respuesta   antiviral  como   IFN-I(</w:t>
      </w:r>
      <w:r>
        <w:rPr>
          <w:i/>
        </w:rPr>
        <w:t>α</w:t>
      </w:r>
      <w:r>
        <w:rPr/>
        <w:t>),   STAT-1(</w:t>
      </w:r>
      <w:r>
        <w:rPr>
          <w:i/>
        </w:rPr>
        <w:t>α</w:t>
      </w:r>
      <w:r>
        <w:rPr/>
        <w:t>)   y  Mx-1 son</w:t>
      </w:r>
    </w:p>
    <w:p>
      <w:pPr>
        <w:spacing w:after="0" w:line="360" w:lineRule="auto"/>
        <w:jc w:val="both"/>
        <w:sectPr>
          <w:footerReference w:type="default" r:id="rId65"/>
          <w:pgSz w:w="12240" w:h="15840"/>
          <w:pgMar w:footer="1382" w:header="0" w:top="1500" w:bottom="1580" w:left="1720" w:right="1420"/>
          <w:pgNumType w:start="81"/>
        </w:sectPr>
      </w:pPr>
    </w:p>
    <w:p>
      <w:pPr>
        <w:pStyle w:val="BodyText"/>
        <w:spacing w:before="7"/>
        <w:rPr>
          <w:sz w:val="25"/>
        </w:rPr>
      </w:pPr>
    </w:p>
    <w:p>
      <w:pPr>
        <w:pStyle w:val="BodyText"/>
        <w:spacing w:line="360" w:lineRule="auto" w:before="70"/>
        <w:ind w:left="152" w:right="112"/>
        <w:jc w:val="both"/>
      </w:pPr>
      <w:r>
        <w:rPr/>
        <w:t>fisiológicamente modulados por la temperatura del agua, influyendo directamente en el desarrollo de IPN en trucha arcoíris.</w:t>
      </w:r>
    </w:p>
    <w:p>
      <w:pPr>
        <w:pStyle w:val="BodyText"/>
        <w:spacing w:line="360" w:lineRule="auto" w:before="4"/>
        <w:ind w:left="152" w:right="102"/>
        <w:jc w:val="both"/>
      </w:pPr>
      <w:r>
        <w:rPr/>
        <w:t>En </w:t>
      </w:r>
      <w:r>
        <w:rPr>
          <w:spacing w:val="-3"/>
        </w:rPr>
        <w:t>la </w:t>
      </w:r>
      <w:r>
        <w:rPr/>
        <w:t>segunda etapa de nuestro estudio investigamos si </w:t>
      </w:r>
      <w:r>
        <w:rPr>
          <w:spacing w:val="-3"/>
        </w:rPr>
        <w:t>la </w:t>
      </w:r>
      <w:r>
        <w:rPr/>
        <w:t>vía de señalización de IFN-I(α) es afectada por cepas de IPNV de distinto nivel de virulencia sobre </w:t>
      </w:r>
      <w:r>
        <w:rPr>
          <w:spacing w:val="-5"/>
        </w:rPr>
        <w:t>la </w:t>
      </w:r>
      <w:r>
        <w:rPr/>
        <w:t>activación de </w:t>
      </w:r>
      <w:r>
        <w:rPr>
          <w:spacing w:val="-5"/>
        </w:rPr>
        <w:t>la </w:t>
      </w:r>
      <w:r>
        <w:rPr/>
        <w:t>proteína STAT1(α/β).</w:t>
      </w:r>
      <w:r>
        <w:rPr>
          <w:spacing w:val="-9"/>
        </w:rPr>
        <w:t> </w:t>
      </w:r>
      <w:r>
        <w:rPr/>
        <w:t>En</w:t>
      </w:r>
      <w:r>
        <w:rPr>
          <w:spacing w:val="-15"/>
        </w:rPr>
        <w:t> </w:t>
      </w:r>
      <w:r>
        <w:rPr/>
        <w:t>varios</w:t>
      </w:r>
      <w:r>
        <w:rPr>
          <w:spacing w:val="-13"/>
        </w:rPr>
        <w:t> </w:t>
      </w:r>
      <w:r>
        <w:rPr/>
        <w:t>trabajos</w:t>
      </w:r>
      <w:r>
        <w:rPr>
          <w:spacing w:val="-13"/>
        </w:rPr>
        <w:t> </w:t>
      </w:r>
      <w:r>
        <w:rPr/>
        <w:t>se</w:t>
      </w:r>
      <w:r>
        <w:rPr>
          <w:spacing w:val="-7"/>
        </w:rPr>
        <w:t> </w:t>
      </w:r>
      <w:r>
        <w:rPr/>
        <w:t>ha</w:t>
      </w:r>
      <w:r>
        <w:rPr>
          <w:spacing w:val="-7"/>
        </w:rPr>
        <w:t> </w:t>
      </w:r>
      <w:r>
        <w:rPr/>
        <w:t>informado</w:t>
      </w:r>
      <w:r>
        <w:rPr>
          <w:spacing w:val="-6"/>
        </w:rPr>
        <w:t> </w:t>
      </w:r>
      <w:r>
        <w:rPr/>
        <w:t>que</w:t>
      </w:r>
      <w:r>
        <w:rPr>
          <w:spacing w:val="-7"/>
        </w:rPr>
        <w:t> </w:t>
      </w:r>
      <w:r>
        <w:rPr>
          <w:spacing w:val="-5"/>
        </w:rPr>
        <w:t>la</w:t>
      </w:r>
      <w:r>
        <w:rPr>
          <w:spacing w:val="-7"/>
        </w:rPr>
        <w:t> </w:t>
      </w:r>
      <w:r>
        <w:rPr/>
        <w:t>infección</w:t>
      </w:r>
      <w:r>
        <w:rPr>
          <w:spacing w:val="-15"/>
        </w:rPr>
        <w:t> </w:t>
      </w:r>
      <w:r>
        <w:rPr/>
        <w:t>por</w:t>
      </w:r>
      <w:r>
        <w:rPr>
          <w:spacing w:val="-9"/>
        </w:rPr>
        <w:t> </w:t>
      </w:r>
      <w:r>
        <w:rPr/>
        <w:t>IPNV</w:t>
      </w:r>
      <w:r>
        <w:rPr>
          <w:spacing w:val="-12"/>
        </w:rPr>
        <w:t> </w:t>
      </w:r>
      <w:r>
        <w:rPr/>
        <w:t>induce</w:t>
      </w:r>
      <w:r>
        <w:rPr>
          <w:spacing w:val="-7"/>
        </w:rPr>
        <w:t> </w:t>
      </w:r>
      <w:r>
        <w:rPr>
          <w:spacing w:val="-3"/>
        </w:rPr>
        <w:t>la</w:t>
      </w:r>
      <w:r>
        <w:rPr>
          <w:spacing w:val="-7"/>
        </w:rPr>
        <w:t> </w:t>
      </w:r>
      <w:r>
        <w:rPr/>
        <w:t>síntesis de genes que participan en </w:t>
      </w:r>
      <w:r>
        <w:rPr>
          <w:spacing w:val="-3"/>
        </w:rPr>
        <w:t>la </w:t>
      </w:r>
      <w:r>
        <w:rPr/>
        <w:t>respuesta inmune (Collet </w:t>
      </w:r>
      <w:r>
        <w:rPr>
          <w:i/>
        </w:rPr>
        <w:t>et al</w:t>
      </w:r>
      <w:r>
        <w:rPr/>
        <w:t>., 2007; Skjesol </w:t>
      </w:r>
      <w:r>
        <w:rPr>
          <w:i/>
        </w:rPr>
        <w:t>et al., </w:t>
      </w:r>
      <w:r>
        <w:rPr/>
        <w:t>2011); sin embargo, actualmente, </w:t>
      </w:r>
      <w:r>
        <w:rPr>
          <w:spacing w:val="-5"/>
        </w:rPr>
        <w:t>la </w:t>
      </w:r>
      <w:r>
        <w:rPr/>
        <w:t>relación entre el nivel de respuesta y </w:t>
      </w:r>
      <w:r>
        <w:rPr>
          <w:spacing w:val="-3"/>
        </w:rPr>
        <w:t>la </w:t>
      </w:r>
      <w:r>
        <w:rPr/>
        <w:t>virulencia de </w:t>
      </w:r>
      <w:r>
        <w:rPr>
          <w:spacing w:val="-3"/>
        </w:rPr>
        <w:t>la </w:t>
      </w:r>
      <w:r>
        <w:rPr/>
        <w:t>cepa viral es poco </w:t>
      </w:r>
      <w:r>
        <w:rPr>
          <w:spacing w:val="-2"/>
        </w:rPr>
        <w:t>clara. </w:t>
      </w:r>
      <w:r>
        <w:rPr/>
        <w:t>En un experimento </w:t>
      </w:r>
      <w:r>
        <w:rPr>
          <w:i/>
        </w:rPr>
        <w:t>in vitro </w:t>
      </w:r>
      <w:r>
        <w:rPr/>
        <w:t>evaluamos dos serotipos de IPNV de distinta virulencia (Ortega </w:t>
      </w:r>
      <w:r>
        <w:rPr>
          <w:i/>
        </w:rPr>
        <w:t>et al</w:t>
      </w:r>
      <w:r>
        <w:rPr/>
        <w:t>., 2011). Los resultados muestran que el índice de replicación </w:t>
      </w:r>
      <w:r>
        <w:rPr>
          <w:spacing w:val="2"/>
        </w:rPr>
        <w:t>del </w:t>
      </w:r>
      <w:r>
        <w:rPr/>
        <w:t>serotipo Sp, estimado mediante determinación del transcrito de </w:t>
      </w:r>
      <w:r>
        <w:rPr>
          <w:spacing w:val="-5"/>
        </w:rPr>
        <w:t>la </w:t>
      </w:r>
      <w:r>
        <w:rPr/>
        <w:t>proteína VP2, fue </w:t>
      </w:r>
      <w:r>
        <w:rPr>
          <w:spacing w:val="-3"/>
        </w:rPr>
        <w:t>mayor </w:t>
      </w:r>
      <w:r>
        <w:rPr/>
        <w:t>que el de serotipo VR-299. En relación a esto, tradicionalmente se </w:t>
      </w:r>
      <w:r>
        <w:rPr>
          <w:spacing w:val="-3"/>
        </w:rPr>
        <w:t>ha </w:t>
      </w:r>
      <w:r>
        <w:rPr/>
        <w:t>considerado que </w:t>
      </w:r>
      <w:r>
        <w:rPr>
          <w:spacing w:val="-3"/>
        </w:rPr>
        <w:t>las </w:t>
      </w:r>
      <w:r>
        <w:rPr/>
        <w:t>cepas Sp son </w:t>
      </w:r>
      <w:r>
        <w:rPr>
          <w:spacing w:val="-4"/>
        </w:rPr>
        <w:t>más </w:t>
      </w:r>
      <w:r>
        <w:rPr/>
        <w:t>virulentas que </w:t>
      </w:r>
      <w:r>
        <w:rPr>
          <w:spacing w:val="-3"/>
        </w:rPr>
        <w:t>las </w:t>
      </w:r>
      <w:r>
        <w:rPr/>
        <w:t>de serotipo VR-299 </w:t>
      </w:r>
      <w:r>
        <w:rPr>
          <w:spacing w:val="-3"/>
        </w:rPr>
        <w:t>(Wolf, </w:t>
      </w:r>
      <w:r>
        <w:rPr/>
        <w:t>1988; Dobos, 1995), y han estado implicadas en casos donde se han registrado mayores tasas de mortalidad o cuadros clínicos </w:t>
      </w:r>
      <w:r>
        <w:rPr>
          <w:spacing w:val="-4"/>
        </w:rPr>
        <w:t>más </w:t>
      </w:r>
      <w:r>
        <w:rPr/>
        <w:t>severos (Santi </w:t>
      </w:r>
      <w:r>
        <w:rPr>
          <w:i/>
        </w:rPr>
        <w:t>et al</w:t>
      </w:r>
      <w:r>
        <w:rPr/>
        <w:t>., 2004, Santi </w:t>
      </w:r>
      <w:r>
        <w:rPr>
          <w:i/>
        </w:rPr>
        <w:t>et al</w:t>
      </w:r>
      <w:r>
        <w:rPr/>
        <w:t>., 2005). Inicialmente, Sano </w:t>
      </w:r>
      <w:r>
        <w:rPr>
          <w:i/>
        </w:rPr>
        <w:t>et al</w:t>
      </w:r>
      <w:r>
        <w:rPr/>
        <w:t>., (1992), relacionaron </w:t>
      </w:r>
      <w:r>
        <w:rPr>
          <w:spacing w:val="-5"/>
        </w:rPr>
        <w:t>la </w:t>
      </w:r>
      <w:r>
        <w:rPr/>
        <w:t>virulencia de IPNV al segmento A y más recientemente se </w:t>
      </w:r>
      <w:r>
        <w:rPr>
          <w:spacing w:val="-3"/>
        </w:rPr>
        <w:t>vinculó </w:t>
      </w:r>
      <w:r>
        <w:rPr/>
        <w:t>a los residuos</w:t>
      </w:r>
      <w:r>
        <w:rPr>
          <w:spacing w:val="-6"/>
        </w:rPr>
        <w:t> </w:t>
      </w:r>
      <w:r>
        <w:rPr/>
        <w:t>217</w:t>
      </w:r>
      <w:r>
        <w:rPr>
          <w:spacing w:val="1"/>
        </w:rPr>
        <w:t> </w:t>
      </w:r>
      <w:r>
        <w:rPr/>
        <w:t>y</w:t>
      </w:r>
      <w:r>
        <w:rPr>
          <w:spacing w:val="-13"/>
        </w:rPr>
        <w:t> </w:t>
      </w:r>
      <w:r>
        <w:rPr/>
        <w:t>221</w:t>
      </w:r>
      <w:r>
        <w:rPr>
          <w:spacing w:val="-4"/>
        </w:rPr>
        <w:t> </w:t>
      </w:r>
      <w:r>
        <w:rPr/>
        <w:t>de </w:t>
      </w:r>
      <w:r>
        <w:rPr>
          <w:spacing w:val="-5"/>
        </w:rPr>
        <w:t>la </w:t>
      </w:r>
      <w:r>
        <w:rPr/>
        <w:t>proteína</w:t>
      </w:r>
      <w:r>
        <w:rPr>
          <w:spacing w:val="-5"/>
        </w:rPr>
        <w:t> </w:t>
      </w:r>
      <w:r>
        <w:rPr/>
        <w:t>VP2</w:t>
      </w:r>
      <w:r>
        <w:rPr>
          <w:spacing w:val="-3"/>
        </w:rPr>
        <w:t> </w:t>
      </w:r>
      <w:r>
        <w:rPr/>
        <w:t>(Santi</w:t>
      </w:r>
      <w:r>
        <w:rPr>
          <w:spacing w:val="-9"/>
        </w:rPr>
        <w:t> </w:t>
      </w:r>
      <w:r>
        <w:rPr>
          <w:i/>
        </w:rPr>
        <w:t>et</w:t>
      </w:r>
      <w:r>
        <w:rPr>
          <w:i/>
          <w:spacing w:val="-3"/>
        </w:rPr>
        <w:t> </w:t>
      </w:r>
      <w:r>
        <w:rPr>
          <w:i/>
        </w:rPr>
        <w:t>al</w:t>
      </w:r>
      <w:r>
        <w:rPr/>
        <w:t>.,</w:t>
      </w:r>
      <w:r>
        <w:rPr>
          <w:spacing w:val="-6"/>
        </w:rPr>
        <w:t> </w:t>
      </w:r>
      <w:r>
        <w:rPr/>
        <w:t>2004);</w:t>
      </w:r>
      <w:r>
        <w:rPr>
          <w:spacing w:val="-4"/>
        </w:rPr>
        <w:t> las</w:t>
      </w:r>
      <w:r>
        <w:rPr>
          <w:spacing w:val="-6"/>
        </w:rPr>
        <w:t> </w:t>
      </w:r>
      <w:r>
        <w:rPr/>
        <w:t>cepas</w:t>
      </w:r>
      <w:r>
        <w:rPr>
          <w:spacing w:val="-1"/>
        </w:rPr>
        <w:t> </w:t>
      </w:r>
      <w:r>
        <w:rPr/>
        <w:t>virulentas</w:t>
      </w:r>
      <w:r>
        <w:rPr>
          <w:spacing w:val="-6"/>
        </w:rPr>
        <w:t> </w:t>
      </w:r>
      <w:r>
        <w:rPr/>
        <w:t>presentan</w:t>
      </w:r>
      <w:r>
        <w:rPr>
          <w:spacing w:val="-9"/>
        </w:rPr>
        <w:t> </w:t>
      </w:r>
      <w:r>
        <w:rPr/>
        <w:t>una </w:t>
      </w:r>
      <w:r>
        <w:rPr>
          <w:position w:val="2"/>
        </w:rPr>
        <w:t>combinación Thr</w:t>
      </w:r>
      <w:r>
        <w:rPr>
          <w:sz w:val="16"/>
        </w:rPr>
        <w:t>217 </w:t>
      </w:r>
      <w:r>
        <w:rPr>
          <w:position w:val="2"/>
        </w:rPr>
        <w:t>y Ala</w:t>
      </w:r>
      <w:r>
        <w:rPr>
          <w:sz w:val="16"/>
        </w:rPr>
        <w:t>221 </w:t>
      </w:r>
      <w:r>
        <w:rPr>
          <w:position w:val="2"/>
        </w:rPr>
        <w:t>(T</w:t>
      </w:r>
      <w:r>
        <w:rPr>
          <w:sz w:val="16"/>
        </w:rPr>
        <w:t>217 </w:t>
      </w:r>
      <w:r>
        <w:rPr>
          <w:position w:val="2"/>
        </w:rPr>
        <w:t>A</w:t>
      </w:r>
      <w:r>
        <w:rPr>
          <w:sz w:val="16"/>
        </w:rPr>
        <w:t>221</w:t>
      </w:r>
      <w:r>
        <w:rPr>
          <w:position w:val="2"/>
        </w:rPr>
        <w:t>), mientras que cepas de media virulencia presentan (P</w:t>
      </w:r>
      <w:r>
        <w:rPr>
          <w:sz w:val="16"/>
        </w:rPr>
        <w:t>217</w:t>
      </w:r>
      <w:r>
        <w:rPr>
          <w:position w:val="2"/>
        </w:rPr>
        <w:t>, A</w:t>
      </w:r>
      <w:r>
        <w:rPr>
          <w:sz w:val="16"/>
        </w:rPr>
        <w:t>221</w:t>
      </w:r>
      <w:r>
        <w:rPr>
          <w:position w:val="2"/>
        </w:rPr>
        <w:t>); y las cepas con Thr en </w:t>
      </w:r>
      <w:r>
        <w:rPr>
          <w:spacing w:val="-5"/>
          <w:position w:val="2"/>
        </w:rPr>
        <w:t>la </w:t>
      </w:r>
      <w:r>
        <w:rPr>
          <w:position w:val="2"/>
        </w:rPr>
        <w:t>posición 221 se consideran </w:t>
      </w:r>
      <w:r>
        <w:rPr>
          <w:spacing w:val="-3"/>
          <w:position w:val="2"/>
        </w:rPr>
        <w:t>no </w:t>
      </w:r>
      <w:r>
        <w:rPr>
          <w:position w:val="2"/>
        </w:rPr>
        <w:t>virulentas, </w:t>
      </w:r>
      <w:r>
        <w:rPr/>
        <w:t>independientemente</w:t>
      </w:r>
      <w:r>
        <w:rPr>
          <w:spacing w:val="-11"/>
        </w:rPr>
        <w:t> </w:t>
      </w:r>
      <w:r>
        <w:rPr/>
        <w:t>de</w:t>
      </w:r>
      <w:r>
        <w:rPr>
          <w:spacing w:val="-11"/>
        </w:rPr>
        <w:t> </w:t>
      </w:r>
      <w:r>
        <w:rPr/>
        <w:t>su</w:t>
      </w:r>
      <w:r>
        <w:rPr>
          <w:spacing w:val="-10"/>
        </w:rPr>
        <w:t> </w:t>
      </w:r>
      <w:r>
        <w:rPr/>
        <w:t>residuo</w:t>
      </w:r>
      <w:r>
        <w:rPr>
          <w:spacing w:val="-5"/>
        </w:rPr>
        <w:t> </w:t>
      </w:r>
      <w:r>
        <w:rPr/>
        <w:t>en</w:t>
      </w:r>
      <w:r>
        <w:rPr>
          <w:spacing w:val="-10"/>
        </w:rPr>
        <w:t> </w:t>
      </w:r>
      <w:r>
        <w:rPr>
          <w:spacing w:val="-3"/>
        </w:rPr>
        <w:t>la</w:t>
      </w:r>
      <w:r>
        <w:rPr>
          <w:spacing w:val="-11"/>
        </w:rPr>
        <w:t> </w:t>
      </w:r>
      <w:r>
        <w:rPr/>
        <w:t>posición</w:t>
      </w:r>
      <w:r>
        <w:rPr>
          <w:spacing w:val="-14"/>
        </w:rPr>
        <w:t> </w:t>
      </w:r>
      <w:r>
        <w:rPr/>
        <w:t>217</w:t>
      </w:r>
      <w:r>
        <w:rPr>
          <w:spacing w:val="-10"/>
        </w:rPr>
        <w:t> </w:t>
      </w:r>
      <w:r>
        <w:rPr/>
        <w:t>(Song</w:t>
      </w:r>
      <w:r>
        <w:rPr>
          <w:spacing w:val="-4"/>
        </w:rPr>
        <w:t> </w:t>
      </w:r>
      <w:r>
        <w:rPr>
          <w:i/>
        </w:rPr>
        <w:t>et</w:t>
      </w:r>
      <w:r>
        <w:rPr>
          <w:i/>
          <w:spacing w:val="-9"/>
        </w:rPr>
        <w:t> </w:t>
      </w:r>
      <w:r>
        <w:rPr>
          <w:i/>
        </w:rPr>
        <w:t>al</w:t>
      </w:r>
      <w:r>
        <w:rPr/>
        <w:t>.,</w:t>
      </w:r>
      <w:r>
        <w:rPr>
          <w:spacing w:val="-8"/>
        </w:rPr>
        <w:t> </w:t>
      </w:r>
      <w:r>
        <w:rPr/>
        <w:t>2005).</w:t>
      </w:r>
      <w:r>
        <w:rPr>
          <w:spacing w:val="-8"/>
        </w:rPr>
        <w:t> </w:t>
      </w:r>
      <w:r>
        <w:rPr/>
        <w:t>Sin</w:t>
      </w:r>
      <w:r>
        <w:rPr>
          <w:spacing w:val="-14"/>
        </w:rPr>
        <w:t> </w:t>
      </w:r>
      <w:r>
        <w:rPr/>
        <w:t>embargo,</w:t>
      </w:r>
      <w:r>
        <w:rPr>
          <w:spacing w:val="-8"/>
        </w:rPr>
        <w:t> </w:t>
      </w:r>
      <w:r>
        <w:rPr/>
        <w:t>Smail </w:t>
      </w:r>
      <w:r>
        <w:rPr>
          <w:i/>
        </w:rPr>
        <w:t>et al</w:t>
      </w:r>
      <w:r>
        <w:rPr/>
        <w:t>., (2006) </w:t>
      </w:r>
      <w:r>
        <w:rPr>
          <w:spacing w:val="-3"/>
        </w:rPr>
        <w:t>no </w:t>
      </w:r>
      <w:r>
        <w:rPr/>
        <w:t>encontraron diferencias de mortalidad al comparar una cepa con secuencia virulenta contra una cepa de </w:t>
      </w:r>
      <w:r>
        <w:rPr>
          <w:spacing w:val="-3"/>
        </w:rPr>
        <w:t>media </w:t>
      </w:r>
      <w:r>
        <w:rPr/>
        <w:t>virulencia, </w:t>
      </w:r>
      <w:r>
        <w:rPr>
          <w:spacing w:val="-5"/>
        </w:rPr>
        <w:t>lo </w:t>
      </w:r>
      <w:r>
        <w:rPr/>
        <w:t>que </w:t>
      </w:r>
      <w:r>
        <w:rPr>
          <w:spacing w:val="-3"/>
        </w:rPr>
        <w:t>ha </w:t>
      </w:r>
      <w:r>
        <w:rPr/>
        <w:t>sugerido que otros factores relacionados a </w:t>
      </w:r>
      <w:r>
        <w:rPr>
          <w:spacing w:val="-5"/>
        </w:rPr>
        <w:t>la </w:t>
      </w:r>
      <w:r>
        <w:rPr/>
        <w:t>cepa o respuesta estén asociados al resultado de </w:t>
      </w:r>
      <w:r>
        <w:rPr>
          <w:spacing w:val="-5"/>
        </w:rPr>
        <w:t>la </w:t>
      </w:r>
      <w:r>
        <w:rPr/>
        <w:t>infección (Ortega </w:t>
      </w:r>
      <w:r>
        <w:rPr>
          <w:i/>
        </w:rPr>
        <w:t>et al</w:t>
      </w:r>
      <w:r>
        <w:rPr/>
        <w:t>., 2011). Por </w:t>
      </w:r>
      <w:r>
        <w:rPr>
          <w:spacing w:val="-5"/>
        </w:rPr>
        <w:t>lo </w:t>
      </w:r>
      <w:r>
        <w:rPr/>
        <w:t>que podríamos suponer que los títulos observados antes de </w:t>
      </w:r>
      <w:r>
        <w:rPr>
          <w:spacing w:val="-4"/>
        </w:rPr>
        <w:t>las </w:t>
      </w:r>
      <w:r>
        <w:rPr/>
        <w:t>60 hpi </w:t>
      </w:r>
      <w:r>
        <w:rPr>
          <w:spacing w:val="2"/>
        </w:rPr>
        <w:t>se </w:t>
      </w:r>
      <w:r>
        <w:rPr/>
        <w:t>relacionan a mayor penetración del virus Sp en comparación con VR-299, situación vinculada a diferencias en aminoácidos de </w:t>
      </w:r>
      <w:r>
        <w:rPr>
          <w:spacing w:val="-5"/>
        </w:rPr>
        <w:t>la </w:t>
      </w:r>
      <w:r>
        <w:rPr/>
        <w:t>región hipervariable de </w:t>
      </w:r>
      <w:r>
        <w:rPr>
          <w:spacing w:val="-5"/>
        </w:rPr>
        <w:t>la </w:t>
      </w:r>
      <w:r>
        <w:rPr/>
        <w:t>proteína de unión VP2,</w:t>
      </w:r>
      <w:r>
        <w:rPr>
          <w:spacing w:val="-4"/>
        </w:rPr>
        <w:t> </w:t>
      </w:r>
      <w:r>
        <w:rPr/>
        <w:t>que</w:t>
      </w:r>
      <w:r>
        <w:rPr>
          <w:spacing w:val="-13"/>
        </w:rPr>
        <w:t> </w:t>
      </w:r>
      <w:r>
        <w:rPr/>
        <w:t>interaccionaría</w:t>
      </w:r>
      <w:r>
        <w:rPr>
          <w:spacing w:val="-8"/>
        </w:rPr>
        <w:t> </w:t>
      </w:r>
      <w:r>
        <w:rPr/>
        <w:t>de</w:t>
      </w:r>
      <w:r>
        <w:rPr>
          <w:spacing w:val="-3"/>
        </w:rPr>
        <w:t> </w:t>
      </w:r>
      <w:r>
        <w:rPr/>
        <w:t>manera</w:t>
      </w:r>
      <w:r>
        <w:rPr>
          <w:spacing w:val="-8"/>
        </w:rPr>
        <w:t> </w:t>
      </w:r>
      <w:r>
        <w:rPr/>
        <w:t>diferente</w:t>
      </w:r>
      <w:r>
        <w:rPr>
          <w:spacing w:val="-8"/>
        </w:rPr>
        <w:t> </w:t>
      </w:r>
      <w:r>
        <w:rPr/>
        <w:t>con</w:t>
      </w:r>
      <w:r>
        <w:rPr>
          <w:spacing w:val="-12"/>
        </w:rPr>
        <w:t> </w:t>
      </w:r>
      <w:r>
        <w:rPr/>
        <w:t>receptores</w:t>
      </w:r>
      <w:r>
        <w:rPr>
          <w:spacing w:val="-9"/>
        </w:rPr>
        <w:t> </w:t>
      </w:r>
      <w:r>
        <w:rPr/>
        <w:t>celulares</w:t>
      </w:r>
      <w:r>
        <w:rPr>
          <w:spacing w:val="-9"/>
        </w:rPr>
        <w:t> </w:t>
      </w:r>
      <w:r>
        <w:rPr/>
        <w:t>(Dobos,</w:t>
      </w:r>
      <w:r>
        <w:rPr>
          <w:spacing w:val="-9"/>
        </w:rPr>
        <w:t> </w:t>
      </w:r>
      <w:r>
        <w:rPr/>
        <w:t>1995,</w:t>
      </w:r>
      <w:r>
        <w:rPr>
          <w:spacing w:val="3"/>
        </w:rPr>
        <w:t> </w:t>
      </w:r>
      <w:r>
        <w:rPr>
          <w:spacing w:val="-3"/>
        </w:rPr>
        <w:t>Kuznar </w:t>
      </w:r>
      <w:r>
        <w:rPr>
          <w:i/>
        </w:rPr>
        <w:t>et</w:t>
      </w:r>
      <w:r>
        <w:rPr>
          <w:i/>
          <w:spacing w:val="-4"/>
        </w:rPr>
        <w:t> </w:t>
      </w:r>
      <w:r>
        <w:rPr>
          <w:i/>
        </w:rPr>
        <w:t>al</w:t>
      </w:r>
      <w:r>
        <w:rPr/>
        <w:t>.,</w:t>
      </w:r>
      <w:r>
        <w:rPr>
          <w:spacing w:val="-7"/>
        </w:rPr>
        <w:t> </w:t>
      </w:r>
      <w:r>
        <w:rPr/>
        <w:t>1995;</w:t>
      </w:r>
      <w:r>
        <w:rPr>
          <w:spacing w:val="-9"/>
        </w:rPr>
        <w:t> </w:t>
      </w:r>
      <w:r>
        <w:rPr/>
        <w:t>Granzow</w:t>
      </w:r>
      <w:r>
        <w:rPr>
          <w:spacing w:val="-4"/>
        </w:rPr>
        <w:t> </w:t>
      </w:r>
      <w:r>
        <w:rPr>
          <w:i/>
        </w:rPr>
        <w:t>et</w:t>
      </w:r>
      <w:r>
        <w:rPr>
          <w:i/>
          <w:spacing w:val="-4"/>
        </w:rPr>
        <w:t> </w:t>
      </w:r>
      <w:r>
        <w:rPr>
          <w:i/>
        </w:rPr>
        <w:t>al</w:t>
      </w:r>
      <w:r>
        <w:rPr/>
        <w:t>.,</w:t>
      </w:r>
      <w:r>
        <w:rPr>
          <w:spacing w:val="-3"/>
        </w:rPr>
        <w:t> </w:t>
      </w:r>
      <w:r>
        <w:rPr/>
        <w:t>1997).</w:t>
      </w:r>
      <w:r>
        <w:rPr>
          <w:spacing w:val="-7"/>
        </w:rPr>
        <w:t> </w:t>
      </w:r>
      <w:r>
        <w:rPr/>
        <w:t>Galloux</w:t>
      </w:r>
      <w:r>
        <w:rPr>
          <w:spacing w:val="-8"/>
        </w:rPr>
        <w:t> </w:t>
      </w:r>
      <w:r>
        <w:rPr>
          <w:i/>
        </w:rPr>
        <w:t>et</w:t>
      </w:r>
      <w:r>
        <w:rPr>
          <w:i/>
          <w:spacing w:val="-4"/>
        </w:rPr>
        <w:t> </w:t>
      </w:r>
      <w:r>
        <w:rPr>
          <w:i/>
        </w:rPr>
        <w:t>al</w:t>
      </w:r>
      <w:r>
        <w:rPr/>
        <w:t>.,</w:t>
      </w:r>
      <w:r>
        <w:rPr>
          <w:spacing w:val="-3"/>
        </w:rPr>
        <w:t> </w:t>
      </w:r>
      <w:r>
        <w:rPr/>
        <w:t>(2007)</w:t>
      </w:r>
      <w:r>
        <w:rPr>
          <w:spacing w:val="-8"/>
        </w:rPr>
        <w:t> </w:t>
      </w:r>
      <w:r>
        <w:rPr/>
        <w:t>observaron</w:t>
      </w:r>
      <w:r>
        <w:rPr>
          <w:spacing w:val="-10"/>
        </w:rPr>
        <w:t> </w:t>
      </w:r>
      <w:r>
        <w:rPr/>
        <w:t>que</w:t>
      </w:r>
      <w:r>
        <w:rPr>
          <w:spacing w:val="-6"/>
        </w:rPr>
        <w:t> </w:t>
      </w:r>
      <w:r>
        <w:rPr/>
        <w:t>péptidos</w:t>
      </w:r>
      <w:r>
        <w:rPr>
          <w:spacing w:val="-7"/>
        </w:rPr>
        <w:t> </w:t>
      </w:r>
      <w:r>
        <w:rPr/>
        <w:t>derivados de </w:t>
      </w:r>
      <w:r>
        <w:rPr>
          <w:spacing w:val="-5"/>
        </w:rPr>
        <w:t>la </w:t>
      </w:r>
      <w:r>
        <w:rPr/>
        <w:t>maduración de VP2 del virus de </w:t>
      </w:r>
      <w:r>
        <w:rPr>
          <w:spacing w:val="-5"/>
        </w:rPr>
        <w:t>la </w:t>
      </w:r>
      <w:r>
        <w:rPr/>
        <w:t>Bursitis infecciosa (IBDV) participan en el ingreso del</w:t>
      </w:r>
      <w:r>
        <w:rPr>
          <w:spacing w:val="15"/>
        </w:rPr>
        <w:t> </w:t>
      </w:r>
      <w:r>
        <w:rPr/>
        <w:t>virus</w:t>
      </w:r>
      <w:r>
        <w:rPr>
          <w:spacing w:val="22"/>
        </w:rPr>
        <w:t> </w:t>
      </w:r>
      <w:r>
        <w:rPr/>
        <w:t>a</w:t>
      </w:r>
      <w:r>
        <w:rPr>
          <w:spacing w:val="23"/>
        </w:rPr>
        <w:t> </w:t>
      </w:r>
      <w:r>
        <w:rPr>
          <w:spacing w:val="-3"/>
        </w:rPr>
        <w:t>la</w:t>
      </w:r>
      <w:r>
        <w:rPr>
          <w:spacing w:val="23"/>
        </w:rPr>
        <w:t> </w:t>
      </w:r>
      <w:r>
        <w:rPr/>
        <w:t>célula,</w:t>
      </w:r>
      <w:r>
        <w:rPr>
          <w:spacing w:val="25"/>
        </w:rPr>
        <w:t> </w:t>
      </w:r>
      <w:r>
        <w:rPr/>
        <w:t>al</w:t>
      </w:r>
      <w:r>
        <w:rPr>
          <w:spacing w:val="15"/>
        </w:rPr>
        <w:t> </w:t>
      </w:r>
      <w:r>
        <w:rPr/>
        <w:t>evidenciar</w:t>
      </w:r>
      <w:r>
        <w:rPr>
          <w:spacing w:val="25"/>
        </w:rPr>
        <w:t> </w:t>
      </w:r>
      <w:r>
        <w:rPr/>
        <w:t>que</w:t>
      </w:r>
      <w:r>
        <w:rPr>
          <w:spacing w:val="23"/>
        </w:rPr>
        <w:t> </w:t>
      </w:r>
      <w:r>
        <w:rPr/>
        <w:t>el</w:t>
      </w:r>
      <w:r>
        <w:rPr>
          <w:spacing w:val="15"/>
        </w:rPr>
        <w:t> </w:t>
      </w:r>
      <w:r>
        <w:rPr/>
        <w:t>péptido</w:t>
      </w:r>
      <w:r>
        <w:rPr>
          <w:spacing w:val="27"/>
        </w:rPr>
        <w:t> </w:t>
      </w:r>
      <w:r>
        <w:rPr/>
        <w:t>46</w:t>
      </w:r>
      <w:r>
        <w:rPr>
          <w:spacing w:val="19"/>
        </w:rPr>
        <w:t> </w:t>
      </w:r>
      <w:r>
        <w:rPr/>
        <w:t>(pep46)</w:t>
      </w:r>
      <w:r>
        <w:rPr>
          <w:spacing w:val="28"/>
        </w:rPr>
        <w:t> </w:t>
      </w:r>
      <w:r>
        <w:rPr/>
        <w:t>presenta</w:t>
      </w:r>
      <w:r>
        <w:rPr>
          <w:spacing w:val="23"/>
        </w:rPr>
        <w:t> </w:t>
      </w:r>
      <w:r>
        <w:rPr/>
        <w:t>un</w:t>
      </w:r>
      <w:r>
        <w:rPr>
          <w:spacing w:val="19"/>
        </w:rPr>
        <w:t> </w:t>
      </w:r>
      <w:r>
        <w:rPr>
          <w:spacing w:val="-3"/>
        </w:rPr>
        <w:t>dominio</w:t>
      </w:r>
      <w:r>
        <w:rPr>
          <w:spacing w:val="27"/>
        </w:rPr>
        <w:t> </w:t>
      </w:r>
      <w:r>
        <w:rPr/>
        <w:t>rico</w:t>
      </w:r>
      <w:r>
        <w:rPr>
          <w:spacing w:val="27"/>
        </w:rPr>
        <w:t> </w:t>
      </w:r>
      <w:r>
        <w:rPr/>
        <w:t>en</w:t>
      </w:r>
    </w:p>
    <w:p>
      <w:pPr>
        <w:spacing w:after="0" w:line="360" w:lineRule="auto"/>
        <w:jc w:val="both"/>
        <w:sectPr>
          <w:pgSz w:w="12240" w:h="15840"/>
          <w:pgMar w:header="0" w:footer="1382" w:top="1500" w:bottom="1580" w:left="1720" w:right="1420"/>
        </w:sectPr>
      </w:pPr>
    </w:p>
    <w:p>
      <w:pPr>
        <w:pStyle w:val="BodyText"/>
        <w:spacing w:before="7"/>
        <w:rPr>
          <w:sz w:val="25"/>
        </w:rPr>
      </w:pPr>
    </w:p>
    <w:p>
      <w:pPr>
        <w:pStyle w:val="BodyText"/>
        <w:spacing w:line="360" w:lineRule="auto" w:before="70"/>
        <w:ind w:left="152" w:right="102"/>
        <w:jc w:val="both"/>
      </w:pPr>
      <w:r>
        <w:rPr/>
        <w:t>prolina (posiciones 458, 465, 469), capaz de desestabilizar </w:t>
      </w:r>
      <w:r>
        <w:rPr>
          <w:spacing w:val="-5"/>
        </w:rPr>
        <w:t>la </w:t>
      </w:r>
      <w:r>
        <w:rPr/>
        <w:t>membrana y crear poros que permiten</w:t>
      </w:r>
      <w:r>
        <w:rPr>
          <w:spacing w:val="-15"/>
        </w:rPr>
        <w:t> </w:t>
      </w:r>
      <w:r>
        <w:rPr/>
        <w:t>su</w:t>
      </w:r>
      <w:r>
        <w:rPr>
          <w:spacing w:val="-6"/>
        </w:rPr>
        <w:t> </w:t>
      </w:r>
      <w:r>
        <w:rPr/>
        <w:t>ingreso.</w:t>
      </w:r>
      <w:r>
        <w:rPr>
          <w:spacing w:val="-9"/>
        </w:rPr>
        <w:t> </w:t>
      </w:r>
      <w:r>
        <w:rPr/>
        <w:t>Sin</w:t>
      </w:r>
      <w:r>
        <w:rPr>
          <w:spacing w:val="-15"/>
        </w:rPr>
        <w:t> </w:t>
      </w:r>
      <w:r>
        <w:rPr/>
        <w:t>embargo,</w:t>
      </w:r>
      <w:r>
        <w:rPr>
          <w:spacing w:val="-13"/>
        </w:rPr>
        <w:t> </w:t>
      </w:r>
      <w:r>
        <w:rPr/>
        <w:t>en</w:t>
      </w:r>
      <w:r>
        <w:rPr>
          <w:spacing w:val="-15"/>
        </w:rPr>
        <w:t> </w:t>
      </w:r>
      <w:r>
        <w:rPr/>
        <w:t>este</w:t>
      </w:r>
      <w:r>
        <w:rPr>
          <w:spacing w:val="-16"/>
        </w:rPr>
        <w:t> </w:t>
      </w:r>
      <w:r>
        <w:rPr/>
        <w:t>trabajo,</w:t>
      </w:r>
      <w:r>
        <w:rPr>
          <w:spacing w:val="-9"/>
        </w:rPr>
        <w:t> </w:t>
      </w:r>
      <w:r>
        <w:rPr>
          <w:spacing w:val="-3"/>
        </w:rPr>
        <w:t>la</w:t>
      </w:r>
      <w:r>
        <w:rPr>
          <w:spacing w:val="-12"/>
        </w:rPr>
        <w:t> </w:t>
      </w:r>
      <w:r>
        <w:rPr/>
        <w:t>secuencia</w:t>
      </w:r>
      <w:r>
        <w:rPr>
          <w:spacing w:val="-12"/>
        </w:rPr>
        <w:t> </w:t>
      </w:r>
      <w:r>
        <w:rPr/>
        <w:t>de</w:t>
      </w:r>
      <w:r>
        <w:rPr>
          <w:spacing w:val="-7"/>
        </w:rPr>
        <w:t> </w:t>
      </w:r>
      <w:r>
        <w:rPr/>
        <w:t>los</w:t>
      </w:r>
      <w:r>
        <w:rPr>
          <w:spacing w:val="-13"/>
        </w:rPr>
        <w:t> </w:t>
      </w:r>
      <w:r>
        <w:rPr/>
        <w:t>genes</w:t>
      </w:r>
      <w:r>
        <w:rPr>
          <w:spacing w:val="-13"/>
        </w:rPr>
        <w:t> </w:t>
      </w:r>
      <w:r>
        <w:rPr/>
        <w:t>de</w:t>
      </w:r>
      <w:r>
        <w:rPr>
          <w:spacing w:val="-12"/>
        </w:rPr>
        <w:t> </w:t>
      </w:r>
      <w:r>
        <w:rPr/>
        <w:t>VP2</w:t>
      </w:r>
      <w:r>
        <w:rPr>
          <w:spacing w:val="-10"/>
        </w:rPr>
        <w:t> </w:t>
      </w:r>
      <w:r>
        <w:rPr/>
        <w:t>de</w:t>
      </w:r>
      <w:r>
        <w:rPr>
          <w:spacing w:val="-12"/>
        </w:rPr>
        <w:t> </w:t>
      </w:r>
      <w:r>
        <w:rPr/>
        <w:t>ambas cepas</w:t>
      </w:r>
      <w:r>
        <w:rPr>
          <w:spacing w:val="-7"/>
        </w:rPr>
        <w:t> </w:t>
      </w:r>
      <w:r>
        <w:rPr>
          <w:spacing w:val="-3"/>
        </w:rPr>
        <w:t>no</w:t>
      </w:r>
      <w:r>
        <w:rPr>
          <w:spacing w:val="-5"/>
        </w:rPr>
        <w:t> </w:t>
      </w:r>
      <w:r>
        <w:rPr/>
        <w:t>presentan</w:t>
      </w:r>
      <w:r>
        <w:rPr>
          <w:spacing w:val="-14"/>
        </w:rPr>
        <w:t> </w:t>
      </w:r>
      <w:r>
        <w:rPr/>
        <w:t>diferencias</w:t>
      </w:r>
      <w:r>
        <w:rPr>
          <w:spacing w:val="-12"/>
        </w:rPr>
        <w:t> </w:t>
      </w:r>
      <w:r>
        <w:rPr/>
        <w:t>a</w:t>
      </w:r>
      <w:r>
        <w:rPr>
          <w:spacing w:val="-11"/>
        </w:rPr>
        <w:t> </w:t>
      </w:r>
      <w:r>
        <w:rPr/>
        <w:t>nivel</w:t>
      </w:r>
      <w:r>
        <w:rPr>
          <w:spacing w:val="-14"/>
        </w:rPr>
        <w:t> </w:t>
      </w:r>
      <w:r>
        <w:rPr/>
        <w:t>del</w:t>
      </w:r>
      <w:r>
        <w:rPr>
          <w:spacing w:val="-14"/>
        </w:rPr>
        <w:t> </w:t>
      </w:r>
      <w:r>
        <w:rPr/>
        <w:t>pep46</w:t>
      </w:r>
      <w:r>
        <w:rPr>
          <w:spacing w:val="-10"/>
        </w:rPr>
        <w:t> </w:t>
      </w:r>
      <w:r>
        <w:rPr/>
        <w:t>(no</w:t>
      </w:r>
      <w:r>
        <w:rPr>
          <w:spacing w:val="-5"/>
        </w:rPr>
        <w:t> </w:t>
      </w:r>
      <w:r>
        <w:rPr/>
        <w:t>mostrado),</w:t>
      </w:r>
      <w:r>
        <w:rPr>
          <w:spacing w:val="-8"/>
        </w:rPr>
        <w:t> </w:t>
      </w:r>
      <w:r>
        <w:rPr/>
        <w:t>por</w:t>
      </w:r>
      <w:r>
        <w:rPr>
          <w:spacing w:val="-8"/>
        </w:rPr>
        <w:t> </w:t>
      </w:r>
      <w:r>
        <w:rPr>
          <w:spacing w:val="-5"/>
        </w:rPr>
        <w:t>lo</w:t>
      </w:r>
      <w:r>
        <w:rPr>
          <w:spacing w:val="-10"/>
        </w:rPr>
        <w:t> </w:t>
      </w:r>
      <w:r>
        <w:rPr/>
        <w:t>tanto</w:t>
      </w:r>
      <w:r>
        <w:rPr>
          <w:spacing w:val="-5"/>
        </w:rPr>
        <w:t> </w:t>
      </w:r>
      <w:r>
        <w:rPr/>
        <w:t>es</w:t>
      </w:r>
      <w:r>
        <w:rPr>
          <w:spacing w:val="-12"/>
        </w:rPr>
        <w:t> </w:t>
      </w:r>
      <w:r>
        <w:rPr/>
        <w:t>de</w:t>
      </w:r>
      <w:r>
        <w:rPr>
          <w:spacing w:val="-11"/>
        </w:rPr>
        <w:t> </w:t>
      </w:r>
      <w:r>
        <w:rPr/>
        <w:t>esperar</w:t>
      </w:r>
      <w:r>
        <w:rPr>
          <w:spacing w:val="-8"/>
        </w:rPr>
        <w:t> </w:t>
      </w:r>
      <w:r>
        <w:rPr/>
        <w:t>que ambos</w:t>
      </w:r>
      <w:r>
        <w:rPr>
          <w:spacing w:val="-11"/>
        </w:rPr>
        <w:t> </w:t>
      </w:r>
      <w:r>
        <w:rPr/>
        <w:t>virus</w:t>
      </w:r>
      <w:r>
        <w:rPr>
          <w:spacing w:val="-11"/>
        </w:rPr>
        <w:t> </w:t>
      </w:r>
      <w:r>
        <w:rPr/>
        <w:t>deberían</w:t>
      </w:r>
      <w:r>
        <w:rPr>
          <w:spacing w:val="-13"/>
        </w:rPr>
        <w:t> </w:t>
      </w:r>
      <w:r>
        <w:rPr/>
        <w:t>comportarse</w:t>
      </w:r>
      <w:r>
        <w:rPr>
          <w:spacing w:val="-10"/>
        </w:rPr>
        <w:t> </w:t>
      </w:r>
      <w:r>
        <w:rPr/>
        <w:t>de</w:t>
      </w:r>
      <w:r>
        <w:rPr>
          <w:spacing w:val="-10"/>
        </w:rPr>
        <w:t> </w:t>
      </w:r>
      <w:r>
        <w:rPr>
          <w:spacing w:val="-3"/>
        </w:rPr>
        <w:t>forma</w:t>
      </w:r>
      <w:r>
        <w:rPr>
          <w:spacing w:val="-6"/>
        </w:rPr>
        <w:t> </w:t>
      </w:r>
      <w:r>
        <w:rPr/>
        <w:t>similar,</w:t>
      </w:r>
      <w:r>
        <w:rPr>
          <w:spacing w:val="-8"/>
        </w:rPr>
        <w:t> </w:t>
      </w:r>
      <w:r>
        <w:rPr/>
        <w:t>por</w:t>
      </w:r>
      <w:r>
        <w:rPr>
          <w:spacing w:val="-8"/>
        </w:rPr>
        <w:t> </w:t>
      </w:r>
      <w:r>
        <w:rPr>
          <w:spacing w:val="-5"/>
        </w:rPr>
        <w:t>lo </w:t>
      </w:r>
      <w:r>
        <w:rPr/>
        <w:t>que</w:t>
      </w:r>
      <w:r>
        <w:rPr>
          <w:spacing w:val="-10"/>
        </w:rPr>
        <w:t> </w:t>
      </w:r>
      <w:r>
        <w:rPr/>
        <w:t>este</w:t>
      </w:r>
      <w:r>
        <w:rPr>
          <w:spacing w:val="-10"/>
        </w:rPr>
        <w:t> </w:t>
      </w:r>
      <w:r>
        <w:rPr/>
        <w:t>factor</w:t>
      </w:r>
      <w:r>
        <w:rPr>
          <w:spacing w:val="-12"/>
        </w:rPr>
        <w:t> </w:t>
      </w:r>
      <w:r>
        <w:rPr>
          <w:spacing w:val="-3"/>
        </w:rPr>
        <w:t>no</w:t>
      </w:r>
      <w:r>
        <w:rPr>
          <w:spacing w:val="-5"/>
        </w:rPr>
        <w:t> </w:t>
      </w:r>
      <w:r>
        <w:rPr/>
        <w:t>haría</w:t>
      </w:r>
      <w:r>
        <w:rPr>
          <w:spacing w:val="-10"/>
        </w:rPr>
        <w:t> </w:t>
      </w:r>
      <w:r>
        <w:rPr/>
        <w:t>diferencia en</w:t>
      </w:r>
      <w:r>
        <w:rPr>
          <w:spacing w:val="-11"/>
        </w:rPr>
        <w:t> </w:t>
      </w:r>
      <w:r>
        <w:rPr/>
        <w:t>cuanto</w:t>
      </w:r>
      <w:r>
        <w:rPr>
          <w:spacing w:val="-1"/>
        </w:rPr>
        <w:t> </w:t>
      </w:r>
      <w:r>
        <w:rPr/>
        <w:t>al</w:t>
      </w:r>
      <w:r>
        <w:rPr>
          <w:spacing w:val="-15"/>
        </w:rPr>
        <w:t> </w:t>
      </w:r>
      <w:r>
        <w:rPr/>
        <w:t>nivel</w:t>
      </w:r>
      <w:r>
        <w:rPr>
          <w:spacing w:val="-10"/>
        </w:rPr>
        <w:t> </w:t>
      </w:r>
      <w:r>
        <w:rPr/>
        <w:t>de</w:t>
      </w:r>
      <w:r>
        <w:rPr>
          <w:spacing w:val="-7"/>
        </w:rPr>
        <w:t> </w:t>
      </w:r>
      <w:r>
        <w:rPr/>
        <w:t>replicación</w:t>
      </w:r>
      <w:r>
        <w:rPr>
          <w:spacing w:val="-11"/>
        </w:rPr>
        <w:t> </w:t>
      </w:r>
      <w:r>
        <w:rPr/>
        <w:t>entre</w:t>
      </w:r>
      <w:r>
        <w:rPr>
          <w:spacing w:val="-7"/>
        </w:rPr>
        <w:t> </w:t>
      </w:r>
      <w:r>
        <w:rPr/>
        <w:t>virus</w:t>
      </w:r>
      <w:r>
        <w:rPr>
          <w:spacing w:val="-8"/>
        </w:rPr>
        <w:t> </w:t>
      </w:r>
      <w:r>
        <w:rPr/>
        <w:t>de</w:t>
      </w:r>
      <w:r>
        <w:rPr>
          <w:spacing w:val="-7"/>
        </w:rPr>
        <w:t> </w:t>
      </w:r>
      <w:r>
        <w:rPr/>
        <w:t>distinto</w:t>
      </w:r>
      <w:r>
        <w:rPr>
          <w:spacing w:val="-1"/>
        </w:rPr>
        <w:t> </w:t>
      </w:r>
      <w:r>
        <w:rPr/>
        <w:t>serotipo.</w:t>
      </w:r>
      <w:r>
        <w:rPr>
          <w:spacing w:val="-4"/>
        </w:rPr>
        <w:t> </w:t>
      </w:r>
      <w:r>
        <w:rPr/>
        <w:t>La</w:t>
      </w:r>
      <w:r>
        <w:rPr>
          <w:spacing w:val="-7"/>
        </w:rPr>
        <w:t> </w:t>
      </w:r>
      <w:r>
        <w:rPr/>
        <w:t>diferencia</w:t>
      </w:r>
      <w:r>
        <w:rPr>
          <w:spacing w:val="-7"/>
        </w:rPr>
        <w:t> </w:t>
      </w:r>
      <w:r>
        <w:rPr/>
        <w:t>de</w:t>
      </w:r>
      <w:r>
        <w:rPr>
          <w:spacing w:val="-7"/>
        </w:rPr>
        <w:t> </w:t>
      </w:r>
      <w:r>
        <w:rPr/>
        <w:t>replicación podría</w:t>
      </w:r>
      <w:r>
        <w:rPr>
          <w:spacing w:val="-8"/>
        </w:rPr>
        <w:t> </w:t>
      </w:r>
      <w:r>
        <w:rPr/>
        <w:t>asociarse</w:t>
      </w:r>
      <w:r>
        <w:rPr>
          <w:spacing w:val="-8"/>
        </w:rPr>
        <w:t> </w:t>
      </w:r>
      <w:r>
        <w:rPr/>
        <w:t>a</w:t>
      </w:r>
      <w:r>
        <w:rPr>
          <w:spacing w:val="-3"/>
        </w:rPr>
        <w:t> la</w:t>
      </w:r>
      <w:r>
        <w:rPr>
          <w:spacing w:val="-8"/>
        </w:rPr>
        <w:t> </w:t>
      </w:r>
      <w:r>
        <w:rPr/>
        <w:t>existencia</w:t>
      </w:r>
      <w:r>
        <w:rPr>
          <w:spacing w:val="-8"/>
        </w:rPr>
        <w:t> </w:t>
      </w:r>
      <w:r>
        <w:rPr/>
        <w:t>de</w:t>
      </w:r>
      <w:r>
        <w:rPr>
          <w:spacing w:val="-8"/>
        </w:rPr>
        <w:t> </w:t>
      </w:r>
      <w:r>
        <w:rPr/>
        <w:t>otras</w:t>
      </w:r>
      <w:r>
        <w:rPr>
          <w:spacing w:val="-8"/>
        </w:rPr>
        <w:t> </w:t>
      </w:r>
      <w:r>
        <w:rPr/>
        <w:t>características</w:t>
      </w:r>
      <w:r>
        <w:rPr>
          <w:spacing w:val="-8"/>
        </w:rPr>
        <w:t> </w:t>
      </w:r>
      <w:r>
        <w:rPr/>
        <w:t>estructurales</w:t>
      </w:r>
      <w:r>
        <w:rPr>
          <w:spacing w:val="-4"/>
        </w:rPr>
        <w:t> </w:t>
      </w:r>
      <w:r>
        <w:rPr/>
        <w:t>y</w:t>
      </w:r>
      <w:r>
        <w:rPr>
          <w:spacing w:val="-11"/>
        </w:rPr>
        <w:t> </w:t>
      </w:r>
      <w:r>
        <w:rPr/>
        <w:t>funcionales</w:t>
      </w:r>
      <w:r>
        <w:rPr>
          <w:spacing w:val="-8"/>
        </w:rPr>
        <w:t> </w:t>
      </w:r>
      <w:r>
        <w:rPr/>
        <w:t>que</w:t>
      </w:r>
      <w:r>
        <w:rPr>
          <w:spacing w:val="-8"/>
        </w:rPr>
        <w:t> </w:t>
      </w:r>
      <w:r>
        <w:rPr/>
        <w:t>se</w:t>
      </w:r>
      <w:r>
        <w:rPr>
          <w:spacing w:val="-8"/>
        </w:rPr>
        <w:t> </w:t>
      </w:r>
      <w:r>
        <w:rPr/>
        <w:t>han relacionado al crecimiento del birnavirus IBDV (Costa </w:t>
      </w:r>
      <w:r>
        <w:rPr>
          <w:i/>
        </w:rPr>
        <w:t>et al</w:t>
      </w:r>
      <w:r>
        <w:rPr/>
        <w:t>., 2002). Aunque algunas proteasas</w:t>
      </w:r>
      <w:r>
        <w:rPr>
          <w:spacing w:val="-10"/>
        </w:rPr>
        <w:t> </w:t>
      </w:r>
      <w:r>
        <w:rPr/>
        <w:t>virales</w:t>
      </w:r>
      <w:r>
        <w:rPr>
          <w:spacing w:val="-10"/>
        </w:rPr>
        <w:t> </w:t>
      </w:r>
      <w:r>
        <w:rPr/>
        <w:t>han</w:t>
      </w:r>
      <w:r>
        <w:rPr>
          <w:spacing w:val="-13"/>
        </w:rPr>
        <w:t> </w:t>
      </w:r>
      <w:r>
        <w:rPr/>
        <w:t>sido</w:t>
      </w:r>
      <w:r>
        <w:rPr>
          <w:spacing w:val="-4"/>
        </w:rPr>
        <w:t> </w:t>
      </w:r>
      <w:r>
        <w:rPr/>
        <w:t>implicadas</w:t>
      </w:r>
      <w:r>
        <w:rPr>
          <w:spacing w:val="-10"/>
        </w:rPr>
        <w:t> </w:t>
      </w:r>
      <w:r>
        <w:rPr/>
        <w:t>como</w:t>
      </w:r>
      <w:r>
        <w:rPr>
          <w:spacing w:val="-4"/>
        </w:rPr>
        <w:t> </w:t>
      </w:r>
      <w:r>
        <w:rPr/>
        <w:t>factor</w:t>
      </w:r>
      <w:r>
        <w:rPr>
          <w:spacing w:val="-11"/>
        </w:rPr>
        <w:t> </w:t>
      </w:r>
      <w:r>
        <w:rPr>
          <w:spacing w:val="-3"/>
        </w:rPr>
        <w:t>de</w:t>
      </w:r>
      <w:r>
        <w:rPr>
          <w:spacing w:val="-9"/>
        </w:rPr>
        <w:t> </w:t>
      </w:r>
      <w:r>
        <w:rPr/>
        <w:t>virulencia,</w:t>
      </w:r>
      <w:r>
        <w:rPr>
          <w:spacing w:val="-6"/>
        </w:rPr>
        <w:t> </w:t>
      </w:r>
      <w:r>
        <w:rPr/>
        <w:t>suponer</w:t>
      </w:r>
      <w:r>
        <w:rPr>
          <w:spacing w:val="-6"/>
        </w:rPr>
        <w:t> </w:t>
      </w:r>
      <w:r>
        <w:rPr/>
        <w:t>que</w:t>
      </w:r>
      <w:r>
        <w:rPr>
          <w:spacing w:val="-14"/>
        </w:rPr>
        <w:t> </w:t>
      </w:r>
      <w:r>
        <w:rPr>
          <w:spacing w:val="-5"/>
        </w:rPr>
        <w:t>la</w:t>
      </w:r>
      <w:r>
        <w:rPr>
          <w:spacing w:val="-9"/>
        </w:rPr>
        <w:t> </w:t>
      </w:r>
      <w:r>
        <w:rPr/>
        <w:t>proteína</w:t>
      </w:r>
      <w:r>
        <w:rPr>
          <w:spacing w:val="-1"/>
        </w:rPr>
        <w:t> </w:t>
      </w:r>
      <w:r>
        <w:rPr/>
        <w:t>VP4 realice esta actividad en IPNV es aún incierto (Skjesol </w:t>
      </w:r>
      <w:r>
        <w:rPr>
          <w:i/>
        </w:rPr>
        <w:t>et al</w:t>
      </w:r>
      <w:r>
        <w:rPr/>
        <w:t>., 2009); por su parte, </w:t>
      </w:r>
      <w:r>
        <w:rPr>
          <w:spacing w:val="-5"/>
        </w:rPr>
        <w:t>la </w:t>
      </w:r>
      <w:r>
        <w:rPr/>
        <w:t>implicación de </w:t>
      </w:r>
      <w:r>
        <w:rPr>
          <w:spacing w:val="-5"/>
        </w:rPr>
        <w:t>la </w:t>
      </w:r>
      <w:r>
        <w:rPr/>
        <w:t>proteína VP5 como factor de virulencia ha sido prácticamente descartado, aunque </w:t>
      </w:r>
      <w:r>
        <w:rPr>
          <w:spacing w:val="-3"/>
        </w:rPr>
        <w:t>no </w:t>
      </w:r>
      <w:r>
        <w:rPr/>
        <w:t>se conoce su función real durante </w:t>
      </w:r>
      <w:r>
        <w:rPr>
          <w:spacing w:val="-5"/>
        </w:rPr>
        <w:t>la </w:t>
      </w:r>
      <w:r>
        <w:rPr/>
        <w:t>infección. De acuerdo a nuestro resultado, aparentemente otros factores del virus o de las células han influido en que el virus Sp </w:t>
      </w:r>
      <w:r>
        <w:rPr>
          <w:spacing w:val="-3"/>
        </w:rPr>
        <w:t>ha</w:t>
      </w:r>
      <w:r>
        <w:rPr>
          <w:spacing w:val="54"/>
        </w:rPr>
        <w:t> </w:t>
      </w:r>
      <w:r>
        <w:rPr/>
        <w:t>presentado una </w:t>
      </w:r>
      <w:r>
        <w:rPr>
          <w:spacing w:val="-3"/>
        </w:rPr>
        <w:t>mayor </w:t>
      </w:r>
      <w:r>
        <w:rPr/>
        <w:t>tasa de replicación. Es interesante notar que a </w:t>
      </w:r>
      <w:r>
        <w:rPr>
          <w:spacing w:val="-4"/>
        </w:rPr>
        <w:t>las </w:t>
      </w:r>
      <w:r>
        <w:rPr/>
        <w:t>60hpi, el virus serotipo VR-299 </w:t>
      </w:r>
      <w:r>
        <w:rPr>
          <w:spacing w:val="-3"/>
        </w:rPr>
        <w:t>alcanzó </w:t>
      </w:r>
      <w:r>
        <w:rPr/>
        <w:t>valores de replicación superiores a Sp. </w:t>
      </w:r>
      <w:r>
        <w:rPr>
          <w:spacing w:val="-3"/>
        </w:rPr>
        <w:t>Kuznar </w:t>
      </w:r>
      <w:r>
        <w:rPr>
          <w:i/>
        </w:rPr>
        <w:t>et al</w:t>
      </w:r>
      <w:r>
        <w:rPr/>
        <w:t>., (1995), refieren</w:t>
      </w:r>
      <w:r>
        <w:rPr>
          <w:spacing w:val="-9"/>
        </w:rPr>
        <w:t> </w:t>
      </w:r>
      <w:r>
        <w:rPr/>
        <w:t>que</w:t>
      </w:r>
      <w:r>
        <w:rPr>
          <w:spacing w:val="-5"/>
        </w:rPr>
        <w:t> </w:t>
      </w:r>
      <w:r>
        <w:rPr/>
        <w:t>a las</w:t>
      </w:r>
      <w:r>
        <w:rPr>
          <w:spacing w:val="-6"/>
        </w:rPr>
        <w:t> </w:t>
      </w:r>
      <w:r>
        <w:rPr/>
        <w:t>10</w:t>
      </w:r>
      <w:r>
        <w:rPr>
          <w:spacing w:val="1"/>
        </w:rPr>
        <w:t> </w:t>
      </w:r>
      <w:r>
        <w:rPr/>
        <w:t>hpi</w:t>
      </w:r>
      <w:r>
        <w:rPr>
          <w:spacing w:val="-8"/>
        </w:rPr>
        <w:t> </w:t>
      </w:r>
      <w:r>
        <w:rPr/>
        <w:t>se</w:t>
      </w:r>
      <w:r>
        <w:rPr>
          <w:spacing w:val="-5"/>
        </w:rPr>
        <w:t> </w:t>
      </w:r>
      <w:r>
        <w:rPr/>
        <w:t>detecta</w:t>
      </w:r>
      <w:r>
        <w:rPr>
          <w:spacing w:val="-5"/>
        </w:rPr>
        <w:t> </w:t>
      </w:r>
      <w:r>
        <w:rPr/>
        <w:t>RNA</w:t>
      </w:r>
      <w:r>
        <w:rPr>
          <w:spacing w:val="-5"/>
        </w:rPr>
        <w:t> </w:t>
      </w:r>
      <w:r>
        <w:rPr/>
        <w:t>viral</w:t>
      </w:r>
      <w:r>
        <w:rPr>
          <w:spacing w:val="-4"/>
        </w:rPr>
        <w:t> </w:t>
      </w:r>
      <w:r>
        <w:rPr/>
        <w:t>y</w:t>
      </w:r>
      <w:r>
        <w:rPr>
          <w:spacing w:val="-9"/>
        </w:rPr>
        <w:t> </w:t>
      </w:r>
      <w:r>
        <w:rPr/>
        <w:t>a</w:t>
      </w:r>
      <w:r>
        <w:rPr>
          <w:spacing w:val="-5"/>
        </w:rPr>
        <w:t> </w:t>
      </w:r>
      <w:r>
        <w:rPr/>
        <w:t>14</w:t>
      </w:r>
      <w:r>
        <w:rPr>
          <w:spacing w:val="-4"/>
        </w:rPr>
        <w:t> </w:t>
      </w:r>
      <w:r>
        <w:rPr/>
        <w:t>hpi</w:t>
      </w:r>
      <w:r>
        <w:rPr>
          <w:spacing w:val="-8"/>
        </w:rPr>
        <w:t> </w:t>
      </w:r>
      <w:r>
        <w:rPr/>
        <w:t>se</w:t>
      </w:r>
      <w:r>
        <w:rPr>
          <w:spacing w:val="-5"/>
        </w:rPr>
        <w:t> </w:t>
      </w:r>
      <w:r>
        <w:rPr/>
        <w:t>observan</w:t>
      </w:r>
      <w:r>
        <w:rPr>
          <w:spacing w:val="-9"/>
        </w:rPr>
        <w:t> </w:t>
      </w:r>
      <w:r>
        <w:rPr/>
        <w:t>partículas</w:t>
      </w:r>
      <w:r>
        <w:rPr>
          <w:spacing w:val="-1"/>
        </w:rPr>
        <w:t> </w:t>
      </w:r>
      <w:r>
        <w:rPr/>
        <w:t>maduras,</w:t>
      </w:r>
      <w:r>
        <w:rPr>
          <w:spacing w:val="-2"/>
        </w:rPr>
        <w:t> </w:t>
      </w:r>
      <w:r>
        <w:rPr/>
        <w:t>por </w:t>
      </w:r>
      <w:r>
        <w:rPr>
          <w:spacing w:val="-5"/>
        </w:rPr>
        <w:t>lo </w:t>
      </w:r>
      <w:r>
        <w:rPr/>
        <w:t>que este valor podría representar un valor aleatorio de multiplicidad asociado a que a este tiempo</w:t>
      </w:r>
      <w:r>
        <w:rPr>
          <w:spacing w:val="-11"/>
        </w:rPr>
        <w:t> </w:t>
      </w:r>
      <w:r>
        <w:rPr/>
        <w:t>han</w:t>
      </w:r>
      <w:r>
        <w:rPr>
          <w:spacing w:val="-19"/>
        </w:rPr>
        <w:t> </w:t>
      </w:r>
      <w:r>
        <w:rPr/>
        <w:t>transcurrido</w:t>
      </w:r>
      <w:r>
        <w:rPr>
          <w:spacing w:val="-6"/>
        </w:rPr>
        <w:t> </w:t>
      </w:r>
      <w:r>
        <w:rPr>
          <w:spacing w:val="-3"/>
        </w:rPr>
        <w:t>más</w:t>
      </w:r>
      <w:r>
        <w:rPr>
          <w:spacing w:val="-17"/>
        </w:rPr>
        <w:t> </w:t>
      </w:r>
      <w:r>
        <w:rPr/>
        <w:t>de</w:t>
      </w:r>
      <w:r>
        <w:rPr>
          <w:spacing w:val="-15"/>
        </w:rPr>
        <w:t> </w:t>
      </w:r>
      <w:r>
        <w:rPr/>
        <w:t>dos</w:t>
      </w:r>
      <w:r>
        <w:rPr>
          <w:spacing w:val="-17"/>
        </w:rPr>
        <w:t> </w:t>
      </w:r>
      <w:r>
        <w:rPr/>
        <w:t>ciclos</w:t>
      </w:r>
      <w:r>
        <w:rPr>
          <w:spacing w:val="-17"/>
        </w:rPr>
        <w:t> </w:t>
      </w:r>
      <w:r>
        <w:rPr/>
        <w:t>de</w:t>
      </w:r>
      <w:r>
        <w:rPr>
          <w:spacing w:val="-15"/>
        </w:rPr>
        <w:t> </w:t>
      </w:r>
      <w:r>
        <w:rPr/>
        <w:t>replicación</w:t>
      </w:r>
      <w:r>
        <w:rPr>
          <w:spacing w:val="-19"/>
        </w:rPr>
        <w:t> </w:t>
      </w:r>
      <w:r>
        <w:rPr/>
        <w:t>(Espinoza</w:t>
      </w:r>
      <w:r>
        <w:rPr>
          <w:spacing w:val="-13"/>
        </w:rPr>
        <w:t> </w:t>
      </w:r>
      <w:r>
        <w:rPr>
          <w:i/>
        </w:rPr>
        <w:t>et</w:t>
      </w:r>
      <w:r>
        <w:rPr>
          <w:i/>
          <w:spacing w:val="-15"/>
        </w:rPr>
        <w:t> </w:t>
      </w:r>
      <w:r>
        <w:rPr>
          <w:i/>
        </w:rPr>
        <w:t>al</w:t>
      </w:r>
      <w:r>
        <w:rPr/>
        <w:t>.,</w:t>
      </w:r>
      <w:r>
        <w:rPr>
          <w:spacing w:val="-13"/>
        </w:rPr>
        <w:t> </w:t>
      </w:r>
      <w:r>
        <w:rPr/>
        <w:t>2000).</w:t>
      </w:r>
      <w:r>
        <w:rPr>
          <w:spacing w:val="-17"/>
        </w:rPr>
        <w:t> </w:t>
      </w:r>
      <w:r>
        <w:rPr/>
        <w:t>La</w:t>
      </w:r>
      <w:r>
        <w:rPr>
          <w:spacing w:val="-12"/>
        </w:rPr>
        <w:t> </w:t>
      </w:r>
      <w:r>
        <w:rPr/>
        <w:t>infección por</w:t>
      </w:r>
      <w:r>
        <w:rPr>
          <w:spacing w:val="-10"/>
        </w:rPr>
        <w:t> </w:t>
      </w:r>
      <w:r>
        <w:rPr/>
        <w:t>IPNV</w:t>
      </w:r>
      <w:r>
        <w:rPr>
          <w:spacing w:val="-8"/>
        </w:rPr>
        <w:t> </w:t>
      </w:r>
      <w:r>
        <w:rPr/>
        <w:t>induce</w:t>
      </w:r>
      <w:r>
        <w:rPr>
          <w:spacing w:val="-3"/>
        </w:rPr>
        <w:t> la</w:t>
      </w:r>
      <w:r>
        <w:rPr>
          <w:spacing w:val="-8"/>
        </w:rPr>
        <w:t> </w:t>
      </w:r>
      <w:r>
        <w:rPr/>
        <w:t>expresión</w:t>
      </w:r>
      <w:r>
        <w:rPr>
          <w:spacing w:val="-12"/>
        </w:rPr>
        <w:t> </w:t>
      </w:r>
      <w:r>
        <w:rPr/>
        <w:t>de</w:t>
      </w:r>
      <w:r>
        <w:rPr>
          <w:spacing w:val="-3"/>
        </w:rPr>
        <w:t> </w:t>
      </w:r>
      <w:r>
        <w:rPr/>
        <w:t>interferón</w:t>
      </w:r>
      <w:r>
        <w:rPr>
          <w:spacing w:val="-16"/>
        </w:rPr>
        <w:t> </w:t>
      </w:r>
      <w:r>
        <w:rPr/>
        <w:t>tipo</w:t>
      </w:r>
      <w:r>
        <w:rPr>
          <w:spacing w:val="-2"/>
        </w:rPr>
        <w:t> </w:t>
      </w:r>
      <w:r>
        <w:rPr/>
        <w:t>I</w:t>
      </w:r>
      <w:r>
        <w:rPr>
          <w:spacing w:val="-2"/>
        </w:rPr>
        <w:t> </w:t>
      </w:r>
      <w:r>
        <w:rPr/>
        <w:t>que</w:t>
      </w:r>
      <w:r>
        <w:rPr>
          <w:spacing w:val="-8"/>
        </w:rPr>
        <w:t> </w:t>
      </w:r>
      <w:r>
        <w:rPr/>
        <w:t>modula</w:t>
      </w:r>
      <w:r>
        <w:rPr>
          <w:spacing w:val="-8"/>
        </w:rPr>
        <w:t> </w:t>
      </w:r>
      <w:r>
        <w:rPr/>
        <w:t>una</w:t>
      </w:r>
      <w:r>
        <w:rPr>
          <w:spacing w:val="-8"/>
        </w:rPr>
        <w:t> </w:t>
      </w:r>
      <w:r>
        <w:rPr/>
        <w:t>respuesta</w:t>
      </w:r>
      <w:r>
        <w:rPr>
          <w:spacing w:val="-8"/>
        </w:rPr>
        <w:t> </w:t>
      </w:r>
      <w:r>
        <w:rPr/>
        <w:t>inmune</w:t>
      </w:r>
      <w:r>
        <w:rPr>
          <w:spacing w:val="-8"/>
        </w:rPr>
        <w:t> </w:t>
      </w:r>
      <w:r>
        <w:rPr/>
        <w:t>antiviral mediante estimulación de otros genes efectores (Saint-Jean y Pérez-Prieto, 2007). En esta investigación el aumento de replicación en los dos virus (siendo </w:t>
      </w:r>
      <w:r>
        <w:rPr>
          <w:spacing w:val="-3"/>
        </w:rPr>
        <w:t>mayor </w:t>
      </w:r>
      <w:r>
        <w:rPr/>
        <w:t>en el serotipo Sp), también coincidió con un significativo decrecimiento del transcrito de IFN-I(</w:t>
      </w:r>
      <w:r>
        <w:rPr>
          <w:i/>
        </w:rPr>
        <w:t>α</w:t>
      </w:r>
      <w:r>
        <w:rPr/>
        <w:t>), sugiriendo que desde el principio de </w:t>
      </w:r>
      <w:r>
        <w:rPr>
          <w:spacing w:val="-3"/>
        </w:rPr>
        <w:t>la </w:t>
      </w:r>
      <w:r>
        <w:rPr/>
        <w:t>infección ambos virus bloquean esta vía de respuesta antiviral, </w:t>
      </w:r>
      <w:r>
        <w:rPr>
          <w:spacing w:val="-5"/>
        </w:rPr>
        <w:t>lo </w:t>
      </w:r>
      <w:r>
        <w:rPr/>
        <w:t>cual es acorde con estudios que informan que durante </w:t>
      </w:r>
      <w:r>
        <w:rPr>
          <w:spacing w:val="-5"/>
        </w:rPr>
        <w:t>la </w:t>
      </w:r>
      <w:r>
        <w:rPr/>
        <w:t>infección con IPNV se presenta regulación negativa de </w:t>
      </w:r>
      <w:r>
        <w:rPr>
          <w:spacing w:val="-5"/>
        </w:rPr>
        <w:t>la </w:t>
      </w:r>
      <w:r>
        <w:rPr/>
        <w:t>inmunidad innata; sin embargo, contrario a </w:t>
      </w:r>
      <w:r>
        <w:rPr>
          <w:spacing w:val="-5"/>
        </w:rPr>
        <w:t>lo </w:t>
      </w:r>
      <w:r>
        <w:rPr/>
        <w:t>esperado, </w:t>
      </w:r>
      <w:r>
        <w:rPr>
          <w:spacing w:val="-5"/>
        </w:rPr>
        <w:t>la </w:t>
      </w:r>
      <w:r>
        <w:rPr/>
        <w:t>expresión de IFN-I(</w:t>
      </w:r>
      <w:r>
        <w:rPr>
          <w:i/>
        </w:rPr>
        <w:t>α</w:t>
      </w:r>
      <w:r>
        <w:rPr/>
        <w:t>) </w:t>
      </w:r>
      <w:r>
        <w:rPr>
          <w:spacing w:val="-3"/>
        </w:rPr>
        <w:t>fue </w:t>
      </w:r>
      <w:r>
        <w:rPr/>
        <w:t>mayor en las células expuestas a </w:t>
      </w:r>
      <w:r>
        <w:rPr>
          <w:spacing w:val="-5"/>
        </w:rPr>
        <w:t>la </w:t>
      </w:r>
      <w:r>
        <w:rPr/>
        <w:t>cepa Sp, </w:t>
      </w:r>
      <w:r>
        <w:rPr>
          <w:spacing w:val="-5"/>
        </w:rPr>
        <w:t>lo </w:t>
      </w:r>
      <w:r>
        <w:rPr/>
        <w:t>que claramente indica que </w:t>
      </w:r>
      <w:r>
        <w:rPr>
          <w:spacing w:val="-3"/>
        </w:rPr>
        <w:t>la </w:t>
      </w:r>
      <w:r>
        <w:rPr/>
        <w:t>virulencia de </w:t>
      </w:r>
      <w:r>
        <w:rPr>
          <w:spacing w:val="-5"/>
        </w:rPr>
        <w:t>la </w:t>
      </w:r>
      <w:r>
        <w:rPr/>
        <w:t>cepa se correlaciona positivamente con el nivel de respuesta por IFN-I(</w:t>
      </w:r>
      <w:r>
        <w:rPr>
          <w:i/>
        </w:rPr>
        <w:t>α</w:t>
      </w:r>
      <w:r>
        <w:rPr/>
        <w:t>). Sin embargo, varios estudios establecen que serotipos de ambas virulencias inducen respuesta vía IFN-I(</w:t>
      </w:r>
      <w:r>
        <w:rPr>
          <w:i/>
        </w:rPr>
        <w:t>α</w:t>
      </w:r>
      <w:r>
        <w:rPr/>
        <w:t>) (Skjesol </w:t>
      </w:r>
      <w:r>
        <w:rPr>
          <w:i/>
        </w:rPr>
        <w:t>et al</w:t>
      </w:r>
      <w:r>
        <w:rPr/>
        <w:t>., 2011). Asimismo, se podría proponer quizá que</w:t>
      </w:r>
      <w:r>
        <w:rPr>
          <w:spacing w:val="-1"/>
        </w:rPr>
        <w:t> </w:t>
      </w:r>
      <w:r>
        <w:rPr>
          <w:spacing w:val="-5"/>
        </w:rPr>
        <w:t>la</w:t>
      </w:r>
      <w:r>
        <w:rPr>
          <w:spacing w:val="-1"/>
        </w:rPr>
        <w:t> </w:t>
      </w:r>
      <w:r>
        <w:rPr/>
        <w:t>mayor</w:t>
      </w:r>
      <w:r>
        <w:rPr>
          <w:spacing w:val="-3"/>
        </w:rPr>
        <w:t> </w:t>
      </w:r>
      <w:r>
        <w:rPr/>
        <w:t>replicación</w:t>
      </w:r>
      <w:r>
        <w:rPr>
          <w:spacing w:val="-10"/>
        </w:rPr>
        <w:t> </w:t>
      </w:r>
      <w:r>
        <w:rPr/>
        <w:t>viral</w:t>
      </w:r>
      <w:r>
        <w:rPr>
          <w:spacing w:val="-9"/>
        </w:rPr>
        <w:t> </w:t>
      </w:r>
      <w:r>
        <w:rPr/>
        <w:t>tiene</w:t>
      </w:r>
      <w:r>
        <w:rPr>
          <w:spacing w:val="-6"/>
        </w:rPr>
        <w:t> </w:t>
      </w:r>
      <w:r>
        <w:rPr/>
        <w:t>relación</w:t>
      </w:r>
      <w:r>
        <w:rPr>
          <w:spacing w:val="-10"/>
        </w:rPr>
        <w:t> </w:t>
      </w:r>
      <w:r>
        <w:rPr/>
        <w:t>directa</w:t>
      </w:r>
      <w:r>
        <w:rPr>
          <w:spacing w:val="-6"/>
        </w:rPr>
        <w:t> </w:t>
      </w:r>
      <w:r>
        <w:rPr/>
        <w:t>con</w:t>
      </w:r>
      <w:r>
        <w:rPr>
          <w:spacing w:val="-10"/>
        </w:rPr>
        <w:t> </w:t>
      </w:r>
      <w:r>
        <w:rPr>
          <w:spacing w:val="-3"/>
        </w:rPr>
        <w:t>la</w:t>
      </w:r>
      <w:r>
        <w:rPr>
          <w:spacing w:val="-6"/>
        </w:rPr>
        <w:t> </w:t>
      </w:r>
      <w:r>
        <w:rPr/>
        <w:t>expresión</w:t>
      </w:r>
      <w:r>
        <w:rPr>
          <w:spacing w:val="-10"/>
        </w:rPr>
        <w:t> </w:t>
      </w:r>
      <w:r>
        <w:rPr/>
        <w:t>celular,</w:t>
      </w:r>
      <w:r>
        <w:rPr>
          <w:spacing w:val="-3"/>
        </w:rPr>
        <w:t> </w:t>
      </w:r>
      <w:r>
        <w:rPr/>
        <w:t>por</w:t>
      </w:r>
      <w:r>
        <w:rPr>
          <w:spacing w:val="-3"/>
        </w:rPr>
        <w:t> </w:t>
      </w:r>
      <w:r>
        <w:rPr>
          <w:spacing w:val="-5"/>
        </w:rPr>
        <w:t>lo</w:t>
      </w:r>
      <w:r>
        <w:rPr/>
        <w:t> que</w:t>
      </w:r>
      <w:r>
        <w:rPr>
          <w:spacing w:val="-6"/>
        </w:rPr>
        <w:t> </w:t>
      </w:r>
      <w:r>
        <w:rPr>
          <w:spacing w:val="-3"/>
        </w:rPr>
        <w:t>sería</w:t>
      </w:r>
    </w:p>
    <w:p>
      <w:pPr>
        <w:spacing w:after="0" w:line="360" w:lineRule="auto"/>
        <w:jc w:val="both"/>
        <w:sectPr>
          <w:pgSz w:w="12240" w:h="15840"/>
          <w:pgMar w:header="0" w:footer="1382" w:top="1500" w:bottom="1580" w:left="1720" w:right="1420"/>
        </w:sectPr>
      </w:pPr>
    </w:p>
    <w:p>
      <w:pPr>
        <w:pStyle w:val="BodyText"/>
        <w:spacing w:before="7"/>
        <w:rPr>
          <w:sz w:val="25"/>
        </w:rPr>
      </w:pPr>
    </w:p>
    <w:p>
      <w:pPr>
        <w:pStyle w:val="BodyText"/>
        <w:spacing w:line="360" w:lineRule="auto" w:before="70"/>
        <w:ind w:left="152" w:right="99"/>
        <w:jc w:val="both"/>
      </w:pPr>
      <w:r>
        <w:rPr/>
        <w:t>interesante obtener el número de partículas virales que logran ingresar a </w:t>
      </w:r>
      <w:r>
        <w:rPr>
          <w:spacing w:val="-5"/>
        </w:rPr>
        <w:t>la </w:t>
      </w:r>
      <w:r>
        <w:rPr/>
        <w:t>célula y calcular </w:t>
      </w:r>
      <w:r>
        <w:rPr>
          <w:spacing w:val="-3"/>
        </w:rPr>
        <w:t>la</w:t>
      </w:r>
      <w:r>
        <w:rPr>
          <w:spacing w:val="-6"/>
        </w:rPr>
        <w:t> </w:t>
      </w:r>
      <w:r>
        <w:rPr/>
        <w:t>expresión</w:t>
      </w:r>
      <w:r>
        <w:rPr>
          <w:spacing w:val="-10"/>
        </w:rPr>
        <w:t> </w:t>
      </w:r>
      <w:r>
        <w:rPr/>
        <w:t>génica.</w:t>
      </w:r>
      <w:r>
        <w:rPr>
          <w:spacing w:val="-3"/>
        </w:rPr>
        <w:t> </w:t>
      </w:r>
      <w:r>
        <w:rPr/>
        <w:t>Sin</w:t>
      </w:r>
      <w:r>
        <w:rPr>
          <w:spacing w:val="-10"/>
        </w:rPr>
        <w:t> </w:t>
      </w:r>
      <w:r>
        <w:rPr/>
        <w:t>embargo,</w:t>
      </w:r>
      <w:r>
        <w:rPr>
          <w:spacing w:val="-3"/>
        </w:rPr>
        <w:t> </w:t>
      </w:r>
      <w:r>
        <w:rPr/>
        <w:t>este</w:t>
      </w:r>
      <w:r>
        <w:rPr>
          <w:spacing w:val="-1"/>
        </w:rPr>
        <w:t> </w:t>
      </w:r>
      <w:r>
        <w:rPr/>
        <w:t>valor</w:t>
      </w:r>
      <w:r>
        <w:rPr>
          <w:spacing w:val="-3"/>
        </w:rPr>
        <w:t> </w:t>
      </w:r>
      <w:r>
        <w:rPr/>
        <w:t>de</w:t>
      </w:r>
      <w:r>
        <w:rPr>
          <w:spacing w:val="-6"/>
        </w:rPr>
        <w:t> </w:t>
      </w:r>
      <w:r>
        <w:rPr/>
        <w:t>expresión</w:t>
      </w:r>
      <w:r>
        <w:rPr>
          <w:spacing w:val="-10"/>
        </w:rPr>
        <w:t> </w:t>
      </w:r>
      <w:r>
        <w:rPr/>
        <w:t>también</w:t>
      </w:r>
      <w:r>
        <w:rPr>
          <w:spacing w:val="-10"/>
        </w:rPr>
        <w:t> </w:t>
      </w:r>
      <w:r>
        <w:rPr/>
        <w:t>podría</w:t>
      </w:r>
      <w:r>
        <w:rPr>
          <w:spacing w:val="-6"/>
        </w:rPr>
        <w:t> </w:t>
      </w:r>
      <w:r>
        <w:rPr/>
        <w:t>tener</w:t>
      </w:r>
      <w:r>
        <w:rPr>
          <w:spacing w:val="1"/>
        </w:rPr>
        <w:t> </w:t>
      </w:r>
      <w:r>
        <w:rPr>
          <w:spacing w:val="-3"/>
        </w:rPr>
        <w:t>mayor </w:t>
      </w:r>
      <w:r>
        <w:rPr/>
        <w:t>efecto adverso a </w:t>
      </w:r>
      <w:r>
        <w:rPr>
          <w:spacing w:val="-4"/>
        </w:rPr>
        <w:t>las </w:t>
      </w:r>
      <w:r>
        <w:rPr/>
        <w:t>células, situación que podría reflejarse en mayor mortalidad (se sabe que durante </w:t>
      </w:r>
      <w:r>
        <w:rPr>
          <w:spacing w:val="-5"/>
        </w:rPr>
        <w:t>la </w:t>
      </w:r>
      <w:r>
        <w:rPr/>
        <w:t>infección, </w:t>
      </w:r>
      <w:r>
        <w:rPr>
          <w:spacing w:val="-5"/>
        </w:rPr>
        <w:t>la </w:t>
      </w:r>
      <w:r>
        <w:rPr/>
        <w:t>respuesta celular desencadena liberación de proteínas y proteasas, que contribuyen al daño celular) (Hay y Kannourakis, 2002) por el contrario, en virus de menor virulencia </w:t>
      </w:r>
      <w:r>
        <w:rPr>
          <w:spacing w:val="-3"/>
        </w:rPr>
        <w:t>la </w:t>
      </w:r>
      <w:r>
        <w:rPr/>
        <w:t>respuesta celular es menos agresiva, como es mostrado en el presente trabajo con </w:t>
      </w:r>
      <w:r>
        <w:rPr>
          <w:spacing w:val="-5"/>
        </w:rPr>
        <w:t>la </w:t>
      </w:r>
      <w:r>
        <w:rPr/>
        <w:t>cepa VR-299. Estudios en células infectadas con IPNV han determinado inhibición del señalamiento de interferón (Robertsen, 2008). Esto concuerda con </w:t>
      </w:r>
      <w:r>
        <w:rPr>
          <w:spacing w:val="-5"/>
        </w:rPr>
        <w:t>lo </w:t>
      </w:r>
      <w:r>
        <w:rPr/>
        <w:t>observado</w:t>
      </w:r>
      <w:r>
        <w:rPr>
          <w:spacing w:val="-7"/>
        </w:rPr>
        <w:t> </w:t>
      </w:r>
      <w:r>
        <w:rPr/>
        <w:t>en</w:t>
      </w:r>
      <w:r>
        <w:rPr>
          <w:spacing w:val="-12"/>
        </w:rPr>
        <w:t> </w:t>
      </w:r>
      <w:r>
        <w:rPr/>
        <w:t>nuestra</w:t>
      </w:r>
      <w:r>
        <w:rPr>
          <w:spacing w:val="-13"/>
        </w:rPr>
        <w:t> </w:t>
      </w:r>
      <w:r>
        <w:rPr/>
        <w:t>investigación,</w:t>
      </w:r>
      <w:r>
        <w:rPr>
          <w:spacing w:val="-10"/>
        </w:rPr>
        <w:t> </w:t>
      </w:r>
      <w:r>
        <w:rPr/>
        <w:t>que</w:t>
      </w:r>
      <w:r>
        <w:rPr>
          <w:spacing w:val="-8"/>
        </w:rPr>
        <w:t> </w:t>
      </w:r>
      <w:r>
        <w:rPr/>
        <w:t>muestra</w:t>
      </w:r>
      <w:r>
        <w:rPr>
          <w:spacing w:val="-13"/>
        </w:rPr>
        <w:t> </w:t>
      </w:r>
      <w:r>
        <w:rPr/>
        <w:t>que</w:t>
      </w:r>
      <w:r>
        <w:rPr>
          <w:spacing w:val="-13"/>
        </w:rPr>
        <w:t> </w:t>
      </w:r>
      <w:r>
        <w:rPr/>
        <w:t>en</w:t>
      </w:r>
      <w:r>
        <w:rPr>
          <w:spacing w:val="-12"/>
        </w:rPr>
        <w:t> </w:t>
      </w:r>
      <w:r>
        <w:rPr>
          <w:spacing w:val="-3"/>
        </w:rPr>
        <w:t>la</w:t>
      </w:r>
      <w:r>
        <w:rPr>
          <w:spacing w:val="-8"/>
        </w:rPr>
        <w:t> </w:t>
      </w:r>
      <w:r>
        <w:rPr/>
        <w:t>medida</w:t>
      </w:r>
      <w:r>
        <w:rPr>
          <w:spacing w:val="-13"/>
        </w:rPr>
        <w:t> </w:t>
      </w:r>
      <w:r>
        <w:rPr/>
        <w:t>que</w:t>
      </w:r>
      <w:r>
        <w:rPr>
          <w:spacing w:val="-13"/>
        </w:rPr>
        <w:t> </w:t>
      </w:r>
      <w:r>
        <w:rPr/>
        <w:t>se</w:t>
      </w:r>
      <w:r>
        <w:rPr>
          <w:spacing w:val="-8"/>
        </w:rPr>
        <w:t> </w:t>
      </w:r>
      <w:r>
        <w:rPr/>
        <w:t>incrementó</w:t>
      </w:r>
      <w:r>
        <w:rPr>
          <w:spacing w:val="-7"/>
        </w:rPr>
        <w:t> </w:t>
      </w:r>
      <w:r>
        <w:rPr/>
        <w:t>el</w:t>
      </w:r>
      <w:r>
        <w:rPr>
          <w:spacing w:val="-20"/>
        </w:rPr>
        <w:t> </w:t>
      </w:r>
      <w:r>
        <w:rPr/>
        <w:t>título viral al transcurrir el tiempo de incubación, se presenta también </w:t>
      </w:r>
      <w:r>
        <w:rPr>
          <w:spacing w:val="-5"/>
        </w:rPr>
        <w:t>la </w:t>
      </w:r>
      <w:r>
        <w:rPr/>
        <w:t>disminución de </w:t>
      </w:r>
      <w:r>
        <w:rPr>
          <w:spacing w:val="-3"/>
        </w:rPr>
        <w:t>la </w:t>
      </w:r>
      <w:r>
        <w:rPr/>
        <w:t>expresión</w:t>
      </w:r>
      <w:r>
        <w:rPr>
          <w:spacing w:val="-20"/>
        </w:rPr>
        <w:t> </w:t>
      </w:r>
      <w:r>
        <w:rPr/>
        <w:t>de</w:t>
      </w:r>
      <w:r>
        <w:rPr>
          <w:spacing w:val="-16"/>
        </w:rPr>
        <w:t> </w:t>
      </w:r>
      <w:r>
        <w:rPr/>
        <w:t>STAT-1(</w:t>
      </w:r>
      <w:r>
        <w:rPr>
          <w:i/>
        </w:rPr>
        <w:t>α</w:t>
      </w:r>
      <w:r>
        <w:rPr/>
        <w:t>),</w:t>
      </w:r>
      <w:r>
        <w:rPr>
          <w:spacing w:val="-13"/>
        </w:rPr>
        <w:t> </w:t>
      </w:r>
      <w:r>
        <w:rPr/>
        <w:t>coincidiendo</w:t>
      </w:r>
      <w:r>
        <w:rPr>
          <w:spacing w:val="-12"/>
        </w:rPr>
        <w:t> </w:t>
      </w:r>
      <w:r>
        <w:rPr/>
        <w:t>con</w:t>
      </w:r>
      <w:r>
        <w:rPr>
          <w:spacing w:val="-20"/>
        </w:rPr>
        <w:t> </w:t>
      </w:r>
      <w:r>
        <w:rPr/>
        <w:t>disminución</w:t>
      </w:r>
      <w:r>
        <w:rPr>
          <w:spacing w:val="-20"/>
        </w:rPr>
        <w:t> </w:t>
      </w:r>
      <w:r>
        <w:rPr/>
        <w:t>en</w:t>
      </w:r>
      <w:r>
        <w:rPr>
          <w:spacing w:val="-15"/>
        </w:rPr>
        <w:t> </w:t>
      </w:r>
      <w:r>
        <w:rPr/>
        <w:t>los</w:t>
      </w:r>
      <w:r>
        <w:rPr>
          <w:spacing w:val="-13"/>
        </w:rPr>
        <w:t> </w:t>
      </w:r>
      <w:r>
        <w:rPr/>
        <w:t>niveles</w:t>
      </w:r>
      <w:r>
        <w:rPr>
          <w:spacing w:val="-18"/>
        </w:rPr>
        <w:t> </w:t>
      </w:r>
      <w:r>
        <w:rPr/>
        <w:t>de</w:t>
      </w:r>
      <w:r>
        <w:rPr>
          <w:spacing w:val="-16"/>
        </w:rPr>
        <w:t> </w:t>
      </w:r>
      <w:r>
        <w:rPr/>
        <w:t>IFN-I(</w:t>
      </w:r>
      <w:r>
        <w:rPr>
          <w:i/>
        </w:rPr>
        <w:t>α</w:t>
      </w:r>
      <w:r>
        <w:rPr/>
        <w:t>);</w:t>
      </w:r>
      <w:r>
        <w:rPr>
          <w:spacing w:val="-20"/>
        </w:rPr>
        <w:t> </w:t>
      </w:r>
      <w:r>
        <w:rPr/>
        <w:t>explicado esto en que STAT-1(</w:t>
      </w:r>
      <w:r>
        <w:rPr>
          <w:i/>
        </w:rPr>
        <w:t>α</w:t>
      </w:r>
      <w:r>
        <w:rPr/>
        <w:t>) es un gen ISGs, </w:t>
      </w:r>
      <w:r>
        <w:rPr>
          <w:spacing w:val="-3"/>
        </w:rPr>
        <w:t>sin </w:t>
      </w:r>
      <w:r>
        <w:rPr/>
        <w:t>embargo, </w:t>
      </w:r>
      <w:r>
        <w:rPr>
          <w:spacing w:val="-5"/>
        </w:rPr>
        <w:t>la </w:t>
      </w:r>
      <w:r>
        <w:rPr/>
        <w:t>investigación también muestra que </w:t>
      </w:r>
      <w:r>
        <w:rPr>
          <w:spacing w:val="-3"/>
        </w:rPr>
        <w:t>la </w:t>
      </w:r>
      <w:r>
        <w:rPr/>
        <w:t>cepa </w:t>
      </w:r>
      <w:r>
        <w:rPr>
          <w:spacing w:val="-4"/>
        </w:rPr>
        <w:t>más </w:t>
      </w:r>
      <w:r>
        <w:rPr/>
        <w:t>virulenta </w:t>
      </w:r>
      <w:r>
        <w:rPr>
          <w:spacing w:val="-3"/>
        </w:rPr>
        <w:t>no </w:t>
      </w:r>
      <w:r>
        <w:rPr/>
        <w:t>tiene relación directa con un probable </w:t>
      </w:r>
      <w:r>
        <w:rPr>
          <w:spacing w:val="-3"/>
        </w:rPr>
        <w:t>mayor </w:t>
      </w:r>
      <w:r>
        <w:rPr/>
        <w:t>efecto de bloqueo de </w:t>
      </w:r>
      <w:r>
        <w:rPr>
          <w:spacing w:val="-3"/>
        </w:rPr>
        <w:t>la </w:t>
      </w:r>
      <w:r>
        <w:rPr/>
        <w:t>señalización de IFN-I(</w:t>
      </w:r>
      <w:r>
        <w:rPr>
          <w:i/>
        </w:rPr>
        <w:t>α</w:t>
      </w:r>
      <w:r>
        <w:rPr/>
        <w:t>), </w:t>
      </w:r>
      <w:r>
        <w:rPr>
          <w:spacing w:val="-5"/>
        </w:rPr>
        <w:t>ya </w:t>
      </w:r>
      <w:r>
        <w:rPr/>
        <w:t>que </w:t>
      </w:r>
      <w:r>
        <w:rPr>
          <w:spacing w:val="-5"/>
        </w:rPr>
        <w:t>la </w:t>
      </w:r>
      <w:r>
        <w:rPr/>
        <w:t>expresión de transcrito STAT-1(</w:t>
      </w:r>
      <w:r>
        <w:rPr>
          <w:i/>
        </w:rPr>
        <w:t>α</w:t>
      </w:r>
      <w:r>
        <w:rPr/>
        <w:t>) hasta las 8 hpi fue mayor en el virus Sp; </w:t>
      </w:r>
      <w:r>
        <w:rPr>
          <w:spacing w:val="-5"/>
        </w:rPr>
        <w:t>lo </w:t>
      </w:r>
      <w:r>
        <w:rPr/>
        <w:t>anterior se fortalece por el hecho de que en este virus se obtuvo mayor fosforilación de STAT1(α/β), detectada entre </w:t>
      </w:r>
      <w:r>
        <w:rPr>
          <w:spacing w:val="-3"/>
        </w:rPr>
        <w:t>las </w:t>
      </w:r>
      <w:r>
        <w:rPr/>
        <w:t>4 y </w:t>
      </w:r>
      <w:r>
        <w:rPr>
          <w:spacing w:val="-3"/>
        </w:rPr>
        <w:t>las </w:t>
      </w:r>
      <w:r>
        <w:rPr/>
        <w:t>24 hpi (mayor activación a 12hpi).</w:t>
      </w:r>
    </w:p>
    <w:p>
      <w:pPr>
        <w:pStyle w:val="BodyText"/>
        <w:spacing w:line="360" w:lineRule="auto" w:before="4"/>
        <w:ind w:left="152" w:right="101"/>
        <w:jc w:val="both"/>
      </w:pPr>
      <w:r>
        <w:rPr/>
        <w:t>Se </w:t>
      </w:r>
      <w:r>
        <w:rPr>
          <w:spacing w:val="-3"/>
        </w:rPr>
        <w:t>ha </w:t>
      </w:r>
      <w:r>
        <w:rPr/>
        <w:t>establecido que Mx-1 inhibe </w:t>
      </w:r>
      <w:r>
        <w:rPr>
          <w:spacing w:val="-3"/>
        </w:rPr>
        <w:t>la </w:t>
      </w:r>
      <w:r>
        <w:rPr/>
        <w:t>replicación de IPNV (Larsen </w:t>
      </w:r>
      <w:r>
        <w:rPr>
          <w:i/>
        </w:rPr>
        <w:t>et al</w:t>
      </w:r>
      <w:r>
        <w:rPr/>
        <w:t>., 2004; Jørgensen </w:t>
      </w:r>
      <w:r>
        <w:rPr>
          <w:i/>
        </w:rPr>
        <w:t>et </w:t>
      </w:r>
      <w:r>
        <w:rPr>
          <w:i/>
        </w:rPr>
        <w:t>al</w:t>
      </w:r>
      <w:r>
        <w:rPr/>
        <w:t>., 2007) pero en este estudio decreció el transcrito de este gen cuando el virus incrementó </w:t>
      </w:r>
      <w:r>
        <w:rPr>
          <w:spacing w:val="-3"/>
        </w:rPr>
        <w:t>la </w:t>
      </w:r>
      <w:r>
        <w:rPr/>
        <w:t>replicación, probablemente porque </w:t>
      </w:r>
      <w:r>
        <w:rPr>
          <w:spacing w:val="-5"/>
        </w:rPr>
        <w:t>la </w:t>
      </w:r>
      <w:r>
        <w:rPr/>
        <w:t>infección ocurrió sin haber administrado previamente</w:t>
      </w:r>
      <w:r>
        <w:rPr>
          <w:spacing w:val="-7"/>
        </w:rPr>
        <w:t> </w:t>
      </w:r>
      <w:r>
        <w:rPr/>
        <w:t>IFN-I</w:t>
      </w:r>
      <w:r>
        <w:rPr>
          <w:spacing w:val="-14"/>
        </w:rPr>
        <w:t> </w:t>
      </w:r>
      <w:r>
        <w:rPr/>
        <w:t>o</w:t>
      </w:r>
      <w:r>
        <w:rPr>
          <w:spacing w:val="-6"/>
        </w:rPr>
        <w:t> </w:t>
      </w:r>
      <w:r>
        <w:rPr/>
        <w:t>Poly:IC</w:t>
      </w:r>
      <w:r>
        <w:rPr>
          <w:spacing w:val="-8"/>
        </w:rPr>
        <w:t> </w:t>
      </w:r>
      <w:r>
        <w:rPr/>
        <w:t>a</w:t>
      </w:r>
      <w:r>
        <w:rPr>
          <w:spacing w:val="-7"/>
        </w:rPr>
        <w:t> </w:t>
      </w:r>
      <w:r>
        <w:rPr>
          <w:spacing w:val="-4"/>
        </w:rPr>
        <w:t>las</w:t>
      </w:r>
      <w:r>
        <w:rPr>
          <w:spacing w:val="-8"/>
        </w:rPr>
        <w:t> </w:t>
      </w:r>
      <w:r>
        <w:rPr/>
        <w:t>células</w:t>
      </w:r>
      <w:r>
        <w:rPr>
          <w:spacing w:val="-8"/>
        </w:rPr>
        <w:t> </w:t>
      </w:r>
      <w:r>
        <w:rPr/>
        <w:t>(Skjesol</w:t>
      </w:r>
      <w:r>
        <w:rPr>
          <w:spacing w:val="-12"/>
        </w:rPr>
        <w:t> </w:t>
      </w:r>
      <w:r>
        <w:rPr>
          <w:i/>
        </w:rPr>
        <w:t>et</w:t>
      </w:r>
      <w:r>
        <w:rPr>
          <w:i/>
          <w:spacing w:val="-5"/>
        </w:rPr>
        <w:t> </w:t>
      </w:r>
      <w:r>
        <w:rPr>
          <w:i/>
        </w:rPr>
        <w:t>al</w:t>
      </w:r>
      <w:r>
        <w:rPr/>
        <w:t>.,</w:t>
      </w:r>
      <w:r>
        <w:rPr>
          <w:spacing w:val="-8"/>
        </w:rPr>
        <w:t> </w:t>
      </w:r>
      <w:r>
        <w:rPr/>
        <w:t>2009).</w:t>
      </w:r>
      <w:r>
        <w:rPr>
          <w:spacing w:val="-8"/>
        </w:rPr>
        <w:t> </w:t>
      </w:r>
      <w:r>
        <w:rPr/>
        <w:t>También</w:t>
      </w:r>
      <w:r>
        <w:rPr>
          <w:spacing w:val="-11"/>
        </w:rPr>
        <w:t> </w:t>
      </w:r>
      <w:r>
        <w:rPr/>
        <w:t>se</w:t>
      </w:r>
      <w:r>
        <w:rPr>
          <w:spacing w:val="-7"/>
        </w:rPr>
        <w:t> </w:t>
      </w:r>
      <w:r>
        <w:rPr>
          <w:spacing w:val="-3"/>
        </w:rPr>
        <w:t>ha</w:t>
      </w:r>
      <w:r>
        <w:rPr>
          <w:spacing w:val="-7"/>
        </w:rPr>
        <w:t> </w:t>
      </w:r>
      <w:r>
        <w:rPr/>
        <w:t>documentado poco efecto de </w:t>
      </w:r>
      <w:r>
        <w:rPr>
          <w:spacing w:val="-5"/>
        </w:rPr>
        <w:t>la </w:t>
      </w:r>
      <w:r>
        <w:rPr/>
        <w:t>proteína Mx en infecciones con IPNV en líneas celulares de salmón TO y SHK (Jensen y Robertsen, 2002) a diferencia de infecciones con ISAV, donde </w:t>
      </w:r>
      <w:r>
        <w:rPr>
          <w:spacing w:val="-5"/>
        </w:rPr>
        <w:t>la </w:t>
      </w:r>
      <w:r>
        <w:rPr/>
        <w:t>respuesta </w:t>
      </w:r>
      <w:r>
        <w:rPr>
          <w:spacing w:val="-3"/>
        </w:rPr>
        <w:t>ha </w:t>
      </w:r>
      <w:r>
        <w:rPr/>
        <w:t>mostrado diferencias, aún entre </w:t>
      </w:r>
      <w:r>
        <w:rPr>
          <w:spacing w:val="-3"/>
        </w:rPr>
        <w:t>línea </w:t>
      </w:r>
      <w:r>
        <w:rPr/>
        <w:t>celular; por </w:t>
      </w:r>
      <w:r>
        <w:rPr>
          <w:spacing w:val="-5"/>
        </w:rPr>
        <w:t>lo </w:t>
      </w:r>
      <w:r>
        <w:rPr/>
        <w:t>que </w:t>
      </w:r>
      <w:r>
        <w:rPr>
          <w:spacing w:val="-5"/>
        </w:rPr>
        <w:t>la </w:t>
      </w:r>
      <w:r>
        <w:rPr/>
        <w:t>funcionalidad antiviral de Mx, </w:t>
      </w:r>
      <w:r>
        <w:rPr>
          <w:spacing w:val="-3"/>
        </w:rPr>
        <w:t>no </w:t>
      </w:r>
      <w:r>
        <w:rPr/>
        <w:t>debe generalizarse y posiblemente dependerá de factores como, isoforma de </w:t>
      </w:r>
      <w:r>
        <w:rPr>
          <w:spacing w:val="-3"/>
        </w:rPr>
        <w:t>la </w:t>
      </w:r>
      <w:r>
        <w:rPr/>
        <w:t>proteína, tipo de </w:t>
      </w:r>
      <w:r>
        <w:rPr>
          <w:spacing w:val="-3"/>
        </w:rPr>
        <w:t>célula </w:t>
      </w:r>
      <w:r>
        <w:rPr/>
        <w:t>y temperatura de infección (Arguedas </w:t>
      </w:r>
      <w:r>
        <w:rPr>
          <w:i/>
        </w:rPr>
        <w:t>et al</w:t>
      </w:r>
      <w:r>
        <w:rPr/>
        <w:t>., 2015), entre otros. Sorprendentemente,</w:t>
      </w:r>
      <w:r>
        <w:rPr>
          <w:spacing w:val="-2"/>
        </w:rPr>
        <w:t> </w:t>
      </w:r>
      <w:r>
        <w:rPr/>
        <w:t>en</w:t>
      </w:r>
      <w:r>
        <w:rPr>
          <w:spacing w:val="-9"/>
        </w:rPr>
        <w:t> </w:t>
      </w:r>
      <w:r>
        <w:rPr/>
        <w:t>este</w:t>
      </w:r>
      <w:r>
        <w:rPr>
          <w:spacing w:val="-5"/>
        </w:rPr>
        <w:t> </w:t>
      </w:r>
      <w:r>
        <w:rPr/>
        <w:t>trabajo</w:t>
      </w:r>
      <w:r>
        <w:rPr>
          <w:spacing w:val="1"/>
        </w:rPr>
        <w:t> </w:t>
      </w:r>
      <w:r>
        <w:rPr/>
        <w:t>el</w:t>
      </w:r>
      <w:r>
        <w:rPr>
          <w:spacing w:val="-4"/>
        </w:rPr>
        <w:t> </w:t>
      </w:r>
      <w:r>
        <w:rPr/>
        <w:t>nivel</w:t>
      </w:r>
      <w:r>
        <w:rPr>
          <w:spacing w:val="-8"/>
        </w:rPr>
        <w:t> </w:t>
      </w:r>
      <w:r>
        <w:rPr/>
        <w:t>de</w:t>
      </w:r>
      <w:r>
        <w:rPr>
          <w:spacing w:val="-5"/>
        </w:rPr>
        <w:t> </w:t>
      </w:r>
      <w:r>
        <w:rPr/>
        <w:t>RNAm</w:t>
      </w:r>
      <w:r>
        <w:rPr>
          <w:spacing w:val="-9"/>
        </w:rPr>
        <w:t> </w:t>
      </w:r>
      <w:r>
        <w:rPr/>
        <w:t>de Mx</w:t>
      </w:r>
      <w:r>
        <w:rPr>
          <w:spacing w:val="-4"/>
        </w:rPr>
        <w:t> </w:t>
      </w:r>
      <w:r>
        <w:rPr>
          <w:spacing w:val="-3"/>
        </w:rPr>
        <w:t>fue</w:t>
      </w:r>
      <w:r>
        <w:rPr/>
        <w:t> similar</w:t>
      </w:r>
      <w:r>
        <w:rPr>
          <w:spacing w:val="-2"/>
        </w:rPr>
        <w:t> </w:t>
      </w:r>
      <w:r>
        <w:rPr/>
        <w:t>entre </w:t>
      </w:r>
      <w:r>
        <w:rPr>
          <w:spacing w:val="-4"/>
        </w:rPr>
        <w:t>las</w:t>
      </w:r>
      <w:r>
        <w:rPr>
          <w:spacing w:val="-6"/>
        </w:rPr>
        <w:t> </w:t>
      </w:r>
      <w:r>
        <w:rPr/>
        <w:t>dos</w:t>
      </w:r>
      <w:r>
        <w:rPr>
          <w:spacing w:val="-6"/>
        </w:rPr>
        <w:t> </w:t>
      </w:r>
      <w:r>
        <w:rPr/>
        <w:t>cepas; </w:t>
      </w:r>
      <w:r>
        <w:rPr>
          <w:spacing w:val="-5"/>
        </w:rPr>
        <w:t>lo </w:t>
      </w:r>
      <w:r>
        <w:rPr/>
        <w:t>que concuerda con Ortega </w:t>
      </w:r>
      <w:r>
        <w:rPr>
          <w:i/>
        </w:rPr>
        <w:t>et al</w:t>
      </w:r>
      <w:r>
        <w:rPr/>
        <w:t>., (2011) que reportaron que </w:t>
      </w:r>
      <w:r>
        <w:rPr>
          <w:spacing w:val="-5"/>
        </w:rPr>
        <w:t>la </w:t>
      </w:r>
      <w:r>
        <w:rPr/>
        <w:t>virulencia de </w:t>
      </w:r>
      <w:r>
        <w:rPr>
          <w:spacing w:val="-3"/>
        </w:rPr>
        <w:t>la </w:t>
      </w:r>
      <w:r>
        <w:rPr/>
        <w:t>cepa </w:t>
      </w:r>
      <w:r>
        <w:rPr>
          <w:spacing w:val="-3"/>
        </w:rPr>
        <w:t>no </w:t>
      </w:r>
      <w:r>
        <w:rPr/>
        <w:t>afecta </w:t>
      </w:r>
      <w:r>
        <w:rPr>
          <w:spacing w:val="-5"/>
        </w:rPr>
        <w:t>la </w:t>
      </w:r>
      <w:r>
        <w:rPr/>
        <w:t>expresión génica. Esto nos sugiere que ambas cepas tienen similares</w:t>
      </w:r>
      <w:r>
        <w:rPr>
          <w:spacing w:val="-16"/>
        </w:rPr>
        <w:t> </w:t>
      </w:r>
      <w:r>
        <w:rPr/>
        <w:t>sensibilidades</w:t>
      </w:r>
    </w:p>
    <w:p>
      <w:pPr>
        <w:spacing w:after="0" w:line="360" w:lineRule="auto"/>
        <w:jc w:val="both"/>
        <w:sectPr>
          <w:pgSz w:w="12240" w:h="15840"/>
          <w:pgMar w:header="0" w:footer="1382" w:top="1500" w:bottom="1580" w:left="1720" w:right="1420"/>
        </w:sectPr>
      </w:pPr>
    </w:p>
    <w:p>
      <w:pPr>
        <w:pStyle w:val="BodyText"/>
        <w:spacing w:before="7"/>
        <w:rPr>
          <w:sz w:val="25"/>
        </w:rPr>
      </w:pPr>
    </w:p>
    <w:p>
      <w:pPr>
        <w:pStyle w:val="BodyText"/>
        <w:spacing w:line="360" w:lineRule="auto" w:before="70"/>
        <w:ind w:left="152" w:right="100"/>
        <w:jc w:val="both"/>
      </w:pPr>
      <w:r>
        <w:rPr/>
        <w:t>a </w:t>
      </w:r>
      <w:r>
        <w:rPr>
          <w:spacing w:val="-5"/>
        </w:rPr>
        <w:t>la </w:t>
      </w:r>
      <w:r>
        <w:rPr/>
        <w:t>actividad antiviral inducida por interferón. La fosforilación de </w:t>
      </w:r>
      <w:r>
        <w:rPr>
          <w:spacing w:val="-5"/>
        </w:rPr>
        <w:t>la </w:t>
      </w:r>
      <w:r>
        <w:rPr/>
        <w:t>Y-701 de STAT1(α/β) incrementa </w:t>
      </w:r>
      <w:r>
        <w:rPr>
          <w:spacing w:val="-5"/>
        </w:rPr>
        <w:t>la </w:t>
      </w:r>
      <w:r>
        <w:rPr/>
        <w:t>expresión y actividad transcripcional de genes específicos en respuesta a citoquinas y factores de crecimiento (Decker </w:t>
      </w:r>
      <w:r>
        <w:rPr>
          <w:i/>
        </w:rPr>
        <w:t>et al</w:t>
      </w:r>
      <w:r>
        <w:rPr/>
        <w:t>., 2002; Skjesol </w:t>
      </w:r>
      <w:r>
        <w:rPr>
          <w:i/>
        </w:rPr>
        <w:t>et al</w:t>
      </w:r>
      <w:r>
        <w:rPr/>
        <w:t>., 2010). En este estudio el nivel de pY701-STAT1(α/β) </w:t>
      </w:r>
      <w:r>
        <w:rPr>
          <w:spacing w:val="-3"/>
        </w:rPr>
        <w:t>fue </w:t>
      </w:r>
      <w:r>
        <w:rPr/>
        <w:t>aumentado en células infectadas con el serotipo Sp, causado por un incremento de expresión mostrado por interferón I en las primeras horas del ensayo (4 y 8). Esto nos da clara evidencia de que </w:t>
      </w:r>
      <w:r>
        <w:rPr>
          <w:spacing w:val="-5"/>
        </w:rPr>
        <w:t>la </w:t>
      </w:r>
      <w:r>
        <w:rPr/>
        <w:t>tirosina 701 de STAT1(α/β) es activada por este tipo de interferón en truchas, a diferencia de </w:t>
      </w:r>
      <w:r>
        <w:rPr>
          <w:spacing w:val="-5"/>
        </w:rPr>
        <w:t>la </w:t>
      </w:r>
      <w:r>
        <w:rPr/>
        <w:t>isoforma beta de interferón intracelular (iIFN-Ib) reportado por vez primera en vertebrados (trucha), que </w:t>
      </w:r>
      <w:r>
        <w:rPr>
          <w:spacing w:val="-3"/>
        </w:rPr>
        <w:t>no </w:t>
      </w:r>
      <w:r>
        <w:rPr/>
        <w:t>tiene efecto sobre </w:t>
      </w:r>
      <w:r>
        <w:rPr>
          <w:spacing w:val="-5"/>
        </w:rPr>
        <w:t>la </w:t>
      </w:r>
      <w:r>
        <w:rPr/>
        <w:t>fosforilación de STAT1 y STAT2 (Chang </w:t>
      </w:r>
      <w:r>
        <w:rPr>
          <w:i/>
        </w:rPr>
        <w:t>et al</w:t>
      </w:r>
      <w:r>
        <w:rPr/>
        <w:t>., 2013). La respuesta de IFN-I (α) ante </w:t>
      </w:r>
      <w:r>
        <w:rPr>
          <w:spacing w:val="-5"/>
        </w:rPr>
        <w:t>la </w:t>
      </w:r>
      <w:r>
        <w:rPr/>
        <w:t>infección con ambos serotipos estimula </w:t>
      </w:r>
      <w:r>
        <w:rPr>
          <w:spacing w:val="-3"/>
        </w:rPr>
        <w:t>la </w:t>
      </w:r>
      <w:r>
        <w:rPr/>
        <w:t>activación de STAT1(α/β), demostrando que IPNV </w:t>
      </w:r>
      <w:r>
        <w:rPr>
          <w:spacing w:val="-3"/>
        </w:rPr>
        <w:t>no </w:t>
      </w:r>
      <w:r>
        <w:rPr/>
        <w:t>interfiere con </w:t>
      </w:r>
      <w:r>
        <w:rPr>
          <w:spacing w:val="-3"/>
        </w:rPr>
        <w:t>la </w:t>
      </w:r>
      <w:r>
        <w:rPr/>
        <w:t>pY701-STAT1(α/β) inducida por interferón I como se </w:t>
      </w:r>
      <w:r>
        <w:rPr>
          <w:spacing w:val="-3"/>
        </w:rPr>
        <w:t>ha </w:t>
      </w:r>
      <w:r>
        <w:rPr/>
        <w:t>reportado para otros virus de RNA (Horvath, 2004; Randall y Goodbourn, 2008) y además el grado de activación es directamente proporcional a </w:t>
      </w:r>
      <w:r>
        <w:rPr>
          <w:spacing w:val="-3"/>
        </w:rPr>
        <w:t>la </w:t>
      </w:r>
      <w:r>
        <w:rPr/>
        <w:t>virulencia de IPNV. Los efectos de activación de STAT1(α/β) han sido implicados con </w:t>
      </w:r>
      <w:r>
        <w:rPr>
          <w:spacing w:val="-5"/>
        </w:rPr>
        <w:t>la </w:t>
      </w:r>
      <w:r>
        <w:rPr/>
        <w:t>activación máxima transcripcional y apoptosis</w:t>
      </w:r>
      <w:r>
        <w:rPr>
          <w:spacing w:val="-7"/>
        </w:rPr>
        <w:t> </w:t>
      </w:r>
      <w:r>
        <w:rPr/>
        <w:t>en</w:t>
      </w:r>
      <w:r>
        <w:rPr>
          <w:spacing w:val="-4"/>
        </w:rPr>
        <w:t> </w:t>
      </w:r>
      <w:r>
        <w:rPr/>
        <w:t>mamíferos</w:t>
      </w:r>
      <w:r>
        <w:rPr>
          <w:spacing w:val="-7"/>
        </w:rPr>
        <w:t> </w:t>
      </w:r>
      <w:r>
        <w:rPr/>
        <w:t>(Sironi</w:t>
      </w:r>
      <w:r>
        <w:rPr>
          <w:spacing w:val="-8"/>
        </w:rPr>
        <w:t> </w:t>
      </w:r>
      <w:r>
        <w:rPr/>
        <w:t>y</w:t>
      </w:r>
      <w:r>
        <w:rPr>
          <w:spacing w:val="-9"/>
        </w:rPr>
        <w:t> </w:t>
      </w:r>
      <w:r>
        <w:rPr/>
        <w:t>Ouchi,</w:t>
      </w:r>
      <w:r>
        <w:rPr>
          <w:spacing w:val="-3"/>
        </w:rPr>
        <w:t> </w:t>
      </w:r>
      <w:r>
        <w:rPr/>
        <w:t>2004,</w:t>
      </w:r>
      <w:r>
        <w:rPr>
          <w:spacing w:val="-3"/>
        </w:rPr>
        <w:t> </w:t>
      </w:r>
      <w:r>
        <w:rPr/>
        <w:t>Thomas</w:t>
      </w:r>
      <w:r>
        <w:rPr>
          <w:spacing w:val="-4"/>
        </w:rPr>
        <w:t> </w:t>
      </w:r>
      <w:r>
        <w:rPr>
          <w:i/>
        </w:rPr>
        <w:t>et</w:t>
      </w:r>
      <w:r>
        <w:rPr>
          <w:i/>
          <w:spacing w:val="-4"/>
        </w:rPr>
        <w:t> </w:t>
      </w:r>
      <w:r>
        <w:rPr>
          <w:i/>
        </w:rPr>
        <w:t>al</w:t>
      </w:r>
      <w:r>
        <w:rPr/>
        <w:t>.,</w:t>
      </w:r>
      <w:r>
        <w:rPr>
          <w:spacing w:val="-3"/>
        </w:rPr>
        <w:t> </w:t>
      </w:r>
      <w:r>
        <w:rPr/>
        <w:t>2004;</w:t>
      </w:r>
      <w:r>
        <w:rPr>
          <w:spacing w:val="-8"/>
        </w:rPr>
        <w:t> </w:t>
      </w:r>
      <w:r>
        <w:rPr/>
        <w:t>Townsend</w:t>
      </w:r>
      <w:r>
        <w:rPr>
          <w:spacing w:val="-4"/>
        </w:rPr>
        <w:t> </w:t>
      </w:r>
      <w:r>
        <w:rPr>
          <w:i/>
        </w:rPr>
        <w:t>et</w:t>
      </w:r>
      <w:r>
        <w:rPr>
          <w:i/>
          <w:spacing w:val="-4"/>
        </w:rPr>
        <w:t> </w:t>
      </w:r>
      <w:r>
        <w:rPr>
          <w:i/>
        </w:rPr>
        <w:t>al</w:t>
      </w:r>
      <w:r>
        <w:rPr/>
        <w:t>.,</w:t>
      </w:r>
      <w:r>
        <w:rPr>
          <w:spacing w:val="-3"/>
        </w:rPr>
        <w:t> </w:t>
      </w:r>
      <w:r>
        <w:rPr/>
        <w:t>2004); mecanismo de muerte celular que </w:t>
      </w:r>
      <w:r>
        <w:rPr>
          <w:spacing w:val="-3"/>
        </w:rPr>
        <w:t>ha </w:t>
      </w:r>
      <w:r>
        <w:rPr/>
        <w:t>sido documentada en infecciones </w:t>
      </w:r>
      <w:r>
        <w:rPr>
          <w:i/>
        </w:rPr>
        <w:t>in vivo </w:t>
      </w:r>
      <w:r>
        <w:rPr/>
        <w:t>e </w:t>
      </w:r>
      <w:r>
        <w:rPr>
          <w:i/>
        </w:rPr>
        <w:t>in vitro </w:t>
      </w:r>
      <w:r>
        <w:rPr/>
        <w:t>con IPNV, indistintamente de </w:t>
      </w:r>
      <w:r>
        <w:rPr>
          <w:spacing w:val="-5"/>
        </w:rPr>
        <w:t>la </w:t>
      </w:r>
      <w:r>
        <w:rPr/>
        <w:t>virulencia de </w:t>
      </w:r>
      <w:r>
        <w:rPr>
          <w:spacing w:val="-3"/>
        </w:rPr>
        <w:t>la </w:t>
      </w:r>
      <w:r>
        <w:rPr/>
        <w:t>cepa (Hong </w:t>
      </w:r>
      <w:r>
        <w:rPr>
          <w:i/>
        </w:rPr>
        <w:t>et al</w:t>
      </w:r>
      <w:r>
        <w:rPr/>
        <w:t>., 1999; Espinoza </w:t>
      </w:r>
      <w:r>
        <w:rPr>
          <w:i/>
        </w:rPr>
        <w:t>et al</w:t>
      </w:r>
      <w:r>
        <w:rPr/>
        <w:t>., 2005; Ortega </w:t>
      </w:r>
      <w:r>
        <w:rPr>
          <w:i/>
        </w:rPr>
        <w:t>et al</w:t>
      </w:r>
      <w:r>
        <w:rPr/>
        <w:t>., 2014). En nuestro trabajo, posiblemente </w:t>
      </w:r>
      <w:r>
        <w:rPr>
          <w:spacing w:val="-3"/>
        </w:rPr>
        <w:t>la mayor </w:t>
      </w:r>
      <w:r>
        <w:rPr/>
        <w:t>activación mostrada en infecciones con Sp </w:t>
      </w:r>
      <w:r>
        <w:rPr>
          <w:spacing w:val="-3"/>
        </w:rPr>
        <w:t>fue </w:t>
      </w:r>
      <w:r>
        <w:rPr/>
        <w:t>requerida para una rápida eliminación de células infectadas, como una respuesta </w:t>
      </w:r>
      <w:r>
        <w:rPr>
          <w:spacing w:val="-3"/>
        </w:rPr>
        <w:t>más </w:t>
      </w:r>
      <w:r>
        <w:rPr/>
        <w:t>agresiva a </w:t>
      </w:r>
      <w:r>
        <w:rPr>
          <w:spacing w:val="-3"/>
        </w:rPr>
        <w:t>la </w:t>
      </w:r>
      <w:r>
        <w:rPr/>
        <w:t>infección. Esto también podría explicar </w:t>
      </w:r>
      <w:r>
        <w:rPr>
          <w:spacing w:val="-5"/>
        </w:rPr>
        <w:t>la </w:t>
      </w:r>
      <w:r>
        <w:rPr/>
        <w:t>disminución de </w:t>
      </w:r>
      <w:r>
        <w:rPr>
          <w:spacing w:val="-3"/>
        </w:rPr>
        <w:t>la </w:t>
      </w:r>
      <w:r>
        <w:rPr/>
        <w:t>expresión génica de IFN-I(</w:t>
      </w:r>
      <w:r>
        <w:rPr>
          <w:i/>
        </w:rPr>
        <w:t>α</w:t>
      </w:r>
      <w:r>
        <w:rPr/>
        <w:t>) y STAT-1(</w:t>
      </w:r>
      <w:r>
        <w:rPr>
          <w:i/>
        </w:rPr>
        <w:t>α</w:t>
      </w:r>
      <w:r>
        <w:rPr/>
        <w:t>), que podría estar asociado a una menor cantidad de células viables disponibles. Lo que explicaría además el aumento de expresión génica en células infectadas con VR-299 a los 24 y 60 </w:t>
      </w:r>
      <w:r>
        <w:rPr>
          <w:spacing w:val="-3"/>
        </w:rPr>
        <w:t>hpi, </w:t>
      </w:r>
      <w:r>
        <w:rPr/>
        <w:t>donde posiblemente había una </w:t>
      </w:r>
      <w:r>
        <w:rPr>
          <w:spacing w:val="-3"/>
        </w:rPr>
        <w:t>mayor</w:t>
      </w:r>
      <w:r>
        <w:rPr>
          <w:spacing w:val="54"/>
        </w:rPr>
        <w:t> </w:t>
      </w:r>
      <w:r>
        <w:rPr/>
        <w:t>cantidad de células. Sin embargo, datos concernientes a </w:t>
      </w:r>
      <w:r>
        <w:rPr>
          <w:spacing w:val="-5"/>
        </w:rPr>
        <w:t>la </w:t>
      </w:r>
      <w:r>
        <w:rPr/>
        <w:t>actividad funcional de </w:t>
      </w:r>
      <w:r>
        <w:rPr>
          <w:spacing w:val="-5"/>
        </w:rPr>
        <w:t>la </w:t>
      </w:r>
      <w:r>
        <w:rPr/>
        <w:t>fosforilación</w:t>
      </w:r>
      <w:r>
        <w:rPr>
          <w:spacing w:val="-14"/>
        </w:rPr>
        <w:t> </w:t>
      </w:r>
      <w:r>
        <w:rPr/>
        <w:t>de</w:t>
      </w:r>
      <w:r>
        <w:rPr>
          <w:spacing w:val="-11"/>
        </w:rPr>
        <w:t> </w:t>
      </w:r>
      <w:r>
        <w:rPr/>
        <w:t>STAT1(α/β)</w:t>
      </w:r>
      <w:r>
        <w:rPr>
          <w:spacing w:val="-8"/>
        </w:rPr>
        <w:t> </w:t>
      </w:r>
      <w:r>
        <w:rPr/>
        <w:t>en</w:t>
      </w:r>
      <w:r>
        <w:rPr>
          <w:spacing w:val="-14"/>
        </w:rPr>
        <w:t> </w:t>
      </w:r>
      <w:r>
        <w:rPr/>
        <w:t>peces</w:t>
      </w:r>
      <w:r>
        <w:rPr>
          <w:spacing w:val="-12"/>
        </w:rPr>
        <w:t> </w:t>
      </w:r>
      <w:r>
        <w:rPr/>
        <w:t>óseos</w:t>
      </w:r>
      <w:r>
        <w:rPr>
          <w:spacing w:val="-12"/>
        </w:rPr>
        <w:t> </w:t>
      </w:r>
      <w:r>
        <w:rPr/>
        <w:t>después</w:t>
      </w:r>
      <w:r>
        <w:rPr>
          <w:spacing w:val="-12"/>
        </w:rPr>
        <w:t> </w:t>
      </w:r>
      <w:r>
        <w:rPr/>
        <w:t>de</w:t>
      </w:r>
      <w:r>
        <w:rPr>
          <w:spacing w:val="-11"/>
        </w:rPr>
        <w:t> </w:t>
      </w:r>
      <w:r>
        <w:rPr/>
        <w:t>estimulación</w:t>
      </w:r>
      <w:r>
        <w:rPr>
          <w:spacing w:val="-14"/>
        </w:rPr>
        <w:t> </w:t>
      </w:r>
      <w:r>
        <w:rPr/>
        <w:t>con</w:t>
      </w:r>
      <w:r>
        <w:rPr>
          <w:spacing w:val="-14"/>
        </w:rPr>
        <w:t> </w:t>
      </w:r>
      <w:r>
        <w:rPr/>
        <w:t>virus</w:t>
      </w:r>
      <w:r>
        <w:rPr>
          <w:spacing w:val="-12"/>
        </w:rPr>
        <w:t> </w:t>
      </w:r>
      <w:r>
        <w:rPr/>
        <w:t>es</w:t>
      </w:r>
      <w:r>
        <w:rPr>
          <w:spacing w:val="-12"/>
        </w:rPr>
        <w:t> </w:t>
      </w:r>
      <w:r>
        <w:rPr/>
        <w:t>escasa,</w:t>
      </w:r>
      <w:r>
        <w:rPr>
          <w:spacing w:val="-8"/>
        </w:rPr>
        <w:t> </w:t>
      </w:r>
      <w:r>
        <w:rPr/>
        <w:t>por </w:t>
      </w:r>
      <w:r>
        <w:rPr>
          <w:spacing w:val="-5"/>
        </w:rPr>
        <w:t>lo </w:t>
      </w:r>
      <w:r>
        <w:rPr/>
        <w:t>que relación activación pY701-STAT1(α/β)-apoptosis debe ser profundizado en salmónidos. Este es el primer estudio que reporta </w:t>
      </w:r>
      <w:r>
        <w:rPr>
          <w:spacing w:val="-3"/>
        </w:rPr>
        <w:t>la </w:t>
      </w:r>
      <w:r>
        <w:rPr/>
        <w:t>fosforilación de </w:t>
      </w:r>
      <w:r>
        <w:rPr>
          <w:spacing w:val="-3"/>
        </w:rPr>
        <w:t>la </w:t>
      </w:r>
      <w:r>
        <w:rPr/>
        <w:t>tirosina 701-STAT1 (α/β) en truchas infectadas con IPNV de serotipos de distinta</w:t>
      </w:r>
      <w:r>
        <w:rPr>
          <w:spacing w:val="-33"/>
        </w:rPr>
        <w:t> </w:t>
      </w:r>
      <w:r>
        <w:rPr/>
        <w:t>virulencia.</w:t>
      </w:r>
    </w:p>
    <w:p>
      <w:pPr>
        <w:spacing w:after="0" w:line="360" w:lineRule="auto"/>
        <w:jc w:val="both"/>
        <w:sectPr>
          <w:pgSz w:w="12240" w:h="15840"/>
          <w:pgMar w:header="0" w:footer="1382" w:top="1500" w:bottom="1580" w:left="1720" w:right="1420"/>
        </w:sectPr>
      </w:pPr>
    </w:p>
    <w:p>
      <w:pPr>
        <w:pStyle w:val="BodyText"/>
        <w:spacing w:before="1"/>
        <w:rPr>
          <w:sz w:val="26"/>
        </w:rPr>
      </w:pPr>
    </w:p>
    <w:p>
      <w:pPr>
        <w:pStyle w:val="Heading1"/>
        <w:numPr>
          <w:ilvl w:val="0"/>
          <w:numId w:val="9"/>
        </w:numPr>
        <w:tabs>
          <w:tab w:pos="3807" w:val="left" w:leader="none"/>
        </w:tabs>
        <w:spacing w:line="240" w:lineRule="auto" w:before="69" w:after="0"/>
        <w:ind w:left="3806" w:right="0" w:hanging="388"/>
        <w:jc w:val="left"/>
      </w:pPr>
      <w:bookmarkStart w:name="_bookmark45" w:id="84"/>
      <w:bookmarkEnd w:id="84"/>
      <w:r>
        <w:rPr>
          <w:b w:val="0"/>
        </w:rPr>
      </w:r>
      <w:bookmarkStart w:name="_bookmark45" w:id="85"/>
      <w:bookmarkEnd w:id="85"/>
      <w:r>
        <w:rPr/>
        <w:t>CON</w:t>
      </w:r>
      <w:r>
        <w:rPr/>
        <w:t>CLUSIONES</w:t>
      </w:r>
    </w:p>
    <w:p>
      <w:pPr>
        <w:pStyle w:val="ListParagraph"/>
        <w:numPr>
          <w:ilvl w:val="1"/>
          <w:numId w:val="14"/>
        </w:numPr>
        <w:tabs>
          <w:tab w:pos="1234" w:val="left" w:leader="none"/>
        </w:tabs>
        <w:spacing w:line="357" w:lineRule="auto" w:before="129" w:after="0"/>
        <w:ind w:left="1233" w:right="107" w:hanging="360"/>
        <w:jc w:val="both"/>
        <w:rPr>
          <w:sz w:val="24"/>
        </w:rPr>
      </w:pPr>
      <w:r>
        <w:rPr>
          <w:sz w:val="24"/>
        </w:rPr>
        <w:t>La expresión de IFN-I(</w:t>
      </w:r>
      <w:r>
        <w:rPr>
          <w:i/>
          <w:sz w:val="24"/>
        </w:rPr>
        <w:t>α</w:t>
      </w:r>
      <w:r>
        <w:rPr>
          <w:sz w:val="24"/>
        </w:rPr>
        <w:t>), STAT-1(</w:t>
      </w:r>
      <w:r>
        <w:rPr>
          <w:i/>
          <w:sz w:val="24"/>
        </w:rPr>
        <w:t>α</w:t>
      </w:r>
      <w:r>
        <w:rPr>
          <w:sz w:val="24"/>
        </w:rPr>
        <w:t>) y Mx-1 son fisiológicamente modulados por </w:t>
      </w:r>
      <w:r>
        <w:rPr>
          <w:spacing w:val="-5"/>
          <w:sz w:val="24"/>
        </w:rPr>
        <w:t>la </w:t>
      </w:r>
      <w:r>
        <w:rPr>
          <w:sz w:val="24"/>
        </w:rPr>
        <w:t>temperatura del agua, en este caso directamente influenciando </w:t>
      </w:r>
      <w:r>
        <w:rPr>
          <w:spacing w:val="-5"/>
          <w:sz w:val="24"/>
        </w:rPr>
        <w:t>la </w:t>
      </w:r>
      <w:r>
        <w:rPr>
          <w:sz w:val="24"/>
        </w:rPr>
        <w:t>aparición de </w:t>
      </w:r>
      <w:r>
        <w:rPr>
          <w:spacing w:val="-5"/>
          <w:sz w:val="24"/>
        </w:rPr>
        <w:t>la </w:t>
      </w:r>
      <w:r>
        <w:rPr>
          <w:sz w:val="24"/>
        </w:rPr>
        <w:t>enfermedad de</w:t>
      </w:r>
      <w:r>
        <w:rPr>
          <w:spacing w:val="10"/>
          <w:sz w:val="24"/>
        </w:rPr>
        <w:t> </w:t>
      </w:r>
      <w:r>
        <w:rPr>
          <w:sz w:val="24"/>
        </w:rPr>
        <w:t>IPN.</w:t>
      </w:r>
    </w:p>
    <w:p>
      <w:pPr>
        <w:pStyle w:val="ListParagraph"/>
        <w:numPr>
          <w:ilvl w:val="1"/>
          <w:numId w:val="14"/>
        </w:numPr>
        <w:tabs>
          <w:tab w:pos="1234" w:val="left" w:leader="none"/>
        </w:tabs>
        <w:spacing w:line="360" w:lineRule="auto" w:before="3" w:after="0"/>
        <w:ind w:left="1233" w:right="108" w:hanging="360"/>
        <w:jc w:val="both"/>
        <w:rPr>
          <w:sz w:val="24"/>
        </w:rPr>
      </w:pPr>
      <w:r>
        <w:rPr>
          <w:sz w:val="24"/>
        </w:rPr>
        <w:t>La enfermedad clínica se desarrolló en los peces infectados a 12°C, y todos murieron entre el día 6 y 14 pi. Existió una inhibición de </w:t>
      </w:r>
      <w:r>
        <w:rPr>
          <w:spacing w:val="-3"/>
          <w:sz w:val="24"/>
        </w:rPr>
        <w:t>la </w:t>
      </w:r>
      <w:r>
        <w:rPr>
          <w:sz w:val="24"/>
        </w:rPr>
        <w:t>expresión de mRNA de IFN-I(</w:t>
      </w:r>
      <w:r>
        <w:rPr>
          <w:i/>
          <w:sz w:val="24"/>
        </w:rPr>
        <w:t>α</w:t>
      </w:r>
      <w:r>
        <w:rPr>
          <w:sz w:val="24"/>
        </w:rPr>
        <w:t>) y STAT-1(α) en el día 7 que podría asociarse a </w:t>
      </w:r>
      <w:r>
        <w:rPr>
          <w:spacing w:val="-5"/>
          <w:sz w:val="24"/>
        </w:rPr>
        <w:t>la </w:t>
      </w:r>
      <w:r>
        <w:rPr>
          <w:sz w:val="24"/>
        </w:rPr>
        <w:t>mortalidad de los peces.</w:t>
      </w:r>
    </w:p>
    <w:p>
      <w:pPr>
        <w:pStyle w:val="ListParagraph"/>
        <w:numPr>
          <w:ilvl w:val="1"/>
          <w:numId w:val="14"/>
        </w:numPr>
        <w:tabs>
          <w:tab w:pos="1234" w:val="left" w:leader="none"/>
        </w:tabs>
        <w:spacing w:line="357" w:lineRule="auto" w:before="1" w:after="0"/>
        <w:ind w:left="1233" w:right="108" w:hanging="360"/>
        <w:jc w:val="both"/>
        <w:rPr>
          <w:sz w:val="24"/>
        </w:rPr>
      </w:pPr>
      <w:r>
        <w:rPr>
          <w:sz w:val="24"/>
        </w:rPr>
        <w:t>A pesar de que a 12°C se presentó un aumento estadísticamente significativo de expresión de Mx-1 durante el ensayo, esta respuesta </w:t>
      </w:r>
      <w:r>
        <w:rPr>
          <w:spacing w:val="-3"/>
          <w:sz w:val="24"/>
        </w:rPr>
        <w:t>no fue </w:t>
      </w:r>
      <w:r>
        <w:rPr>
          <w:sz w:val="24"/>
        </w:rPr>
        <w:t>capaz de inhibir </w:t>
      </w:r>
      <w:r>
        <w:rPr>
          <w:spacing w:val="-5"/>
          <w:sz w:val="24"/>
        </w:rPr>
        <w:t>la </w:t>
      </w:r>
      <w:r>
        <w:rPr>
          <w:sz w:val="24"/>
        </w:rPr>
        <w:t>replicación</w:t>
      </w:r>
      <w:r>
        <w:rPr>
          <w:spacing w:val="-16"/>
          <w:sz w:val="24"/>
        </w:rPr>
        <w:t> </w:t>
      </w:r>
      <w:r>
        <w:rPr>
          <w:sz w:val="24"/>
        </w:rPr>
        <w:t>viral.</w:t>
      </w:r>
    </w:p>
    <w:p>
      <w:pPr>
        <w:pStyle w:val="ListParagraph"/>
        <w:numPr>
          <w:ilvl w:val="1"/>
          <w:numId w:val="14"/>
        </w:numPr>
        <w:tabs>
          <w:tab w:pos="1234" w:val="left" w:leader="none"/>
        </w:tabs>
        <w:spacing w:line="360" w:lineRule="auto" w:before="3" w:after="0"/>
        <w:ind w:left="1233" w:right="100" w:hanging="360"/>
        <w:jc w:val="both"/>
        <w:rPr>
          <w:sz w:val="24"/>
        </w:rPr>
      </w:pPr>
      <w:r>
        <w:rPr>
          <w:sz w:val="24"/>
        </w:rPr>
        <w:t>Una </w:t>
      </w:r>
      <w:r>
        <w:rPr>
          <w:spacing w:val="-3"/>
          <w:sz w:val="24"/>
        </w:rPr>
        <w:t>mejor </w:t>
      </w:r>
      <w:r>
        <w:rPr>
          <w:sz w:val="24"/>
        </w:rPr>
        <w:t>respuesta de IFN-I(</w:t>
      </w:r>
      <w:r>
        <w:rPr>
          <w:i/>
          <w:sz w:val="24"/>
        </w:rPr>
        <w:t>α</w:t>
      </w:r>
      <w:r>
        <w:rPr>
          <w:sz w:val="24"/>
        </w:rPr>
        <w:t>) ante infecciones con IPNV es desarrollada en alevines</w:t>
      </w:r>
      <w:r>
        <w:rPr>
          <w:spacing w:val="-8"/>
          <w:sz w:val="24"/>
        </w:rPr>
        <w:t> </w:t>
      </w:r>
      <w:r>
        <w:rPr>
          <w:sz w:val="24"/>
        </w:rPr>
        <w:t>de</w:t>
      </w:r>
      <w:r>
        <w:rPr>
          <w:spacing w:val="-11"/>
          <w:sz w:val="24"/>
        </w:rPr>
        <w:t> </w:t>
      </w:r>
      <w:r>
        <w:rPr>
          <w:sz w:val="24"/>
        </w:rPr>
        <w:t>truchas</w:t>
      </w:r>
      <w:r>
        <w:rPr>
          <w:spacing w:val="-8"/>
          <w:sz w:val="24"/>
        </w:rPr>
        <w:t> </w:t>
      </w:r>
      <w:r>
        <w:rPr>
          <w:sz w:val="24"/>
        </w:rPr>
        <w:t>a</w:t>
      </w:r>
      <w:r>
        <w:rPr>
          <w:spacing w:val="-7"/>
          <w:sz w:val="24"/>
        </w:rPr>
        <w:t> </w:t>
      </w:r>
      <w:r>
        <w:rPr>
          <w:spacing w:val="-5"/>
          <w:sz w:val="24"/>
        </w:rPr>
        <w:t>la</w:t>
      </w:r>
      <w:r>
        <w:rPr>
          <w:spacing w:val="-7"/>
          <w:sz w:val="24"/>
        </w:rPr>
        <w:t> </w:t>
      </w:r>
      <w:r>
        <w:rPr>
          <w:sz w:val="24"/>
        </w:rPr>
        <w:t>temperatura</w:t>
      </w:r>
      <w:r>
        <w:rPr>
          <w:spacing w:val="-12"/>
          <w:sz w:val="24"/>
        </w:rPr>
        <w:t> </w:t>
      </w:r>
      <w:r>
        <w:rPr>
          <w:sz w:val="24"/>
        </w:rPr>
        <w:t>de</w:t>
      </w:r>
      <w:r>
        <w:rPr>
          <w:spacing w:val="-7"/>
          <w:sz w:val="24"/>
        </w:rPr>
        <w:t> </w:t>
      </w:r>
      <w:r>
        <w:rPr>
          <w:sz w:val="24"/>
        </w:rPr>
        <w:t>16°C,</w:t>
      </w:r>
      <w:r>
        <w:rPr>
          <w:spacing w:val="-4"/>
          <w:sz w:val="24"/>
        </w:rPr>
        <w:t> </w:t>
      </w:r>
      <w:r>
        <w:rPr>
          <w:sz w:val="24"/>
        </w:rPr>
        <w:t>generando</w:t>
      </w:r>
      <w:r>
        <w:rPr>
          <w:spacing w:val="-1"/>
          <w:sz w:val="24"/>
        </w:rPr>
        <w:t> </w:t>
      </w:r>
      <w:r>
        <w:rPr>
          <w:sz w:val="24"/>
        </w:rPr>
        <w:t>esta</w:t>
      </w:r>
      <w:r>
        <w:rPr>
          <w:spacing w:val="-12"/>
          <w:sz w:val="24"/>
        </w:rPr>
        <w:t> </w:t>
      </w:r>
      <w:r>
        <w:rPr>
          <w:sz w:val="24"/>
        </w:rPr>
        <w:t>citoquina</w:t>
      </w:r>
      <w:r>
        <w:rPr>
          <w:spacing w:val="-7"/>
          <w:sz w:val="24"/>
        </w:rPr>
        <w:t> </w:t>
      </w:r>
      <w:r>
        <w:rPr>
          <w:sz w:val="24"/>
        </w:rPr>
        <w:t>un</w:t>
      </w:r>
      <w:r>
        <w:rPr>
          <w:spacing w:val="-11"/>
          <w:sz w:val="24"/>
        </w:rPr>
        <w:t> </w:t>
      </w:r>
      <w:r>
        <w:rPr>
          <w:sz w:val="24"/>
        </w:rPr>
        <w:t>posible efecto protector desde el día 2 a diferencia de </w:t>
      </w:r>
      <w:r>
        <w:rPr>
          <w:spacing w:val="-5"/>
          <w:sz w:val="24"/>
        </w:rPr>
        <w:t>lo </w:t>
      </w:r>
      <w:r>
        <w:rPr>
          <w:sz w:val="24"/>
        </w:rPr>
        <w:t>registrado a temperatura de 8 y 12°C.</w:t>
      </w:r>
    </w:p>
    <w:p>
      <w:pPr>
        <w:pStyle w:val="ListParagraph"/>
        <w:numPr>
          <w:ilvl w:val="1"/>
          <w:numId w:val="14"/>
        </w:numPr>
        <w:tabs>
          <w:tab w:pos="1234" w:val="left" w:leader="none"/>
        </w:tabs>
        <w:spacing w:line="357" w:lineRule="auto" w:before="1" w:after="0"/>
        <w:ind w:left="1233" w:right="110" w:hanging="360"/>
        <w:jc w:val="both"/>
        <w:rPr>
          <w:sz w:val="24"/>
        </w:rPr>
      </w:pPr>
      <w:r>
        <w:rPr>
          <w:sz w:val="24"/>
        </w:rPr>
        <w:t>El serotipo Sp alcanza mayores valores de replicación que VR-299, exceptuando a </w:t>
      </w:r>
      <w:r>
        <w:rPr>
          <w:spacing w:val="-3"/>
          <w:sz w:val="24"/>
        </w:rPr>
        <w:t>las </w:t>
      </w:r>
      <w:r>
        <w:rPr>
          <w:sz w:val="24"/>
        </w:rPr>
        <w:t>60 </w:t>
      </w:r>
      <w:r>
        <w:rPr>
          <w:spacing w:val="-3"/>
          <w:sz w:val="24"/>
        </w:rPr>
        <w:t>hpi. </w:t>
      </w:r>
      <w:r>
        <w:rPr>
          <w:sz w:val="24"/>
        </w:rPr>
        <w:t>La expresión de IFN-I(</w:t>
      </w:r>
      <w:r>
        <w:rPr>
          <w:i/>
          <w:sz w:val="24"/>
        </w:rPr>
        <w:t>α</w:t>
      </w:r>
      <w:r>
        <w:rPr>
          <w:sz w:val="24"/>
        </w:rPr>
        <w:t>), STAT-1(</w:t>
      </w:r>
      <w:r>
        <w:rPr>
          <w:i/>
          <w:sz w:val="24"/>
        </w:rPr>
        <w:t>α</w:t>
      </w:r>
      <w:r>
        <w:rPr>
          <w:sz w:val="24"/>
        </w:rPr>
        <w:t>) </w:t>
      </w:r>
      <w:r>
        <w:rPr>
          <w:spacing w:val="-3"/>
          <w:sz w:val="24"/>
        </w:rPr>
        <w:t>fue </w:t>
      </w:r>
      <w:r>
        <w:rPr>
          <w:sz w:val="24"/>
        </w:rPr>
        <w:t>mayor en las células infectadas con </w:t>
      </w:r>
      <w:r>
        <w:rPr>
          <w:spacing w:val="-5"/>
          <w:sz w:val="24"/>
        </w:rPr>
        <w:t>la </w:t>
      </w:r>
      <w:r>
        <w:rPr>
          <w:sz w:val="24"/>
        </w:rPr>
        <w:t>cepa Sp. La virulencia de </w:t>
      </w:r>
      <w:r>
        <w:rPr>
          <w:spacing w:val="-3"/>
          <w:sz w:val="24"/>
        </w:rPr>
        <w:t>la </w:t>
      </w:r>
      <w:r>
        <w:rPr>
          <w:sz w:val="24"/>
        </w:rPr>
        <w:t>cepa se correlaciona positivamente con</w:t>
      </w:r>
      <w:r>
        <w:rPr>
          <w:spacing w:val="-14"/>
          <w:sz w:val="24"/>
        </w:rPr>
        <w:t> </w:t>
      </w:r>
      <w:r>
        <w:rPr>
          <w:sz w:val="24"/>
        </w:rPr>
        <w:t>el</w:t>
      </w:r>
      <w:r>
        <w:rPr>
          <w:spacing w:val="-14"/>
          <w:sz w:val="24"/>
        </w:rPr>
        <w:t> </w:t>
      </w:r>
      <w:r>
        <w:rPr>
          <w:sz w:val="24"/>
        </w:rPr>
        <w:t>nivel</w:t>
      </w:r>
      <w:r>
        <w:rPr>
          <w:spacing w:val="-19"/>
          <w:sz w:val="24"/>
        </w:rPr>
        <w:t> </w:t>
      </w:r>
      <w:r>
        <w:rPr>
          <w:sz w:val="24"/>
        </w:rPr>
        <w:t>de</w:t>
      </w:r>
      <w:r>
        <w:rPr>
          <w:spacing w:val="-11"/>
          <w:sz w:val="24"/>
        </w:rPr>
        <w:t> </w:t>
      </w:r>
      <w:r>
        <w:rPr>
          <w:sz w:val="24"/>
        </w:rPr>
        <w:t>respuesta</w:t>
      </w:r>
      <w:r>
        <w:rPr>
          <w:spacing w:val="-11"/>
          <w:sz w:val="24"/>
        </w:rPr>
        <w:t> </w:t>
      </w:r>
      <w:r>
        <w:rPr>
          <w:sz w:val="24"/>
        </w:rPr>
        <w:t>por</w:t>
      </w:r>
      <w:r>
        <w:rPr>
          <w:spacing w:val="-8"/>
          <w:sz w:val="24"/>
        </w:rPr>
        <w:t> </w:t>
      </w:r>
      <w:r>
        <w:rPr>
          <w:sz w:val="24"/>
        </w:rPr>
        <w:t>IFN-I(</w:t>
      </w:r>
      <w:r>
        <w:rPr>
          <w:i/>
          <w:sz w:val="24"/>
        </w:rPr>
        <w:t>α</w:t>
      </w:r>
      <w:r>
        <w:rPr>
          <w:sz w:val="24"/>
        </w:rPr>
        <w:t>),</w:t>
      </w:r>
      <w:r>
        <w:rPr>
          <w:spacing w:val="-7"/>
          <w:sz w:val="24"/>
        </w:rPr>
        <w:t> </w:t>
      </w:r>
      <w:r>
        <w:rPr>
          <w:sz w:val="24"/>
        </w:rPr>
        <w:t>aunque</w:t>
      </w:r>
      <w:r>
        <w:rPr>
          <w:spacing w:val="-6"/>
          <w:sz w:val="24"/>
        </w:rPr>
        <w:t> </w:t>
      </w:r>
      <w:r>
        <w:rPr>
          <w:spacing w:val="-5"/>
          <w:sz w:val="24"/>
        </w:rPr>
        <w:t>la</w:t>
      </w:r>
      <w:r>
        <w:rPr>
          <w:spacing w:val="-11"/>
          <w:sz w:val="24"/>
        </w:rPr>
        <w:t> </w:t>
      </w:r>
      <w:r>
        <w:rPr>
          <w:sz w:val="24"/>
        </w:rPr>
        <w:t>expresión</w:t>
      </w:r>
      <w:r>
        <w:rPr>
          <w:spacing w:val="-14"/>
          <w:sz w:val="24"/>
        </w:rPr>
        <w:t> </w:t>
      </w:r>
      <w:r>
        <w:rPr>
          <w:sz w:val="24"/>
        </w:rPr>
        <w:t>del</w:t>
      </w:r>
      <w:r>
        <w:rPr>
          <w:spacing w:val="-14"/>
          <w:sz w:val="24"/>
        </w:rPr>
        <w:t> </w:t>
      </w:r>
      <w:r>
        <w:rPr>
          <w:sz w:val="24"/>
        </w:rPr>
        <w:t>transcrito</w:t>
      </w:r>
      <w:r>
        <w:rPr>
          <w:spacing w:val="-5"/>
          <w:sz w:val="24"/>
        </w:rPr>
        <w:t> </w:t>
      </w:r>
      <w:r>
        <w:rPr>
          <w:sz w:val="24"/>
        </w:rPr>
        <w:t>decreció en el</w:t>
      </w:r>
      <w:r>
        <w:rPr>
          <w:spacing w:val="-8"/>
          <w:sz w:val="24"/>
        </w:rPr>
        <w:t> </w:t>
      </w:r>
      <w:r>
        <w:rPr>
          <w:sz w:val="24"/>
        </w:rPr>
        <w:t>tiempo.</w:t>
      </w:r>
    </w:p>
    <w:p>
      <w:pPr>
        <w:pStyle w:val="ListParagraph"/>
        <w:numPr>
          <w:ilvl w:val="1"/>
          <w:numId w:val="14"/>
        </w:numPr>
        <w:tabs>
          <w:tab w:pos="1233" w:val="left" w:leader="none"/>
          <w:tab w:pos="1234" w:val="left" w:leader="none"/>
        </w:tabs>
        <w:spacing w:line="240" w:lineRule="auto" w:before="8" w:after="0"/>
        <w:ind w:left="1233" w:right="0" w:hanging="360"/>
        <w:jc w:val="left"/>
        <w:rPr>
          <w:sz w:val="24"/>
        </w:rPr>
      </w:pPr>
      <w:r>
        <w:rPr>
          <w:sz w:val="24"/>
        </w:rPr>
        <w:t>El nivel de RNAm de Mx </w:t>
      </w:r>
      <w:r>
        <w:rPr>
          <w:spacing w:val="-3"/>
          <w:sz w:val="24"/>
        </w:rPr>
        <w:t>fue </w:t>
      </w:r>
      <w:r>
        <w:rPr>
          <w:sz w:val="24"/>
        </w:rPr>
        <w:t>similar entre </w:t>
      </w:r>
      <w:r>
        <w:rPr>
          <w:spacing w:val="-4"/>
          <w:sz w:val="24"/>
        </w:rPr>
        <w:t>las </w:t>
      </w:r>
      <w:r>
        <w:rPr>
          <w:sz w:val="24"/>
        </w:rPr>
        <w:t>dos</w:t>
      </w:r>
      <w:r>
        <w:rPr>
          <w:spacing w:val="6"/>
          <w:sz w:val="24"/>
        </w:rPr>
        <w:t> </w:t>
      </w:r>
      <w:r>
        <w:rPr>
          <w:sz w:val="24"/>
        </w:rPr>
        <w:t>cepas.</w:t>
      </w:r>
    </w:p>
    <w:p>
      <w:pPr>
        <w:pStyle w:val="ListParagraph"/>
        <w:numPr>
          <w:ilvl w:val="1"/>
          <w:numId w:val="14"/>
        </w:numPr>
        <w:tabs>
          <w:tab w:pos="1234" w:val="left" w:leader="none"/>
        </w:tabs>
        <w:spacing w:line="357" w:lineRule="auto" w:before="133" w:after="0"/>
        <w:ind w:left="1233" w:right="110" w:hanging="360"/>
        <w:jc w:val="both"/>
        <w:rPr>
          <w:sz w:val="24"/>
        </w:rPr>
      </w:pPr>
      <w:r>
        <w:rPr>
          <w:sz w:val="24"/>
        </w:rPr>
        <w:t>IPNV contrarresta el efecto antiviral de interferón tipo I inhibiendo </w:t>
      </w:r>
      <w:r>
        <w:rPr>
          <w:spacing w:val="-5"/>
          <w:sz w:val="24"/>
        </w:rPr>
        <w:t>la </w:t>
      </w:r>
      <w:r>
        <w:rPr>
          <w:sz w:val="24"/>
        </w:rPr>
        <w:t>vía de señalización</w:t>
      </w:r>
      <w:r>
        <w:rPr>
          <w:spacing w:val="-14"/>
          <w:sz w:val="24"/>
        </w:rPr>
        <w:t> </w:t>
      </w:r>
      <w:r>
        <w:rPr>
          <w:sz w:val="24"/>
        </w:rPr>
        <w:t>JAK-STAT,</w:t>
      </w:r>
      <w:r>
        <w:rPr>
          <w:spacing w:val="-8"/>
          <w:sz w:val="24"/>
        </w:rPr>
        <w:t> </w:t>
      </w:r>
      <w:r>
        <w:rPr>
          <w:sz w:val="24"/>
        </w:rPr>
        <w:t>pero</w:t>
      </w:r>
      <w:r>
        <w:rPr>
          <w:spacing w:val="-6"/>
          <w:sz w:val="24"/>
        </w:rPr>
        <w:t> </w:t>
      </w:r>
      <w:r>
        <w:rPr>
          <w:spacing w:val="-3"/>
          <w:sz w:val="24"/>
        </w:rPr>
        <w:t>no</w:t>
      </w:r>
      <w:r>
        <w:rPr>
          <w:spacing w:val="-6"/>
          <w:sz w:val="24"/>
        </w:rPr>
        <w:t> </w:t>
      </w:r>
      <w:r>
        <w:rPr>
          <w:sz w:val="24"/>
        </w:rPr>
        <w:t>bloquea</w:t>
      </w:r>
      <w:r>
        <w:rPr>
          <w:spacing w:val="-6"/>
          <w:sz w:val="24"/>
        </w:rPr>
        <w:t> </w:t>
      </w:r>
      <w:r>
        <w:rPr>
          <w:spacing w:val="-3"/>
          <w:sz w:val="24"/>
        </w:rPr>
        <w:t>la</w:t>
      </w:r>
      <w:r>
        <w:rPr>
          <w:spacing w:val="-11"/>
          <w:sz w:val="24"/>
        </w:rPr>
        <w:t> </w:t>
      </w:r>
      <w:r>
        <w:rPr>
          <w:sz w:val="24"/>
        </w:rPr>
        <w:t>activación</w:t>
      </w:r>
      <w:r>
        <w:rPr>
          <w:spacing w:val="-14"/>
          <w:sz w:val="24"/>
        </w:rPr>
        <w:t> </w:t>
      </w:r>
      <w:r>
        <w:rPr>
          <w:sz w:val="24"/>
        </w:rPr>
        <w:t>de</w:t>
      </w:r>
      <w:r>
        <w:rPr>
          <w:spacing w:val="-6"/>
          <w:sz w:val="24"/>
        </w:rPr>
        <w:t> </w:t>
      </w:r>
      <w:r>
        <w:rPr>
          <w:spacing w:val="-3"/>
          <w:sz w:val="24"/>
        </w:rPr>
        <w:t>la</w:t>
      </w:r>
      <w:r>
        <w:rPr>
          <w:spacing w:val="-11"/>
          <w:sz w:val="24"/>
        </w:rPr>
        <w:t> </w:t>
      </w:r>
      <w:r>
        <w:rPr>
          <w:sz w:val="24"/>
        </w:rPr>
        <w:t>tirosina</w:t>
      </w:r>
      <w:r>
        <w:rPr>
          <w:spacing w:val="-11"/>
          <w:sz w:val="24"/>
        </w:rPr>
        <w:t> </w:t>
      </w:r>
      <w:r>
        <w:rPr>
          <w:sz w:val="24"/>
        </w:rPr>
        <w:t>701-STAT1 (α/β) </w:t>
      </w:r>
      <w:r>
        <w:rPr>
          <w:spacing w:val="-3"/>
          <w:sz w:val="24"/>
        </w:rPr>
        <w:t>como </w:t>
      </w:r>
      <w:r>
        <w:rPr>
          <w:sz w:val="24"/>
        </w:rPr>
        <w:t>se </w:t>
      </w:r>
      <w:r>
        <w:rPr>
          <w:spacing w:val="-3"/>
          <w:sz w:val="24"/>
        </w:rPr>
        <w:t>ha </w:t>
      </w:r>
      <w:r>
        <w:rPr>
          <w:sz w:val="24"/>
        </w:rPr>
        <w:t>reportado para otros virus de</w:t>
      </w:r>
      <w:r>
        <w:rPr>
          <w:spacing w:val="2"/>
          <w:sz w:val="24"/>
        </w:rPr>
        <w:t> </w:t>
      </w:r>
      <w:r>
        <w:rPr>
          <w:sz w:val="24"/>
        </w:rPr>
        <w:t>RNA.</w:t>
      </w:r>
    </w:p>
    <w:p>
      <w:pPr>
        <w:pStyle w:val="ListParagraph"/>
        <w:numPr>
          <w:ilvl w:val="1"/>
          <w:numId w:val="14"/>
        </w:numPr>
        <w:tabs>
          <w:tab w:pos="1234" w:val="left" w:leader="none"/>
        </w:tabs>
        <w:spacing w:line="355" w:lineRule="auto" w:before="8" w:after="0"/>
        <w:ind w:left="1233" w:right="173" w:hanging="360"/>
        <w:jc w:val="both"/>
        <w:rPr>
          <w:sz w:val="24"/>
        </w:rPr>
      </w:pPr>
      <w:r>
        <w:rPr>
          <w:sz w:val="24"/>
        </w:rPr>
        <w:t>Estudios adicionales son claramente necesarios para conocer cómo IPNV</w:t>
      </w:r>
      <w:r>
        <w:rPr>
          <w:spacing w:val="-32"/>
          <w:sz w:val="24"/>
        </w:rPr>
        <w:t> </w:t>
      </w:r>
      <w:r>
        <w:rPr>
          <w:sz w:val="24"/>
        </w:rPr>
        <w:t>inhibe </w:t>
      </w:r>
      <w:r>
        <w:rPr>
          <w:spacing w:val="-3"/>
          <w:sz w:val="24"/>
        </w:rPr>
        <w:t>la </w:t>
      </w:r>
      <w:r>
        <w:rPr>
          <w:sz w:val="24"/>
        </w:rPr>
        <w:t>vía de señalamiento de interferón</w:t>
      </w:r>
      <w:r>
        <w:rPr>
          <w:spacing w:val="-14"/>
          <w:sz w:val="24"/>
        </w:rPr>
        <w:t> </w:t>
      </w:r>
      <w:r>
        <w:rPr>
          <w:sz w:val="24"/>
        </w:rPr>
        <w:t>alfa.</w:t>
      </w:r>
    </w:p>
    <w:p>
      <w:pPr>
        <w:spacing w:after="0" w:line="355" w:lineRule="auto"/>
        <w:jc w:val="both"/>
        <w:rPr>
          <w:sz w:val="24"/>
        </w:rPr>
        <w:sectPr>
          <w:pgSz w:w="12240" w:h="15840"/>
          <w:pgMar w:header="0" w:footer="1382" w:top="1500" w:bottom="1580" w:left="1720" w:right="1420"/>
        </w:sectPr>
      </w:pPr>
    </w:p>
    <w:p>
      <w:pPr>
        <w:pStyle w:val="BodyText"/>
        <w:spacing w:before="1"/>
        <w:rPr>
          <w:sz w:val="26"/>
        </w:rPr>
      </w:pPr>
    </w:p>
    <w:p>
      <w:pPr>
        <w:pStyle w:val="Heading1"/>
        <w:numPr>
          <w:ilvl w:val="0"/>
          <w:numId w:val="9"/>
        </w:numPr>
        <w:tabs>
          <w:tab w:pos="2780" w:val="left" w:leader="none"/>
        </w:tabs>
        <w:spacing w:line="240" w:lineRule="auto" w:before="69" w:after="0"/>
        <w:ind w:left="2779" w:right="0" w:hanging="297"/>
        <w:jc w:val="left"/>
      </w:pPr>
      <w:bookmarkStart w:name="_bookmark46" w:id="86"/>
      <w:bookmarkEnd w:id="86"/>
      <w:r>
        <w:rPr>
          <w:b w:val="0"/>
        </w:rPr>
      </w:r>
      <w:bookmarkStart w:name="_bookmark46" w:id="87"/>
      <w:bookmarkEnd w:id="87"/>
      <w:r>
        <w:rPr/>
        <w:t>R</w:t>
      </w:r>
      <w:r>
        <w:rPr/>
        <w:t>EFERENCIAS</w:t>
      </w:r>
      <w:r>
        <w:rPr>
          <w:spacing w:val="-20"/>
        </w:rPr>
        <w:t> </w:t>
      </w:r>
      <w:r>
        <w:rPr/>
        <w:t>BIBLIOGRÁFICAS</w:t>
      </w:r>
    </w:p>
    <w:p>
      <w:pPr>
        <w:pStyle w:val="BodyText"/>
        <w:spacing w:line="360" w:lineRule="auto" w:before="132"/>
        <w:ind w:left="863" w:right="101" w:hanging="711"/>
        <w:jc w:val="both"/>
      </w:pPr>
      <w:r>
        <w:rPr/>
        <w:t>Alonso M, Rodríguez S, Pérez-Prieto SS. (1999): Nested PCR improves detection of infectioushematopoietic necrosis virus in cells coinfected with infectious pancreatic necrosis virus. J Virol Methods 81: 1-9.</w:t>
      </w:r>
    </w:p>
    <w:p>
      <w:pPr>
        <w:pStyle w:val="BodyText"/>
        <w:spacing w:line="360" w:lineRule="auto" w:before="4"/>
        <w:ind w:left="863" w:right="109" w:hanging="711"/>
        <w:jc w:val="both"/>
      </w:pPr>
      <w:r>
        <w:rPr/>
        <w:t>Allnutt FC, Bowers RM, Rowe CG, Vakharia VN, LaPatra SE, Dhar A.K. (2007): Antigenicity of infectious pancreatic necrosis virus VP2 subviral particles expressed in yeast. Vaccine. 25: 4880-4888.</w:t>
      </w:r>
    </w:p>
    <w:p>
      <w:pPr>
        <w:pStyle w:val="BodyText"/>
        <w:spacing w:line="360" w:lineRule="auto" w:before="4"/>
        <w:ind w:left="863" w:right="112" w:hanging="711"/>
        <w:jc w:val="both"/>
      </w:pPr>
      <w:r>
        <w:rPr/>
        <w:t>Aquatic Health Chile S.A. (2004): En: Enfermedades presentes en Salmonicultura chilena y que requieren el uso de vacunas para su prevención. Documento elaborado por profesionales de Aquatic Health S.A para SalmonChile Intesal. Pp. 29-32.</w:t>
      </w:r>
    </w:p>
    <w:p>
      <w:pPr>
        <w:pStyle w:val="BodyText"/>
        <w:spacing w:line="360" w:lineRule="auto" w:before="4"/>
        <w:ind w:left="863" w:right="105" w:hanging="711"/>
        <w:jc w:val="both"/>
      </w:pPr>
      <w:r>
        <w:rPr/>
        <w:t>Arguedas, D, Zuñiga, </w:t>
      </w:r>
      <w:r>
        <w:rPr>
          <w:spacing w:val="-3"/>
        </w:rPr>
        <w:t>A. </w:t>
      </w:r>
      <w:r>
        <w:rPr/>
        <w:t>P. R., Sais, R. E., Castañeda, J. S. M.,Santana, C. O. (2015):</w:t>
      </w:r>
      <w:r>
        <w:rPr>
          <w:spacing w:val="-37"/>
        </w:rPr>
        <w:t> </w:t>
      </w:r>
      <w:r>
        <w:rPr/>
        <w:t>Effect of temperature on the expression of IFN-1 (α), STAT-1 and Mx-1 genes </w:t>
      </w:r>
      <w:r>
        <w:rPr>
          <w:spacing w:val="-3"/>
        </w:rPr>
        <w:t>in </w:t>
      </w:r>
      <w:r>
        <w:rPr>
          <w:i/>
        </w:rPr>
        <w:t>Oncorhynchus mykiss </w:t>
      </w:r>
      <w:r>
        <w:rPr/>
        <w:t>(Salmoniformes: Salmonidae) exposed with the virus of the infectious pancreatic necrosis (IPNV). International Journal </w:t>
      </w:r>
      <w:r>
        <w:rPr>
          <w:spacing w:val="4"/>
        </w:rPr>
        <w:t>of </w:t>
      </w:r>
      <w:r>
        <w:rPr/>
        <w:t>Tropical Biology and Conservation. 63:</w:t>
      </w:r>
      <w:r>
        <w:rPr>
          <w:spacing w:val="-7"/>
        </w:rPr>
        <w:t> </w:t>
      </w:r>
      <w:r>
        <w:rPr/>
        <w:t>559-569.</w:t>
      </w:r>
    </w:p>
    <w:p>
      <w:pPr>
        <w:pStyle w:val="BodyText"/>
        <w:spacing w:line="360" w:lineRule="auto" w:before="4"/>
        <w:ind w:left="863" w:right="101" w:hanging="711"/>
        <w:jc w:val="both"/>
      </w:pPr>
      <w:r>
        <w:rPr/>
        <w:t>Azevedo, P. A., Young Cho, C., Leeson, S., Bureau, D. P. (1998): Effects of feeding level and water temperature on growth, nutrient and energy utilization and waste outputs of rainbow trout (</w:t>
      </w:r>
      <w:r>
        <w:rPr>
          <w:i/>
        </w:rPr>
        <w:t>Oncorhynchus mykiss</w:t>
      </w:r>
      <w:r>
        <w:rPr/>
        <w:t>). Aquatic Living Resources. 11: 227-238.</w:t>
      </w:r>
    </w:p>
    <w:p>
      <w:pPr>
        <w:pStyle w:val="BodyText"/>
        <w:spacing w:line="360" w:lineRule="auto" w:before="4"/>
        <w:ind w:left="863" w:right="111" w:hanging="711"/>
        <w:jc w:val="both"/>
      </w:pPr>
      <w:r>
        <w:rPr/>
        <w:t>Battersby B J, Moyes CD. (1998): Influence of acclimation temperature on mitochondrial DNA, RNA, and enzymes in skeletal muscle. American Journal of Physiology- Regulatory, Integrative and Comparative Physiology. 275: 905-912.</w:t>
      </w:r>
    </w:p>
    <w:p>
      <w:pPr>
        <w:pStyle w:val="BodyText"/>
        <w:spacing w:line="360" w:lineRule="auto" w:before="4"/>
        <w:ind w:left="863" w:right="104" w:hanging="711"/>
        <w:jc w:val="both"/>
      </w:pPr>
      <w:r>
        <w:rPr/>
        <w:t>Bernoth E. (1999): Application of DNA-based molecular diagnostic techniques in fish disease diagnosis-opportunities and constraints from a government officer’s point of view. Bull. Eur. Assoc. Fish Pathol. 19: 235-239.</w:t>
      </w:r>
    </w:p>
    <w:p>
      <w:pPr>
        <w:pStyle w:val="BodyText"/>
        <w:spacing w:before="8"/>
        <w:ind w:left="152"/>
      </w:pPr>
      <w:r>
        <w:rPr/>
        <w:t>Beutler B. (2004): Innate immunity: an overview. Molecular immunology. 40: 845-859.</w:t>
      </w:r>
    </w:p>
    <w:p>
      <w:pPr>
        <w:pStyle w:val="BodyText"/>
        <w:spacing w:line="360" w:lineRule="auto" w:before="137"/>
        <w:ind w:left="863" w:right="106" w:hanging="711"/>
        <w:jc w:val="both"/>
      </w:pPr>
      <w:r>
        <w:rPr/>
        <w:t>Blake S, Ma J, Y Caporale, Jairath D, Nicholson, BL. (2001): Phylogenetic relationships of aquatic birnaviruses based on deduced amino acid sequences of genome segment A cDNA. Dis Aquat Organ. 45: 89-102.</w:t>
      </w:r>
    </w:p>
    <w:p>
      <w:pPr>
        <w:spacing w:after="0" w:line="360" w:lineRule="auto"/>
        <w:jc w:val="both"/>
        <w:sectPr>
          <w:pgSz w:w="12240" w:h="15840"/>
          <w:pgMar w:header="0" w:footer="1382" w:top="1500" w:bottom="1580" w:left="1720" w:right="1420"/>
        </w:sectPr>
      </w:pPr>
    </w:p>
    <w:p>
      <w:pPr>
        <w:pStyle w:val="BodyText"/>
        <w:spacing w:before="7"/>
        <w:rPr>
          <w:sz w:val="25"/>
        </w:rPr>
      </w:pPr>
    </w:p>
    <w:p>
      <w:pPr>
        <w:pStyle w:val="BodyText"/>
        <w:spacing w:line="360" w:lineRule="auto" w:before="70"/>
        <w:ind w:left="863" w:right="101" w:hanging="711"/>
        <w:jc w:val="both"/>
      </w:pPr>
      <w:r>
        <w:rPr/>
        <w:t>Bluyssen HAR, Durbin JE, Levy DE. (1996): ISGF3 (gamma) p48, a specificity switch for interferon activated transcription factors. Cytokine &amp; Growth Factor Reviews. 7:11- 17.</w:t>
      </w:r>
    </w:p>
    <w:p>
      <w:pPr>
        <w:pStyle w:val="BodyText"/>
        <w:spacing w:line="360" w:lineRule="auto" w:before="8"/>
        <w:ind w:left="863" w:right="106" w:hanging="711"/>
        <w:jc w:val="both"/>
      </w:pPr>
      <w:r>
        <w:rPr/>
        <w:t>Bly JE, Clem LW. (1992): Temperature and teleost immune functions.Fish &amp; Shellfish Immunology. 2: 159-171.</w:t>
      </w:r>
    </w:p>
    <w:p>
      <w:pPr>
        <w:pStyle w:val="BodyText"/>
        <w:spacing w:line="360" w:lineRule="auto" w:before="4"/>
        <w:ind w:left="863" w:right="104" w:hanging="711"/>
        <w:jc w:val="both"/>
      </w:pPr>
      <w:r>
        <w:rPr/>
        <w:t>Birghan C, Mundt E, Gorbalenya AE. (2000): A non-canonial Lon proteinase lacking the ATPase domain employs the Ser-Lys catalytic dyad to exercise broad control over the life cycle of a double-stranded virus. J EMBO. 19: 114-123.</w:t>
      </w:r>
    </w:p>
    <w:p>
      <w:pPr>
        <w:pStyle w:val="BodyText"/>
        <w:spacing w:line="360" w:lineRule="auto" w:before="8"/>
        <w:ind w:left="863" w:right="105" w:hanging="711"/>
        <w:jc w:val="both"/>
      </w:pPr>
      <w:r>
        <w:rPr/>
        <w:t>Bowie AG, Haga IR. (2005): The </w:t>
      </w:r>
      <w:r>
        <w:rPr>
          <w:spacing w:val="-3"/>
        </w:rPr>
        <w:t>role </w:t>
      </w:r>
      <w:r>
        <w:rPr>
          <w:spacing w:val="4"/>
        </w:rPr>
        <w:t>of </w:t>
      </w:r>
      <w:r>
        <w:rPr/>
        <w:t>Toll-like receptors </w:t>
      </w:r>
      <w:r>
        <w:rPr>
          <w:spacing w:val="-3"/>
        </w:rPr>
        <w:t>in </w:t>
      </w:r>
      <w:r>
        <w:rPr/>
        <w:t>the  host  response  to viruses. Molecular immunology. 42: 859-867.Wolf </w:t>
      </w:r>
      <w:r>
        <w:rPr>
          <w:spacing w:val="-3"/>
        </w:rPr>
        <w:t>K, </w:t>
      </w:r>
      <w:r>
        <w:rPr/>
        <w:t>Dunbar CE. (1958): </w:t>
      </w:r>
      <w:r>
        <w:rPr>
          <w:spacing w:val="-3"/>
        </w:rPr>
        <w:t>An </w:t>
      </w:r>
      <w:r>
        <w:rPr/>
        <w:t>explanation</w:t>
      </w:r>
      <w:r>
        <w:rPr>
          <w:spacing w:val="-21"/>
        </w:rPr>
        <w:t> </w:t>
      </w:r>
      <w:r>
        <w:rPr/>
        <w:t>of</w:t>
      </w:r>
      <w:r>
        <w:rPr>
          <w:spacing w:val="-24"/>
        </w:rPr>
        <w:t> </w:t>
      </w:r>
      <w:r>
        <w:rPr/>
        <w:t>the</w:t>
      </w:r>
      <w:r>
        <w:rPr>
          <w:spacing w:val="-17"/>
        </w:rPr>
        <w:t> </w:t>
      </w:r>
      <w:r>
        <w:rPr/>
        <w:t>principles</w:t>
      </w:r>
      <w:r>
        <w:rPr>
          <w:spacing w:val="-19"/>
        </w:rPr>
        <w:t> </w:t>
      </w:r>
      <w:r>
        <w:rPr/>
        <w:t>and</w:t>
      </w:r>
      <w:r>
        <w:rPr>
          <w:spacing w:val="-12"/>
        </w:rPr>
        <w:t> </w:t>
      </w:r>
      <w:r>
        <w:rPr/>
        <w:t>methods</w:t>
      </w:r>
      <w:r>
        <w:rPr>
          <w:spacing w:val="-19"/>
        </w:rPr>
        <w:t> </w:t>
      </w:r>
      <w:r>
        <w:rPr/>
        <w:t>of</w:t>
      </w:r>
      <w:r>
        <w:rPr>
          <w:spacing w:val="-24"/>
        </w:rPr>
        <w:t> </w:t>
      </w:r>
      <w:r>
        <w:rPr/>
        <w:t>tissue</w:t>
      </w:r>
      <w:r>
        <w:rPr>
          <w:spacing w:val="-17"/>
        </w:rPr>
        <w:t> </w:t>
      </w:r>
      <w:r>
        <w:rPr/>
        <w:t>culture.</w:t>
      </w:r>
      <w:r>
        <w:rPr>
          <w:spacing w:val="-14"/>
        </w:rPr>
        <w:t> </w:t>
      </w:r>
      <w:r>
        <w:rPr/>
        <w:t>Progressive</w:t>
      </w:r>
      <w:r>
        <w:rPr>
          <w:spacing w:val="-17"/>
        </w:rPr>
        <w:t> </w:t>
      </w:r>
      <w:r>
        <w:rPr/>
        <w:t>Fish</w:t>
      </w:r>
      <w:r>
        <w:rPr>
          <w:spacing w:val="-16"/>
        </w:rPr>
        <w:t> </w:t>
      </w:r>
      <w:r>
        <w:rPr/>
        <w:t>Culturist. 20:</w:t>
      </w:r>
      <w:r>
        <w:rPr>
          <w:spacing w:val="3"/>
        </w:rPr>
        <w:t> </w:t>
      </w:r>
      <w:r>
        <w:rPr/>
        <w:t>1-3</w:t>
      </w:r>
    </w:p>
    <w:p>
      <w:pPr>
        <w:pStyle w:val="BodyText"/>
        <w:spacing w:line="360" w:lineRule="auto" w:before="8"/>
        <w:ind w:left="863" w:right="103" w:hanging="711"/>
        <w:jc w:val="both"/>
      </w:pPr>
      <w:r>
        <w:rPr/>
        <w:t>Bruslind LD, Reno PW. (2000): Virulence comparison </w:t>
      </w:r>
      <w:r>
        <w:rPr>
          <w:spacing w:val="4"/>
        </w:rPr>
        <w:t>of </w:t>
      </w:r>
      <w:r>
        <w:rPr/>
        <w:t>three Buhl-subtype isolates of infectious</w:t>
      </w:r>
      <w:r>
        <w:rPr>
          <w:spacing w:val="-12"/>
        </w:rPr>
        <w:t> </w:t>
      </w:r>
      <w:r>
        <w:rPr/>
        <w:t>pancreatic</w:t>
      </w:r>
      <w:r>
        <w:rPr>
          <w:spacing w:val="-12"/>
        </w:rPr>
        <w:t> </w:t>
      </w:r>
      <w:r>
        <w:rPr/>
        <w:t>necrosis</w:t>
      </w:r>
      <w:r>
        <w:rPr>
          <w:spacing w:val="-12"/>
        </w:rPr>
        <w:t> </w:t>
      </w:r>
      <w:r>
        <w:rPr/>
        <w:t>virus</w:t>
      </w:r>
      <w:r>
        <w:rPr>
          <w:spacing w:val="-8"/>
        </w:rPr>
        <w:t> </w:t>
      </w:r>
      <w:r>
        <w:rPr>
          <w:spacing w:val="-3"/>
        </w:rPr>
        <w:t>in</w:t>
      </w:r>
      <w:r>
        <w:rPr>
          <w:spacing w:val="-11"/>
        </w:rPr>
        <w:t> </w:t>
      </w:r>
      <w:r>
        <w:rPr/>
        <w:t>brook</w:t>
      </w:r>
      <w:r>
        <w:rPr>
          <w:spacing w:val="-19"/>
        </w:rPr>
        <w:t> </w:t>
      </w:r>
      <w:r>
        <w:rPr/>
        <w:t>trout</w:t>
      </w:r>
      <w:r>
        <w:rPr>
          <w:spacing w:val="-10"/>
        </w:rPr>
        <w:t> </w:t>
      </w:r>
      <w:r>
        <w:rPr>
          <w:spacing w:val="-5"/>
        </w:rPr>
        <w:t>fry.</w:t>
      </w:r>
      <w:r>
        <w:rPr>
          <w:spacing w:val="-9"/>
        </w:rPr>
        <w:t> </w:t>
      </w:r>
      <w:r>
        <w:rPr/>
        <w:t>J.</w:t>
      </w:r>
      <w:r>
        <w:rPr>
          <w:spacing w:val="-9"/>
        </w:rPr>
        <w:t> </w:t>
      </w:r>
      <w:r>
        <w:rPr/>
        <w:t>Aquat.</w:t>
      </w:r>
      <w:r>
        <w:rPr>
          <w:spacing w:val="-9"/>
        </w:rPr>
        <w:t> </w:t>
      </w:r>
      <w:r>
        <w:rPr/>
        <w:t>Anim.</w:t>
      </w:r>
      <w:r>
        <w:rPr>
          <w:spacing w:val="-9"/>
        </w:rPr>
        <w:t> </w:t>
      </w:r>
      <w:r>
        <w:rPr/>
        <w:t>Health</w:t>
      </w:r>
      <w:r>
        <w:rPr>
          <w:spacing w:val="-14"/>
        </w:rPr>
        <w:t> </w:t>
      </w:r>
      <w:r>
        <w:rPr/>
        <w:t>12:301- 315.</w:t>
      </w:r>
    </w:p>
    <w:p>
      <w:pPr>
        <w:pStyle w:val="BodyText"/>
        <w:spacing w:line="362" w:lineRule="auto" w:before="4"/>
        <w:ind w:left="863" w:right="112" w:hanging="711"/>
        <w:jc w:val="both"/>
      </w:pPr>
      <w:r>
        <w:rPr/>
        <w:t>Bustin SA. (2002): Quantification of mRNA using real-time reverse transcription PCR (RTPCR): trends and problems. J of Molecular Endocrinology. 29: 23-39.</w:t>
      </w:r>
    </w:p>
    <w:p>
      <w:pPr>
        <w:pStyle w:val="BodyText"/>
        <w:spacing w:line="360" w:lineRule="auto" w:before="1"/>
        <w:ind w:left="863" w:right="109" w:hanging="711"/>
        <w:jc w:val="both"/>
      </w:pPr>
      <w:r>
        <w:rPr/>
        <w:t>Calvert JG, Nagy E, Soler M, Dobos P. (1991). Characterization of</w:t>
      </w:r>
      <w:r>
        <w:rPr>
          <w:spacing w:val="-43"/>
        </w:rPr>
        <w:t> </w:t>
      </w:r>
      <w:r>
        <w:rPr/>
        <w:t>the VPg-dsRNA linkage of infectious pancreatic necrosis virus. J. Gen. Virol. 2:</w:t>
      </w:r>
      <w:r>
        <w:rPr>
          <w:spacing w:val="-22"/>
        </w:rPr>
        <w:t> </w:t>
      </w:r>
      <w:r>
        <w:rPr/>
        <w:t>2563-2567.</w:t>
      </w:r>
    </w:p>
    <w:p>
      <w:pPr>
        <w:pStyle w:val="BodyText"/>
        <w:spacing w:line="360" w:lineRule="auto" w:before="4"/>
        <w:ind w:left="863" w:right="108" w:hanging="711"/>
        <w:jc w:val="both"/>
      </w:pPr>
      <w:r>
        <w:rPr/>
        <w:t>Castric J, Baudin-Laurencin F, Coustans MF, Auffret M. (1987): Isolation of infectiouspancreatic necrosis virus, Ab serotype, from an epizootic in farmed turbot, Scophthalmumaximus. Aquaculture. 67:117-126.</w:t>
      </w:r>
    </w:p>
    <w:p>
      <w:pPr>
        <w:pStyle w:val="BodyText"/>
        <w:spacing w:line="360" w:lineRule="auto" w:before="4"/>
        <w:ind w:left="863" w:right="113" w:hanging="711"/>
        <w:jc w:val="both"/>
      </w:pPr>
      <w:r>
        <w:rPr/>
        <w:t>Caswell-Reno P, Reno OW, Nicholson BL. (1986): Monoclonal antibodies to infectious pancreatic necrosis virus: Analysis of viral epitopes and comparison of different isolates. J. Gen. Virol. 67: 2193-2206.</w:t>
      </w:r>
    </w:p>
    <w:p>
      <w:pPr>
        <w:pStyle w:val="BodyText"/>
        <w:spacing w:line="360" w:lineRule="auto" w:before="4"/>
        <w:ind w:left="863" w:right="101" w:hanging="711"/>
        <w:jc w:val="both"/>
      </w:pPr>
      <w:r>
        <w:rPr/>
        <w:t>Chang, M. X., Zou, J., Nie, P., Huang, B., Yu, Z., Collet, B., &amp; Secombes, C. J. (2013): Intracellular interferons in fish: a unique means to combat viral infection. PLoS pathogens.  9:  e1003736.</w:t>
      </w:r>
    </w:p>
    <w:p>
      <w:pPr>
        <w:spacing w:after="0" w:line="360" w:lineRule="auto"/>
        <w:jc w:val="both"/>
        <w:sectPr>
          <w:pgSz w:w="12240" w:h="15840"/>
          <w:pgMar w:header="0" w:footer="1382" w:top="1500" w:bottom="1580" w:left="1720" w:right="1420"/>
        </w:sectPr>
      </w:pPr>
    </w:p>
    <w:p>
      <w:pPr>
        <w:pStyle w:val="BodyText"/>
        <w:spacing w:before="7"/>
        <w:rPr>
          <w:sz w:val="25"/>
        </w:rPr>
      </w:pPr>
    </w:p>
    <w:p>
      <w:pPr>
        <w:pStyle w:val="BodyText"/>
        <w:spacing w:line="360" w:lineRule="auto" w:before="70"/>
        <w:ind w:left="863" w:right="105" w:hanging="711"/>
        <w:jc w:val="both"/>
      </w:pPr>
      <w:r>
        <w:rPr/>
        <w:t>Chen, X., Vinkemeier, U., Zhao, Y., Jeruzalmi, D., Darnell, J. E., &amp; Kuriyan, J. (1998): Crystal</w:t>
      </w:r>
      <w:r>
        <w:rPr>
          <w:spacing w:val="-23"/>
        </w:rPr>
        <w:t> </w:t>
      </w:r>
      <w:r>
        <w:rPr/>
        <w:t>structure</w:t>
      </w:r>
      <w:r>
        <w:rPr>
          <w:spacing w:val="-24"/>
        </w:rPr>
        <w:t> </w:t>
      </w:r>
      <w:r>
        <w:rPr/>
        <w:t>of</w:t>
      </w:r>
      <w:r>
        <w:rPr>
          <w:spacing w:val="-21"/>
        </w:rPr>
        <w:t> </w:t>
      </w:r>
      <w:r>
        <w:rPr/>
        <w:t>a</w:t>
      </w:r>
      <w:r>
        <w:rPr>
          <w:spacing w:val="-14"/>
        </w:rPr>
        <w:t> </w:t>
      </w:r>
      <w:r>
        <w:rPr/>
        <w:t>tyrosine</w:t>
      </w:r>
      <w:r>
        <w:rPr>
          <w:spacing w:val="-14"/>
        </w:rPr>
        <w:t> </w:t>
      </w:r>
      <w:r>
        <w:rPr/>
        <w:t>phosphorylated</w:t>
      </w:r>
      <w:r>
        <w:rPr>
          <w:spacing w:val="-13"/>
        </w:rPr>
        <w:t> </w:t>
      </w:r>
      <w:r>
        <w:rPr/>
        <w:t>STAT-1</w:t>
      </w:r>
      <w:r>
        <w:rPr>
          <w:spacing w:val="-13"/>
        </w:rPr>
        <w:t> </w:t>
      </w:r>
      <w:r>
        <w:rPr>
          <w:spacing w:val="-3"/>
        </w:rPr>
        <w:t>dimer</w:t>
      </w:r>
      <w:r>
        <w:rPr>
          <w:spacing w:val="-12"/>
        </w:rPr>
        <w:t> </w:t>
      </w:r>
      <w:r>
        <w:rPr/>
        <w:t>bound</w:t>
      </w:r>
      <w:r>
        <w:rPr>
          <w:spacing w:val="-13"/>
        </w:rPr>
        <w:t> </w:t>
      </w:r>
      <w:r>
        <w:rPr/>
        <w:t>to</w:t>
      </w:r>
      <w:r>
        <w:rPr>
          <w:spacing w:val="-13"/>
        </w:rPr>
        <w:t> </w:t>
      </w:r>
      <w:r>
        <w:rPr/>
        <w:t>DNA.</w:t>
      </w:r>
      <w:r>
        <w:rPr>
          <w:spacing w:val="-10"/>
        </w:rPr>
        <w:t> </w:t>
      </w:r>
      <w:r>
        <w:rPr>
          <w:spacing w:val="-3"/>
        </w:rPr>
        <w:t>Cell.</w:t>
      </w:r>
      <w:r>
        <w:rPr>
          <w:spacing w:val="-11"/>
        </w:rPr>
        <w:t> </w:t>
      </w:r>
      <w:r>
        <w:rPr/>
        <w:t>93: 827-839.</w:t>
      </w:r>
    </w:p>
    <w:p>
      <w:pPr>
        <w:pStyle w:val="BodyText"/>
        <w:spacing w:line="360" w:lineRule="auto" w:before="8"/>
        <w:ind w:left="863" w:right="116" w:hanging="711"/>
        <w:jc w:val="both"/>
      </w:pPr>
      <w:r>
        <w:rPr/>
        <w:t>Chin YE, Kitagawa M, Kuida K. (1997): Activation of the STAT signaling pathway can cause expression of caspase 1 and apoptosis. Mol Cell Biol. 17:5328-5337.</w:t>
      </w:r>
    </w:p>
    <w:p>
      <w:pPr>
        <w:pStyle w:val="BodyText"/>
        <w:spacing w:line="360" w:lineRule="auto" w:before="4"/>
        <w:ind w:left="863" w:right="104" w:hanging="711"/>
        <w:jc w:val="both"/>
      </w:pPr>
      <w:r>
        <w:rPr/>
        <w:t>Chon</w:t>
      </w:r>
      <w:r>
        <w:rPr>
          <w:spacing w:val="-10"/>
        </w:rPr>
        <w:t> </w:t>
      </w:r>
      <w:r>
        <w:rPr/>
        <w:t>SY,</w:t>
      </w:r>
      <w:r>
        <w:rPr>
          <w:spacing w:val="-3"/>
        </w:rPr>
        <w:t> </w:t>
      </w:r>
      <w:r>
        <w:rPr/>
        <w:t>Hassanain</w:t>
      </w:r>
      <w:r>
        <w:rPr>
          <w:spacing w:val="-5"/>
        </w:rPr>
        <w:t> </w:t>
      </w:r>
      <w:r>
        <w:rPr/>
        <w:t>HH,</w:t>
      </w:r>
      <w:r>
        <w:rPr>
          <w:spacing w:val="-3"/>
        </w:rPr>
        <w:t> </w:t>
      </w:r>
      <w:r>
        <w:rPr/>
        <w:t>Gupta</w:t>
      </w:r>
      <w:r>
        <w:rPr>
          <w:spacing w:val="-6"/>
        </w:rPr>
        <w:t> </w:t>
      </w:r>
      <w:r>
        <w:rPr/>
        <w:t>SL.</w:t>
      </w:r>
      <w:r>
        <w:rPr>
          <w:spacing w:val="-3"/>
        </w:rPr>
        <w:t> </w:t>
      </w:r>
      <w:r>
        <w:rPr/>
        <w:t>(1996):</w:t>
      </w:r>
      <w:r>
        <w:rPr>
          <w:spacing w:val="-4"/>
        </w:rPr>
        <w:t> </w:t>
      </w:r>
      <w:r>
        <w:rPr/>
        <w:t>Cooperative</w:t>
      </w:r>
      <w:r>
        <w:rPr>
          <w:spacing w:val="-6"/>
        </w:rPr>
        <w:t> </w:t>
      </w:r>
      <w:r>
        <w:rPr/>
        <w:t>role</w:t>
      </w:r>
      <w:r>
        <w:rPr>
          <w:spacing w:val="-6"/>
        </w:rPr>
        <w:t> </w:t>
      </w:r>
      <w:r>
        <w:rPr/>
        <w:t>of</w:t>
      </w:r>
      <w:r>
        <w:rPr>
          <w:spacing w:val="-8"/>
        </w:rPr>
        <w:t> </w:t>
      </w:r>
      <w:r>
        <w:rPr/>
        <w:t>interferon</w:t>
      </w:r>
      <w:r>
        <w:rPr>
          <w:spacing w:val="-10"/>
        </w:rPr>
        <w:t> </w:t>
      </w:r>
      <w:r>
        <w:rPr/>
        <w:t>regulatory</w:t>
      </w:r>
      <w:r>
        <w:rPr>
          <w:spacing w:val="-10"/>
        </w:rPr>
        <w:t> </w:t>
      </w:r>
      <w:r>
        <w:rPr/>
        <w:t>factor 1 and p91 (STAT1) response elements </w:t>
      </w:r>
      <w:r>
        <w:rPr>
          <w:spacing w:val="-3"/>
        </w:rPr>
        <w:t>in </w:t>
      </w:r>
      <w:r>
        <w:rPr/>
        <w:t>interferon-γ inducible expression of</w:t>
      </w:r>
      <w:r>
        <w:rPr>
          <w:spacing w:val="-37"/>
        </w:rPr>
        <w:t> </w:t>
      </w:r>
      <w:r>
        <w:rPr/>
        <w:t>human indoleamine 2, 3-dioxygenase gene. J Biol Chem.</w:t>
      </w:r>
      <w:r>
        <w:rPr>
          <w:spacing w:val="-15"/>
        </w:rPr>
        <w:t> </w:t>
      </w:r>
      <w:r>
        <w:rPr/>
        <w:t>271:17247-52.</w:t>
      </w:r>
    </w:p>
    <w:p>
      <w:pPr>
        <w:pStyle w:val="BodyText"/>
        <w:spacing w:line="360" w:lineRule="auto" w:before="8"/>
        <w:ind w:left="863" w:right="106" w:hanging="711"/>
        <w:jc w:val="both"/>
      </w:pPr>
      <w:r>
        <w:rPr/>
        <w:t>Collet, B., Munro, E. S., Gahlawat, S., Acosta, F., Garcia, J., Roemelt, C &amp; Ellis, A. E. (2007). Infectious pancreatic necrosis virus suppresses type I interferon signalling in rainbow trout gonad cell line but not in Atlantic salmon macrophages. Fish &amp; Shellfish Immunology, 22: 44-56.</w:t>
      </w:r>
    </w:p>
    <w:p>
      <w:pPr>
        <w:pStyle w:val="BodyText"/>
        <w:spacing w:line="360" w:lineRule="auto" w:before="8"/>
        <w:ind w:left="863" w:right="106" w:hanging="711"/>
        <w:jc w:val="both"/>
      </w:pPr>
      <w:r>
        <w:rPr/>
        <w:t>Collet B, Bain N, Prevost S, Besinque G, McBeath </w:t>
      </w:r>
      <w:r>
        <w:rPr>
          <w:spacing w:val="-3"/>
        </w:rPr>
        <w:t>A, </w:t>
      </w:r>
      <w:r>
        <w:rPr/>
        <w:t>Snow M, Collins C. (2008): Isolation of an Atlantic salmon (Salmosalar) signal transducer and activator of transcription STAT1</w:t>
      </w:r>
      <w:r>
        <w:rPr>
          <w:spacing w:val="-2"/>
        </w:rPr>
        <w:t> </w:t>
      </w:r>
      <w:r>
        <w:rPr/>
        <w:t>gene:</w:t>
      </w:r>
      <w:r>
        <w:rPr>
          <w:spacing w:val="-2"/>
        </w:rPr>
        <w:t> </w:t>
      </w:r>
      <w:r>
        <w:rPr/>
        <w:t>Kinetics</w:t>
      </w:r>
      <w:r>
        <w:rPr>
          <w:spacing w:val="-4"/>
        </w:rPr>
        <w:t> </w:t>
      </w:r>
      <w:r>
        <w:rPr/>
        <w:t>of</w:t>
      </w:r>
      <w:r>
        <w:rPr>
          <w:spacing w:val="-10"/>
        </w:rPr>
        <w:t> </w:t>
      </w:r>
      <w:r>
        <w:rPr/>
        <w:t>expression</w:t>
      </w:r>
      <w:r>
        <w:rPr>
          <w:spacing w:val="-7"/>
        </w:rPr>
        <w:t> </w:t>
      </w:r>
      <w:r>
        <w:rPr/>
        <w:t>upon</w:t>
      </w:r>
      <w:r>
        <w:rPr>
          <w:spacing w:val="-11"/>
        </w:rPr>
        <w:t> </w:t>
      </w:r>
      <w:r>
        <w:rPr/>
        <w:t>ISAV</w:t>
      </w:r>
      <w:r>
        <w:rPr>
          <w:spacing w:val="-3"/>
        </w:rPr>
        <w:t> </w:t>
      </w:r>
      <w:r>
        <w:rPr/>
        <w:t>or</w:t>
      </w:r>
      <w:r>
        <w:rPr>
          <w:spacing w:val="-5"/>
        </w:rPr>
        <w:t> </w:t>
      </w:r>
      <w:r>
        <w:rPr/>
        <w:t>IPNV</w:t>
      </w:r>
      <w:r>
        <w:rPr>
          <w:spacing w:val="-8"/>
        </w:rPr>
        <w:t> </w:t>
      </w:r>
      <w:r>
        <w:rPr/>
        <w:t>infection.</w:t>
      </w:r>
      <w:r>
        <w:rPr>
          <w:spacing w:val="8"/>
        </w:rPr>
        <w:t> </w:t>
      </w:r>
      <w:r>
        <w:rPr/>
        <w:t>Fish</w:t>
      </w:r>
      <w:r>
        <w:rPr>
          <w:spacing w:val="-7"/>
        </w:rPr>
        <w:t> </w:t>
      </w:r>
      <w:r>
        <w:rPr/>
        <w:t>&amp;</w:t>
      </w:r>
      <w:r>
        <w:rPr>
          <w:spacing w:val="-6"/>
        </w:rPr>
        <w:t> </w:t>
      </w:r>
      <w:r>
        <w:rPr/>
        <w:t>Shellfish Immunology. 25:</w:t>
      </w:r>
      <w:r>
        <w:rPr>
          <w:spacing w:val="-5"/>
        </w:rPr>
        <w:t> </w:t>
      </w:r>
      <w:r>
        <w:rPr/>
        <w:t>861-867.</w:t>
      </w:r>
    </w:p>
    <w:p>
      <w:pPr>
        <w:pStyle w:val="BodyText"/>
        <w:spacing w:line="360" w:lineRule="auto" w:before="8"/>
        <w:ind w:left="863" w:right="118" w:hanging="711"/>
        <w:jc w:val="both"/>
      </w:pPr>
      <w:r>
        <w:rPr/>
        <w:t>Collet B, </w:t>
      </w:r>
      <w:r>
        <w:rPr>
          <w:spacing w:val="-3"/>
        </w:rPr>
        <w:t>Ganne </w:t>
      </w:r>
      <w:r>
        <w:rPr/>
        <w:t>G, Bird S, Collins C M. (2009): Isolation and expression profile of a gene encoding</w:t>
      </w:r>
      <w:r>
        <w:rPr>
          <w:spacing w:val="-8"/>
        </w:rPr>
        <w:t> </w:t>
      </w:r>
      <w:r>
        <w:rPr/>
        <w:t>for</w:t>
      </w:r>
      <w:r>
        <w:rPr>
          <w:spacing w:val="-11"/>
        </w:rPr>
        <w:t> </w:t>
      </w:r>
      <w:r>
        <w:rPr/>
        <w:t>the</w:t>
      </w:r>
      <w:r>
        <w:rPr>
          <w:spacing w:val="-13"/>
        </w:rPr>
        <w:t> </w:t>
      </w:r>
      <w:r>
        <w:rPr/>
        <w:t>Signal</w:t>
      </w:r>
      <w:r>
        <w:rPr>
          <w:spacing w:val="-16"/>
        </w:rPr>
        <w:t> </w:t>
      </w:r>
      <w:r>
        <w:rPr/>
        <w:t>Transducer</w:t>
      </w:r>
      <w:r>
        <w:rPr>
          <w:spacing w:val="-11"/>
        </w:rPr>
        <w:t> </w:t>
      </w:r>
      <w:r>
        <w:rPr/>
        <w:t>and</w:t>
      </w:r>
      <w:r>
        <w:rPr>
          <w:spacing w:val="-8"/>
        </w:rPr>
        <w:t> </w:t>
      </w:r>
      <w:r>
        <w:rPr/>
        <w:t>Activator</w:t>
      </w:r>
      <w:r>
        <w:rPr>
          <w:spacing w:val="-20"/>
        </w:rPr>
        <w:t> </w:t>
      </w:r>
      <w:r>
        <w:rPr/>
        <w:t>of</w:t>
      </w:r>
      <w:r>
        <w:rPr>
          <w:spacing w:val="-20"/>
        </w:rPr>
        <w:t> </w:t>
      </w:r>
      <w:r>
        <w:rPr/>
        <w:t>Transcription</w:t>
      </w:r>
      <w:r>
        <w:rPr>
          <w:spacing w:val="-16"/>
        </w:rPr>
        <w:t> </w:t>
      </w:r>
      <w:r>
        <w:rPr/>
        <w:t>STAT2</w:t>
      </w:r>
      <w:r>
        <w:rPr>
          <w:spacing w:val="-8"/>
        </w:rPr>
        <w:t> </w:t>
      </w:r>
      <w:r>
        <w:rPr>
          <w:spacing w:val="-3"/>
        </w:rPr>
        <w:t>in</w:t>
      </w:r>
      <w:r>
        <w:rPr>
          <w:spacing w:val="-16"/>
        </w:rPr>
        <w:t> </w:t>
      </w:r>
      <w:r>
        <w:rPr/>
        <w:t>Atlantic salmon (</w:t>
      </w:r>
      <w:r>
        <w:rPr>
          <w:i/>
        </w:rPr>
        <w:t>Salmo salar). </w:t>
      </w:r>
      <w:r>
        <w:rPr/>
        <w:t>Develop &amp; Comparative Immunology. 33:</w:t>
      </w:r>
      <w:r>
        <w:rPr>
          <w:spacing w:val="-22"/>
        </w:rPr>
        <w:t> </w:t>
      </w:r>
      <w:r>
        <w:rPr/>
        <w:t>821-829.</w:t>
      </w:r>
    </w:p>
    <w:p>
      <w:pPr>
        <w:pStyle w:val="BodyText"/>
        <w:spacing w:line="360" w:lineRule="auto" w:before="4"/>
        <w:ind w:left="863" w:right="102" w:hanging="711"/>
        <w:jc w:val="both"/>
      </w:pPr>
      <w:r>
        <w:rPr/>
        <w:t>Collet B, Boudinot P, Benmansour </w:t>
      </w:r>
      <w:r>
        <w:rPr>
          <w:spacing w:val="-3"/>
        </w:rPr>
        <w:t>A, </w:t>
      </w:r>
      <w:r>
        <w:rPr/>
        <w:t>Secombes CJ. (2004): </w:t>
      </w:r>
      <w:r>
        <w:rPr>
          <w:spacing w:val="-3"/>
        </w:rPr>
        <w:t>An </w:t>
      </w:r>
      <w:r>
        <w:rPr/>
        <w:t>Mx1 promoter–reporter system</w:t>
      </w:r>
      <w:r>
        <w:rPr>
          <w:spacing w:val="-18"/>
        </w:rPr>
        <w:t> </w:t>
      </w:r>
      <w:r>
        <w:rPr>
          <w:spacing w:val="2"/>
        </w:rPr>
        <w:t>to</w:t>
      </w:r>
      <w:r>
        <w:rPr>
          <w:spacing w:val="-5"/>
        </w:rPr>
        <w:t> </w:t>
      </w:r>
      <w:r>
        <w:rPr/>
        <w:t>study</w:t>
      </w:r>
      <w:r>
        <w:rPr>
          <w:spacing w:val="-13"/>
        </w:rPr>
        <w:t> </w:t>
      </w:r>
      <w:r>
        <w:rPr/>
        <w:t>interferon</w:t>
      </w:r>
      <w:r>
        <w:rPr>
          <w:spacing w:val="-13"/>
        </w:rPr>
        <w:t> </w:t>
      </w:r>
      <w:r>
        <w:rPr/>
        <w:t>pathways</w:t>
      </w:r>
      <w:r>
        <w:rPr>
          <w:spacing w:val="-2"/>
        </w:rPr>
        <w:t> </w:t>
      </w:r>
      <w:r>
        <w:rPr>
          <w:spacing w:val="-3"/>
        </w:rPr>
        <w:t>in</w:t>
      </w:r>
      <w:r>
        <w:rPr>
          <w:spacing w:val="-13"/>
        </w:rPr>
        <w:t> </w:t>
      </w:r>
      <w:r>
        <w:rPr/>
        <w:t>rainbow</w:t>
      </w:r>
      <w:r>
        <w:rPr>
          <w:spacing w:val="-9"/>
        </w:rPr>
        <w:t> </w:t>
      </w:r>
      <w:r>
        <w:rPr/>
        <w:t>trout.</w:t>
      </w:r>
      <w:r>
        <w:rPr>
          <w:spacing w:val="-7"/>
        </w:rPr>
        <w:t> </w:t>
      </w:r>
      <w:r>
        <w:rPr/>
        <w:t>Developmental</w:t>
      </w:r>
      <w:r>
        <w:rPr>
          <w:spacing w:val="-13"/>
        </w:rPr>
        <w:t> </w:t>
      </w:r>
      <w:r>
        <w:rPr/>
        <w:t>&amp;</w:t>
      </w:r>
      <w:r>
        <w:rPr>
          <w:spacing w:val="-13"/>
        </w:rPr>
        <w:t> </w:t>
      </w:r>
      <w:r>
        <w:rPr/>
        <w:t>Comparative Immunology. 28:</w:t>
      </w:r>
      <w:r>
        <w:rPr>
          <w:spacing w:val="-5"/>
        </w:rPr>
        <w:t> </w:t>
      </w:r>
      <w:r>
        <w:rPr/>
        <w:t>793-801.</w:t>
      </w:r>
    </w:p>
    <w:p>
      <w:pPr>
        <w:pStyle w:val="BodyText"/>
        <w:spacing w:line="360" w:lineRule="auto" w:before="4"/>
        <w:ind w:left="863" w:right="116" w:hanging="711"/>
        <w:jc w:val="both"/>
      </w:pPr>
      <w:r>
        <w:rPr/>
        <w:t>Couve E, Kiss J, Kuznar J. (1992): Infectious pancreatic necrosis virus internalization and endocytic organelles in CHS-214 cells. Cell Biol. Int. Rep. 16: 899-906.</w:t>
      </w:r>
    </w:p>
    <w:p>
      <w:pPr>
        <w:pStyle w:val="BodyText"/>
        <w:spacing w:line="360" w:lineRule="auto" w:before="8"/>
        <w:ind w:left="863" w:right="105" w:hanging="711"/>
        <w:jc w:val="both"/>
      </w:pPr>
      <w:r>
        <w:rPr/>
        <w:t>Croker </w:t>
      </w:r>
      <w:r>
        <w:rPr>
          <w:spacing w:val="-3"/>
        </w:rPr>
        <w:t>BA, </w:t>
      </w:r>
      <w:r>
        <w:rPr>
          <w:spacing w:val="-4"/>
        </w:rPr>
        <w:t>Kiu </w:t>
      </w:r>
      <w:r>
        <w:rPr/>
        <w:t>H, Nicholson SE. (2008, August): SOCS regulation of the JAK/STAT signalling</w:t>
      </w:r>
      <w:r>
        <w:rPr>
          <w:spacing w:val="-11"/>
        </w:rPr>
        <w:t> </w:t>
      </w:r>
      <w:r>
        <w:rPr/>
        <w:t>pathway.</w:t>
      </w:r>
      <w:r>
        <w:rPr>
          <w:spacing w:val="-9"/>
        </w:rPr>
        <w:t> </w:t>
      </w:r>
      <w:r>
        <w:rPr/>
        <w:t>In</w:t>
      </w:r>
      <w:r>
        <w:rPr>
          <w:spacing w:val="-13"/>
        </w:rPr>
        <w:t> </w:t>
      </w:r>
      <w:r>
        <w:rPr/>
        <w:t>Seminars</w:t>
      </w:r>
      <w:r>
        <w:rPr>
          <w:spacing w:val="-8"/>
        </w:rPr>
        <w:t> </w:t>
      </w:r>
      <w:r>
        <w:rPr>
          <w:spacing w:val="-3"/>
        </w:rPr>
        <w:t>in</w:t>
      </w:r>
      <w:r>
        <w:rPr>
          <w:spacing w:val="-15"/>
        </w:rPr>
        <w:t> </w:t>
      </w:r>
      <w:r>
        <w:rPr/>
        <w:t>cell</w:t>
      </w:r>
      <w:r>
        <w:rPr>
          <w:spacing w:val="-10"/>
        </w:rPr>
        <w:t> </w:t>
      </w:r>
      <w:r>
        <w:rPr/>
        <w:t>&amp;</w:t>
      </w:r>
      <w:r>
        <w:rPr>
          <w:spacing w:val="-15"/>
        </w:rPr>
        <w:t> </w:t>
      </w:r>
      <w:r>
        <w:rPr/>
        <w:t>developmental</w:t>
      </w:r>
      <w:r>
        <w:rPr>
          <w:spacing w:val="-15"/>
        </w:rPr>
        <w:t> </w:t>
      </w:r>
      <w:r>
        <w:rPr/>
        <w:t>biology.</w:t>
      </w:r>
      <w:r>
        <w:rPr>
          <w:spacing w:val="-9"/>
        </w:rPr>
        <w:t> </w:t>
      </w:r>
      <w:r>
        <w:rPr/>
        <w:t>(Vol.</w:t>
      </w:r>
      <w:r>
        <w:rPr>
          <w:spacing w:val="-9"/>
        </w:rPr>
        <w:t> </w:t>
      </w:r>
      <w:r>
        <w:rPr/>
        <w:t>19,</w:t>
      </w:r>
      <w:r>
        <w:rPr>
          <w:spacing w:val="-9"/>
        </w:rPr>
        <w:t> </w:t>
      </w:r>
      <w:r>
        <w:rPr/>
        <w:t>No.</w:t>
      </w:r>
      <w:r>
        <w:rPr>
          <w:spacing w:val="-13"/>
        </w:rPr>
        <w:t> </w:t>
      </w:r>
      <w:r>
        <w:rPr/>
        <w:t>4,</w:t>
      </w:r>
      <w:r>
        <w:rPr>
          <w:spacing w:val="-13"/>
        </w:rPr>
        <w:t> </w:t>
      </w:r>
      <w:r>
        <w:rPr/>
        <w:t>pp. 414-422). Academic</w:t>
      </w:r>
      <w:r>
        <w:rPr>
          <w:spacing w:val="-14"/>
        </w:rPr>
        <w:t> </w:t>
      </w:r>
      <w:r>
        <w:rPr/>
        <w:t>Press.</w:t>
      </w:r>
    </w:p>
    <w:p>
      <w:pPr>
        <w:spacing w:after="0" w:line="360" w:lineRule="auto"/>
        <w:jc w:val="both"/>
        <w:sectPr>
          <w:pgSz w:w="12240" w:h="15840"/>
          <w:pgMar w:header="0" w:footer="1382" w:top="1500" w:bottom="1580" w:left="1720" w:right="1420"/>
        </w:sectPr>
      </w:pPr>
    </w:p>
    <w:p>
      <w:pPr>
        <w:pStyle w:val="BodyText"/>
        <w:spacing w:before="7"/>
        <w:rPr>
          <w:sz w:val="25"/>
        </w:rPr>
      </w:pPr>
    </w:p>
    <w:p>
      <w:pPr>
        <w:pStyle w:val="BodyText"/>
        <w:spacing w:line="360" w:lineRule="auto" w:before="70"/>
        <w:ind w:left="863" w:right="112" w:hanging="711"/>
        <w:jc w:val="both"/>
      </w:pPr>
      <w:r>
        <w:rPr/>
        <w:t>Da Costa, B. D., Chevalier, C., Henry, C., Huet, J.-C., Petit, S., Lepault, J., Delmas, B. (2002). The Capsid of Infectious Bursal Disease Virus Contains Several Small Peptides Arising from the Maturation Process of pVP2. J. Virology, 76: 2393-2402.</w:t>
      </w:r>
    </w:p>
    <w:p>
      <w:pPr>
        <w:pStyle w:val="BodyText"/>
        <w:spacing w:line="360" w:lineRule="auto" w:before="8"/>
        <w:ind w:left="863" w:right="102" w:hanging="711"/>
        <w:jc w:val="both"/>
      </w:pPr>
      <w:r>
        <w:rPr/>
        <w:t>Darnell</w:t>
      </w:r>
      <w:r>
        <w:rPr>
          <w:spacing w:val="-10"/>
        </w:rPr>
        <w:t> </w:t>
      </w:r>
      <w:r>
        <w:rPr/>
        <w:t>JE,</w:t>
      </w:r>
      <w:r>
        <w:rPr>
          <w:spacing w:val="-5"/>
        </w:rPr>
        <w:t> </w:t>
      </w:r>
      <w:r>
        <w:rPr/>
        <w:t>Kerr</w:t>
      </w:r>
      <w:r>
        <w:rPr>
          <w:spacing w:val="-9"/>
        </w:rPr>
        <w:t> </w:t>
      </w:r>
      <w:r>
        <w:rPr/>
        <w:t>IM,</w:t>
      </w:r>
      <w:r>
        <w:rPr>
          <w:spacing w:val="-8"/>
        </w:rPr>
        <w:t> </w:t>
      </w:r>
      <w:r>
        <w:rPr/>
        <w:t>Stark</w:t>
      </w:r>
      <w:r>
        <w:rPr>
          <w:spacing w:val="-11"/>
        </w:rPr>
        <w:t> </w:t>
      </w:r>
      <w:r>
        <w:rPr/>
        <w:t>GR.</w:t>
      </w:r>
      <w:r>
        <w:rPr>
          <w:spacing w:val="-8"/>
        </w:rPr>
        <w:t> </w:t>
      </w:r>
      <w:r>
        <w:rPr/>
        <w:t>(1994):</w:t>
      </w:r>
      <w:r>
        <w:rPr>
          <w:spacing w:val="-10"/>
        </w:rPr>
        <w:t> </w:t>
      </w:r>
      <w:r>
        <w:rPr/>
        <w:t>Jak-STAT</w:t>
      </w:r>
      <w:r>
        <w:rPr>
          <w:spacing w:val="-9"/>
        </w:rPr>
        <w:t> </w:t>
      </w:r>
      <w:r>
        <w:rPr/>
        <w:t>pathways</w:t>
      </w:r>
      <w:r>
        <w:rPr>
          <w:spacing w:val="-8"/>
        </w:rPr>
        <w:t> </w:t>
      </w:r>
      <w:r>
        <w:rPr/>
        <w:t>and</w:t>
      </w:r>
      <w:r>
        <w:rPr>
          <w:spacing w:val="-7"/>
        </w:rPr>
        <w:t> </w:t>
      </w:r>
      <w:r>
        <w:rPr/>
        <w:t>transcriptional</w:t>
      </w:r>
      <w:r>
        <w:rPr>
          <w:spacing w:val="-10"/>
        </w:rPr>
        <w:t> </w:t>
      </w:r>
      <w:r>
        <w:rPr/>
        <w:t>activation</w:t>
      </w:r>
      <w:r>
        <w:rPr>
          <w:spacing w:val="-7"/>
        </w:rPr>
        <w:t> </w:t>
      </w:r>
      <w:r>
        <w:rPr>
          <w:spacing w:val="-3"/>
        </w:rPr>
        <w:t>in </w:t>
      </w:r>
      <w:r>
        <w:rPr/>
        <w:t>response to IFNs and other extracellular signaling proteins. Science.264:</w:t>
      </w:r>
      <w:r>
        <w:rPr>
          <w:spacing w:val="-23"/>
        </w:rPr>
        <w:t> </w:t>
      </w:r>
      <w:r>
        <w:rPr/>
        <w:t>1415-1421.</w:t>
      </w:r>
    </w:p>
    <w:p>
      <w:pPr>
        <w:pStyle w:val="BodyText"/>
        <w:spacing w:line="360" w:lineRule="auto" w:before="4"/>
        <w:ind w:left="863" w:right="106" w:hanging="711"/>
        <w:jc w:val="both"/>
      </w:pPr>
      <w:r>
        <w:rPr/>
        <w:t>Der SD, Zhou A, Williams BR, Silverman RH. (1998): Identification of genes differentially regulated by interferon α, β, or γ using oligonucleotide arrays. Proceedings of the National Academy of Sciences. 95: 15623-15628.</w:t>
      </w:r>
    </w:p>
    <w:p>
      <w:pPr>
        <w:pStyle w:val="BodyText"/>
        <w:spacing w:line="360" w:lineRule="auto" w:before="8"/>
        <w:ind w:left="863" w:right="105" w:hanging="711"/>
        <w:jc w:val="both"/>
      </w:pPr>
      <w:r>
        <w:rPr/>
        <w:t>Decker, T., Stockinger, S., Karaghiosoff, M., Müller, M., &amp; Kovarik, P. (2002): IFNs and STATs in innate immunity to microorganisms. The J clinical investigation. (10): 1271-1277.</w:t>
      </w:r>
    </w:p>
    <w:p>
      <w:pPr>
        <w:pStyle w:val="BodyText"/>
        <w:spacing w:line="360" w:lineRule="auto" w:before="4"/>
        <w:ind w:left="863" w:right="117" w:hanging="711"/>
        <w:jc w:val="both"/>
      </w:pPr>
      <w:r>
        <w:rPr/>
        <w:t>Dios S, Romero </w:t>
      </w:r>
      <w:r>
        <w:rPr>
          <w:spacing w:val="-3"/>
        </w:rPr>
        <w:t>A, </w:t>
      </w:r>
      <w:r>
        <w:rPr/>
        <w:t>Chamorro R, Figueras </w:t>
      </w:r>
      <w:r>
        <w:rPr>
          <w:spacing w:val="-3"/>
        </w:rPr>
        <w:t>A, </w:t>
      </w:r>
      <w:r>
        <w:rPr/>
        <w:t>Novoa B. (2010): </w:t>
      </w:r>
      <w:r>
        <w:rPr>
          <w:spacing w:val="-3"/>
        </w:rPr>
        <w:t>Effect </w:t>
      </w:r>
      <w:r>
        <w:rPr/>
        <w:t>of the temperature during</w:t>
      </w:r>
      <w:r>
        <w:rPr>
          <w:spacing w:val="-12"/>
        </w:rPr>
        <w:t> </w:t>
      </w:r>
      <w:r>
        <w:rPr/>
        <w:t>antiviral</w:t>
      </w:r>
      <w:r>
        <w:rPr>
          <w:spacing w:val="-11"/>
        </w:rPr>
        <w:t> </w:t>
      </w:r>
      <w:r>
        <w:rPr/>
        <w:t>immune</w:t>
      </w:r>
      <w:r>
        <w:rPr>
          <w:spacing w:val="-13"/>
        </w:rPr>
        <w:t> </w:t>
      </w:r>
      <w:r>
        <w:rPr/>
        <w:t>response</w:t>
      </w:r>
      <w:r>
        <w:rPr>
          <w:spacing w:val="-13"/>
        </w:rPr>
        <w:t> </w:t>
      </w:r>
      <w:r>
        <w:rPr/>
        <w:t>ontogeny</w:t>
      </w:r>
      <w:r>
        <w:rPr>
          <w:spacing w:val="-15"/>
        </w:rPr>
        <w:t> </w:t>
      </w:r>
      <w:r>
        <w:rPr>
          <w:spacing w:val="-3"/>
        </w:rPr>
        <w:t>in</w:t>
      </w:r>
      <w:r>
        <w:rPr>
          <w:spacing w:val="-12"/>
        </w:rPr>
        <w:t> </w:t>
      </w:r>
      <w:r>
        <w:rPr/>
        <w:t>teleosts.</w:t>
      </w:r>
      <w:r>
        <w:rPr>
          <w:spacing w:val="-10"/>
        </w:rPr>
        <w:t> </w:t>
      </w:r>
      <w:r>
        <w:rPr/>
        <w:t>Fish</w:t>
      </w:r>
      <w:r>
        <w:rPr>
          <w:spacing w:val="-12"/>
        </w:rPr>
        <w:t> </w:t>
      </w:r>
      <w:r>
        <w:rPr/>
        <w:t>&amp;</w:t>
      </w:r>
      <w:r>
        <w:rPr>
          <w:spacing w:val="-15"/>
        </w:rPr>
        <w:t> </w:t>
      </w:r>
      <w:r>
        <w:rPr/>
        <w:t>shellfish</w:t>
      </w:r>
      <w:r>
        <w:rPr>
          <w:spacing w:val="-12"/>
        </w:rPr>
        <w:t> </w:t>
      </w:r>
      <w:r>
        <w:rPr/>
        <w:t>immunology. 29:</w:t>
      </w:r>
      <w:r>
        <w:rPr>
          <w:spacing w:val="-2"/>
        </w:rPr>
        <w:t> </w:t>
      </w:r>
      <w:r>
        <w:rPr/>
        <w:t>1019-1027.</w:t>
      </w:r>
    </w:p>
    <w:p>
      <w:pPr>
        <w:pStyle w:val="BodyText"/>
        <w:spacing w:before="4"/>
        <w:ind w:left="152"/>
      </w:pPr>
      <w:r>
        <w:rPr/>
        <w:t>Dobos</w:t>
      </w:r>
      <w:r>
        <w:rPr>
          <w:spacing w:val="-15"/>
        </w:rPr>
        <w:t> </w:t>
      </w:r>
      <w:r>
        <w:rPr/>
        <w:t>P.</w:t>
      </w:r>
      <w:r>
        <w:rPr>
          <w:spacing w:val="-15"/>
        </w:rPr>
        <w:t> </w:t>
      </w:r>
      <w:r>
        <w:rPr/>
        <w:t>(1995):</w:t>
      </w:r>
      <w:r>
        <w:rPr>
          <w:spacing w:val="-21"/>
        </w:rPr>
        <w:t> </w:t>
      </w:r>
      <w:r>
        <w:rPr/>
        <w:t>The</w:t>
      </w:r>
      <w:r>
        <w:rPr>
          <w:spacing w:val="-9"/>
        </w:rPr>
        <w:t> </w:t>
      </w:r>
      <w:r>
        <w:rPr/>
        <w:t>molecular</w:t>
      </w:r>
      <w:r>
        <w:rPr>
          <w:spacing w:val="-11"/>
        </w:rPr>
        <w:t> </w:t>
      </w:r>
      <w:r>
        <w:rPr/>
        <w:t>biology</w:t>
      </w:r>
      <w:r>
        <w:rPr>
          <w:spacing w:val="-21"/>
        </w:rPr>
        <w:t> </w:t>
      </w:r>
      <w:r>
        <w:rPr>
          <w:spacing w:val="4"/>
        </w:rPr>
        <w:t>of</w:t>
      </w:r>
      <w:r>
        <w:rPr>
          <w:spacing w:val="-15"/>
        </w:rPr>
        <w:t> </w:t>
      </w:r>
      <w:r>
        <w:rPr/>
        <w:t>infectious</w:t>
      </w:r>
      <w:r>
        <w:rPr>
          <w:spacing w:val="-15"/>
        </w:rPr>
        <w:t> </w:t>
      </w:r>
      <w:r>
        <w:rPr/>
        <w:t>pancreatic</w:t>
      </w:r>
      <w:r>
        <w:rPr>
          <w:spacing w:val="-14"/>
        </w:rPr>
        <w:t> </w:t>
      </w:r>
      <w:r>
        <w:rPr/>
        <w:t>necrosis</w:t>
      </w:r>
      <w:r>
        <w:rPr>
          <w:spacing w:val="-10"/>
        </w:rPr>
        <w:t> </w:t>
      </w:r>
      <w:r>
        <w:rPr/>
        <w:t>virus</w:t>
      </w:r>
      <w:r>
        <w:rPr>
          <w:spacing w:val="-15"/>
        </w:rPr>
        <w:t> </w:t>
      </w:r>
      <w:r>
        <w:rPr/>
        <w:t>(IPNV).</w:t>
      </w:r>
      <w:r>
        <w:rPr>
          <w:spacing w:val="-11"/>
        </w:rPr>
        <w:t> </w:t>
      </w:r>
      <w:r>
        <w:rPr>
          <w:spacing w:val="-3"/>
        </w:rPr>
        <w:t>Ann.</w:t>
      </w:r>
    </w:p>
    <w:p>
      <w:pPr>
        <w:pStyle w:val="BodyText"/>
        <w:spacing w:before="137"/>
        <w:ind w:left="863"/>
      </w:pPr>
      <w:r>
        <w:rPr/>
        <w:t>Rev. Fish Dis. 5: 24-54.</w:t>
      </w:r>
    </w:p>
    <w:p>
      <w:pPr>
        <w:pStyle w:val="BodyText"/>
        <w:spacing w:line="360" w:lineRule="auto" w:before="141"/>
        <w:ind w:left="863" w:right="109" w:hanging="711"/>
        <w:jc w:val="both"/>
      </w:pPr>
      <w:r>
        <w:rPr/>
        <w:t>Dobos P, Hill BJ, Hallett R, Kells D T, Becht H, Teninges D. (1979): Biophysical and biochemical characterization of five animal viruses with bisegmented dsRNA genomes. J. Virol. 32: 593-605.</w:t>
      </w:r>
    </w:p>
    <w:p>
      <w:pPr>
        <w:pStyle w:val="BodyText"/>
        <w:spacing w:line="360" w:lineRule="auto" w:before="4"/>
        <w:ind w:left="863" w:right="108" w:hanging="711"/>
        <w:jc w:val="both"/>
      </w:pPr>
      <w:r>
        <w:rPr/>
        <w:t>Dorson M, Castric J,Torchy C. (1978): Infectious pancreatic necrosis virus of salmonids: biological</w:t>
      </w:r>
      <w:r>
        <w:rPr>
          <w:spacing w:val="-20"/>
        </w:rPr>
        <w:t> </w:t>
      </w:r>
      <w:r>
        <w:rPr/>
        <w:t>and</w:t>
      </w:r>
      <w:r>
        <w:rPr>
          <w:spacing w:val="-15"/>
        </w:rPr>
        <w:t> </w:t>
      </w:r>
      <w:r>
        <w:rPr/>
        <w:t>antigenic</w:t>
      </w:r>
      <w:r>
        <w:rPr>
          <w:spacing w:val="-12"/>
        </w:rPr>
        <w:t> </w:t>
      </w:r>
      <w:r>
        <w:rPr/>
        <w:t>features</w:t>
      </w:r>
      <w:r>
        <w:rPr>
          <w:spacing w:val="-18"/>
        </w:rPr>
        <w:t> </w:t>
      </w:r>
      <w:r>
        <w:rPr/>
        <w:t>of</w:t>
      </w:r>
      <w:r>
        <w:rPr>
          <w:spacing w:val="-23"/>
        </w:rPr>
        <w:t> </w:t>
      </w:r>
      <w:r>
        <w:rPr/>
        <w:t>a</w:t>
      </w:r>
      <w:r>
        <w:rPr>
          <w:spacing w:val="-16"/>
        </w:rPr>
        <w:t> </w:t>
      </w:r>
      <w:r>
        <w:rPr/>
        <w:t>pathogenic</w:t>
      </w:r>
      <w:r>
        <w:rPr>
          <w:spacing w:val="-16"/>
        </w:rPr>
        <w:t> </w:t>
      </w:r>
      <w:r>
        <w:rPr/>
        <w:t>strain</w:t>
      </w:r>
      <w:r>
        <w:rPr>
          <w:spacing w:val="-14"/>
        </w:rPr>
        <w:t> </w:t>
      </w:r>
      <w:r>
        <w:rPr/>
        <w:t>and</w:t>
      </w:r>
      <w:r>
        <w:rPr>
          <w:spacing w:val="-15"/>
        </w:rPr>
        <w:t> </w:t>
      </w:r>
      <w:r>
        <w:rPr/>
        <w:t>of</w:t>
      </w:r>
      <w:r>
        <w:rPr>
          <w:spacing w:val="-23"/>
        </w:rPr>
        <w:t> </w:t>
      </w:r>
      <w:r>
        <w:rPr/>
        <w:t>a</w:t>
      </w:r>
      <w:r>
        <w:rPr>
          <w:spacing w:val="-12"/>
        </w:rPr>
        <w:t> </w:t>
      </w:r>
      <w:r>
        <w:rPr/>
        <w:t>nonpathogenic</w:t>
      </w:r>
      <w:r>
        <w:rPr>
          <w:spacing w:val="-12"/>
        </w:rPr>
        <w:t> </w:t>
      </w:r>
      <w:r>
        <w:rPr/>
        <w:t>variant selected </w:t>
      </w:r>
      <w:r>
        <w:rPr>
          <w:spacing w:val="-3"/>
        </w:rPr>
        <w:t>in </w:t>
      </w:r>
      <w:r>
        <w:rPr/>
        <w:t>RTG- 2 cells. J. Fish. </w:t>
      </w:r>
      <w:r>
        <w:rPr>
          <w:spacing w:val="-3"/>
        </w:rPr>
        <w:t>Dis. </w:t>
      </w:r>
      <w:r>
        <w:rPr/>
        <w:t>1:</w:t>
      </w:r>
      <w:r>
        <w:rPr>
          <w:spacing w:val="12"/>
        </w:rPr>
        <w:t> </w:t>
      </w:r>
      <w:r>
        <w:rPr/>
        <w:t>309-320.</w:t>
      </w:r>
    </w:p>
    <w:p>
      <w:pPr>
        <w:pStyle w:val="BodyText"/>
        <w:spacing w:line="360" w:lineRule="auto" w:before="4"/>
        <w:ind w:left="863" w:right="105" w:hanging="711"/>
        <w:jc w:val="both"/>
      </w:pPr>
      <w:r>
        <w:rPr/>
        <w:t>Dobos</w:t>
      </w:r>
      <w:r>
        <w:rPr>
          <w:spacing w:val="-13"/>
        </w:rPr>
        <w:t> </w:t>
      </w:r>
      <w:r>
        <w:rPr/>
        <w:t>P,</w:t>
      </w:r>
      <w:r>
        <w:rPr>
          <w:spacing w:val="-13"/>
        </w:rPr>
        <w:t> </w:t>
      </w:r>
      <w:r>
        <w:rPr/>
        <w:t>Hallett</w:t>
      </w:r>
      <w:r>
        <w:rPr>
          <w:spacing w:val="-10"/>
        </w:rPr>
        <w:t> </w:t>
      </w:r>
      <w:r>
        <w:rPr/>
        <w:t>R,</w:t>
      </w:r>
      <w:r>
        <w:rPr>
          <w:spacing w:val="-9"/>
        </w:rPr>
        <w:t> </w:t>
      </w:r>
      <w:r>
        <w:rPr>
          <w:spacing w:val="-3"/>
        </w:rPr>
        <w:t>Kells</w:t>
      </w:r>
      <w:r>
        <w:rPr>
          <w:spacing w:val="-13"/>
        </w:rPr>
        <w:t> </w:t>
      </w:r>
      <w:r>
        <w:rPr/>
        <w:t>DT,</w:t>
      </w:r>
      <w:r>
        <w:rPr>
          <w:spacing w:val="-13"/>
        </w:rPr>
        <w:t> </w:t>
      </w:r>
      <w:r>
        <w:rPr/>
        <w:t>Sorensen</w:t>
      </w:r>
      <w:r>
        <w:rPr>
          <w:spacing w:val="-15"/>
        </w:rPr>
        <w:t> </w:t>
      </w:r>
      <w:r>
        <w:rPr/>
        <w:t>O,</w:t>
      </w:r>
      <w:r>
        <w:rPr>
          <w:spacing w:val="-9"/>
        </w:rPr>
        <w:t> </w:t>
      </w:r>
      <w:r>
        <w:rPr/>
        <w:t>Rowe</w:t>
      </w:r>
      <w:r>
        <w:rPr>
          <w:spacing w:val="-12"/>
        </w:rPr>
        <w:t> </w:t>
      </w:r>
      <w:r>
        <w:rPr>
          <w:spacing w:val="-3"/>
        </w:rPr>
        <w:t>D.</w:t>
      </w:r>
      <w:r>
        <w:rPr>
          <w:spacing w:val="-13"/>
        </w:rPr>
        <w:t> </w:t>
      </w:r>
      <w:r>
        <w:rPr/>
        <w:t>(1977):</w:t>
      </w:r>
      <w:r>
        <w:rPr>
          <w:spacing w:val="-10"/>
        </w:rPr>
        <w:t> </w:t>
      </w:r>
      <w:r>
        <w:rPr/>
        <w:t>Biophysical</w:t>
      </w:r>
      <w:r>
        <w:rPr>
          <w:spacing w:val="-15"/>
        </w:rPr>
        <w:t> </w:t>
      </w:r>
      <w:r>
        <w:rPr/>
        <w:t>studies</w:t>
      </w:r>
      <w:r>
        <w:rPr>
          <w:spacing w:val="-13"/>
        </w:rPr>
        <w:t> </w:t>
      </w:r>
      <w:r>
        <w:rPr/>
        <w:t>of</w:t>
      </w:r>
      <w:r>
        <w:rPr>
          <w:spacing w:val="-14"/>
        </w:rPr>
        <w:t> </w:t>
      </w:r>
      <w:r>
        <w:rPr/>
        <w:t>infectious pancreatic necrosis virus. J Virol. 1977.</w:t>
      </w:r>
      <w:r>
        <w:rPr>
          <w:spacing w:val="-14"/>
        </w:rPr>
        <w:t> </w:t>
      </w:r>
      <w:r>
        <w:rPr/>
        <w:t>22:150–159</w:t>
      </w:r>
    </w:p>
    <w:p>
      <w:pPr>
        <w:pStyle w:val="BodyText"/>
        <w:spacing w:line="360" w:lineRule="auto" w:before="8"/>
        <w:ind w:left="863" w:right="110" w:hanging="711"/>
        <w:jc w:val="both"/>
      </w:pPr>
      <w:r>
        <w:rPr/>
        <w:t>Duncan</w:t>
      </w:r>
      <w:r>
        <w:rPr>
          <w:spacing w:val="-7"/>
        </w:rPr>
        <w:t> </w:t>
      </w:r>
      <w:r>
        <w:rPr/>
        <w:t>R,</w:t>
      </w:r>
      <w:r>
        <w:rPr>
          <w:spacing w:val="-1"/>
        </w:rPr>
        <w:t> </w:t>
      </w:r>
      <w:r>
        <w:rPr/>
        <w:t>Dobos</w:t>
      </w:r>
      <w:r>
        <w:rPr>
          <w:spacing w:val="-5"/>
        </w:rPr>
        <w:t> </w:t>
      </w:r>
      <w:r>
        <w:rPr/>
        <w:t>P.</w:t>
      </w:r>
      <w:r>
        <w:rPr>
          <w:spacing w:val="-6"/>
        </w:rPr>
        <w:t> </w:t>
      </w:r>
      <w:r>
        <w:rPr/>
        <w:t>(1986):</w:t>
      </w:r>
      <w:r>
        <w:rPr>
          <w:spacing w:val="-11"/>
        </w:rPr>
        <w:t> </w:t>
      </w:r>
      <w:r>
        <w:rPr/>
        <w:t>The</w:t>
      </w:r>
      <w:r>
        <w:rPr>
          <w:spacing w:val="-4"/>
        </w:rPr>
        <w:t> </w:t>
      </w:r>
      <w:r>
        <w:rPr/>
        <w:t>nucleotide</w:t>
      </w:r>
      <w:r>
        <w:rPr>
          <w:spacing w:val="-4"/>
        </w:rPr>
        <w:t> </w:t>
      </w:r>
      <w:r>
        <w:rPr/>
        <w:t>sequence</w:t>
      </w:r>
      <w:r>
        <w:rPr>
          <w:spacing w:val="-4"/>
        </w:rPr>
        <w:t> </w:t>
      </w:r>
      <w:r>
        <w:rPr/>
        <w:t>of</w:t>
      </w:r>
      <w:r>
        <w:rPr>
          <w:spacing w:val="-6"/>
        </w:rPr>
        <w:t> </w:t>
      </w:r>
      <w:r>
        <w:rPr/>
        <w:t>infectious</w:t>
      </w:r>
      <w:r>
        <w:rPr>
          <w:spacing w:val="-5"/>
        </w:rPr>
        <w:t> </w:t>
      </w:r>
      <w:r>
        <w:rPr/>
        <w:t>pancreatic</w:t>
      </w:r>
      <w:r>
        <w:rPr>
          <w:spacing w:val="-4"/>
        </w:rPr>
        <w:t> </w:t>
      </w:r>
      <w:r>
        <w:rPr/>
        <w:t>necrosis</w:t>
      </w:r>
      <w:r>
        <w:rPr>
          <w:spacing w:val="-5"/>
        </w:rPr>
        <w:t> </w:t>
      </w:r>
      <w:r>
        <w:rPr/>
        <w:t>virus (IPNV)</w:t>
      </w:r>
      <w:r>
        <w:rPr>
          <w:spacing w:val="-14"/>
        </w:rPr>
        <w:t> </w:t>
      </w:r>
      <w:r>
        <w:rPr/>
        <w:t>dsRNA</w:t>
      </w:r>
      <w:r>
        <w:rPr>
          <w:spacing w:val="-20"/>
        </w:rPr>
        <w:t> </w:t>
      </w:r>
      <w:r>
        <w:rPr/>
        <w:t>segment</w:t>
      </w:r>
      <w:r>
        <w:rPr>
          <w:spacing w:val="-10"/>
        </w:rPr>
        <w:t> </w:t>
      </w:r>
      <w:r>
        <w:rPr/>
        <w:t>A</w:t>
      </w:r>
      <w:r>
        <w:rPr>
          <w:spacing w:val="-20"/>
        </w:rPr>
        <w:t> </w:t>
      </w:r>
      <w:r>
        <w:rPr/>
        <w:t>reveals</w:t>
      </w:r>
      <w:r>
        <w:rPr>
          <w:spacing w:val="-17"/>
        </w:rPr>
        <w:t> </w:t>
      </w:r>
      <w:r>
        <w:rPr/>
        <w:t>one</w:t>
      </w:r>
      <w:r>
        <w:rPr>
          <w:spacing w:val="-12"/>
        </w:rPr>
        <w:t> </w:t>
      </w:r>
      <w:r>
        <w:rPr/>
        <w:t>large</w:t>
      </w:r>
      <w:r>
        <w:rPr>
          <w:spacing w:val="-15"/>
        </w:rPr>
        <w:t> </w:t>
      </w:r>
      <w:r>
        <w:rPr/>
        <w:t>open</w:t>
      </w:r>
      <w:r>
        <w:rPr>
          <w:spacing w:val="-19"/>
        </w:rPr>
        <w:t> </w:t>
      </w:r>
      <w:r>
        <w:rPr/>
        <w:t>reading</w:t>
      </w:r>
      <w:r>
        <w:rPr>
          <w:spacing w:val="-11"/>
        </w:rPr>
        <w:t> </w:t>
      </w:r>
      <w:r>
        <w:rPr/>
        <w:t>frame</w:t>
      </w:r>
      <w:r>
        <w:rPr>
          <w:spacing w:val="-15"/>
        </w:rPr>
        <w:t> </w:t>
      </w:r>
      <w:r>
        <w:rPr/>
        <w:t>encoding</w:t>
      </w:r>
      <w:r>
        <w:rPr>
          <w:spacing w:val="-14"/>
        </w:rPr>
        <w:t> </w:t>
      </w:r>
      <w:r>
        <w:rPr/>
        <w:t>a</w:t>
      </w:r>
      <w:r>
        <w:rPr>
          <w:spacing w:val="-15"/>
        </w:rPr>
        <w:t> </w:t>
      </w:r>
      <w:r>
        <w:rPr/>
        <w:t>precursor polyprotein. Nucleic Acids Res. 14:</w:t>
      </w:r>
      <w:r>
        <w:rPr>
          <w:spacing w:val="-9"/>
        </w:rPr>
        <w:t> </w:t>
      </w:r>
      <w:r>
        <w:rPr/>
        <w:t>5934-5943.</w:t>
      </w:r>
    </w:p>
    <w:p>
      <w:pPr>
        <w:pStyle w:val="BodyText"/>
        <w:spacing w:before="4"/>
        <w:ind w:left="152"/>
      </w:pPr>
      <w:r>
        <w:rPr/>
        <w:t>Dobos P. (1995): The molecular biology of infectious pancreatic necrosis virus (IPNV).</w:t>
      </w:r>
    </w:p>
    <w:p>
      <w:pPr>
        <w:pStyle w:val="BodyText"/>
        <w:spacing w:before="141"/>
        <w:ind w:left="863"/>
      </w:pPr>
      <w:r>
        <w:rPr/>
        <w:t>Annual Review of Fish Diseases. 5: 25-54.</w:t>
      </w:r>
    </w:p>
    <w:p>
      <w:pPr>
        <w:spacing w:after="0"/>
        <w:sectPr>
          <w:footerReference w:type="default" r:id="rId66"/>
          <w:pgSz w:w="12240" w:h="15840"/>
          <w:pgMar w:footer="1382" w:header="0" w:top="1500" w:bottom="1580" w:left="1720" w:right="1420"/>
        </w:sectPr>
      </w:pPr>
    </w:p>
    <w:p>
      <w:pPr>
        <w:pStyle w:val="BodyText"/>
        <w:spacing w:before="7"/>
        <w:rPr>
          <w:sz w:val="25"/>
        </w:rPr>
      </w:pPr>
    </w:p>
    <w:p>
      <w:pPr>
        <w:pStyle w:val="BodyText"/>
        <w:spacing w:line="360" w:lineRule="auto" w:before="70"/>
        <w:ind w:left="863" w:right="119" w:hanging="711"/>
        <w:jc w:val="both"/>
      </w:pPr>
      <w:r>
        <w:rPr/>
        <w:t>Dobos P. (1976): </w:t>
      </w:r>
      <w:r>
        <w:rPr>
          <w:spacing w:val="-3"/>
        </w:rPr>
        <w:t>Size </w:t>
      </w:r>
      <w:r>
        <w:rPr/>
        <w:t>and structure of the genome  of  infectious  pancreatic  necrosis  virus. Nucleic Acids Res.</w:t>
      </w:r>
      <w:r>
        <w:rPr>
          <w:spacing w:val="-9"/>
        </w:rPr>
        <w:t> </w:t>
      </w:r>
      <w:r>
        <w:rPr/>
        <w:t>3:1903-1924.</w:t>
      </w:r>
    </w:p>
    <w:p>
      <w:pPr>
        <w:pStyle w:val="BodyText"/>
        <w:spacing w:line="360" w:lineRule="auto" w:before="4"/>
        <w:ind w:left="152" w:right="102"/>
        <w:jc w:val="right"/>
      </w:pPr>
      <w:r>
        <w:rPr/>
        <w:t>Duncan</w:t>
      </w:r>
      <w:r>
        <w:rPr>
          <w:spacing w:val="-14"/>
        </w:rPr>
        <w:t> </w:t>
      </w:r>
      <w:r>
        <w:rPr/>
        <w:t>R,</w:t>
      </w:r>
      <w:r>
        <w:rPr>
          <w:spacing w:val="-8"/>
        </w:rPr>
        <w:t> </w:t>
      </w:r>
      <w:r>
        <w:rPr/>
        <w:t>Mason</w:t>
      </w:r>
      <w:r>
        <w:rPr>
          <w:spacing w:val="-14"/>
        </w:rPr>
        <w:t> </w:t>
      </w:r>
      <w:r>
        <w:rPr/>
        <w:t>CL,</w:t>
      </w:r>
      <w:r>
        <w:rPr>
          <w:spacing w:val="-8"/>
        </w:rPr>
        <w:t> </w:t>
      </w:r>
      <w:r>
        <w:rPr/>
        <w:t>Nagy</w:t>
      </w:r>
      <w:r>
        <w:rPr>
          <w:spacing w:val="-19"/>
        </w:rPr>
        <w:t> </w:t>
      </w:r>
      <w:r>
        <w:rPr/>
        <w:t>E,</w:t>
      </w:r>
      <w:r>
        <w:rPr>
          <w:spacing w:val="-8"/>
        </w:rPr>
        <w:t> </w:t>
      </w:r>
      <w:r>
        <w:rPr/>
        <w:t>Leong</w:t>
      </w:r>
      <w:r>
        <w:rPr>
          <w:spacing w:val="-10"/>
        </w:rPr>
        <w:t> </w:t>
      </w:r>
      <w:r>
        <w:rPr>
          <w:spacing w:val="-3"/>
        </w:rPr>
        <w:t>JA.</w:t>
      </w:r>
      <w:r>
        <w:rPr>
          <w:spacing w:val="-8"/>
        </w:rPr>
        <w:t> </w:t>
      </w:r>
      <w:r>
        <w:rPr/>
        <w:t>(1991):</w:t>
      </w:r>
      <w:r>
        <w:rPr>
          <w:spacing w:val="-19"/>
        </w:rPr>
        <w:t> </w:t>
      </w:r>
      <w:r>
        <w:rPr/>
        <w:t>Sequence</w:t>
      </w:r>
      <w:r>
        <w:rPr>
          <w:spacing w:val="-11"/>
        </w:rPr>
        <w:t> </w:t>
      </w:r>
      <w:r>
        <w:rPr/>
        <w:t>analysis</w:t>
      </w:r>
      <w:r>
        <w:rPr>
          <w:spacing w:val="-12"/>
        </w:rPr>
        <w:t> </w:t>
      </w:r>
      <w:r>
        <w:rPr/>
        <w:t>of</w:t>
      </w:r>
      <w:r>
        <w:rPr>
          <w:spacing w:val="-13"/>
        </w:rPr>
        <w:t> </w:t>
      </w:r>
      <w:r>
        <w:rPr/>
        <w:t>infectious</w:t>
      </w:r>
      <w:r>
        <w:rPr>
          <w:spacing w:val="-12"/>
        </w:rPr>
        <w:t> </w:t>
      </w:r>
      <w:r>
        <w:rPr/>
        <w:t>pancreatic necrosis virus genome segment B and its encoded VP1 protein: a</w:t>
      </w:r>
      <w:r>
        <w:rPr>
          <w:spacing w:val="51"/>
        </w:rPr>
        <w:t> </w:t>
      </w:r>
      <w:r>
        <w:rPr/>
        <w:t>putative</w:t>
      </w:r>
      <w:r>
        <w:rPr>
          <w:spacing w:val="30"/>
        </w:rPr>
        <w:t> </w:t>
      </w:r>
      <w:r>
        <w:rPr/>
        <w:t>RNA-</w:t>
      </w:r>
      <w:r>
        <w:rPr>
          <w:w w:val="99"/>
        </w:rPr>
        <w:t> </w:t>
      </w:r>
      <w:r>
        <w:rPr/>
        <w:t>dependent</w:t>
      </w:r>
      <w:r>
        <w:rPr>
          <w:spacing w:val="-9"/>
        </w:rPr>
        <w:t> </w:t>
      </w:r>
      <w:r>
        <w:rPr/>
        <w:t>RNA</w:t>
      </w:r>
      <w:r>
        <w:rPr>
          <w:spacing w:val="-18"/>
        </w:rPr>
        <w:t> </w:t>
      </w:r>
      <w:r>
        <w:rPr/>
        <w:t>polymerase</w:t>
      </w:r>
      <w:r>
        <w:rPr>
          <w:spacing w:val="-10"/>
        </w:rPr>
        <w:t> </w:t>
      </w:r>
      <w:r>
        <w:rPr/>
        <w:t>lacking</w:t>
      </w:r>
      <w:r>
        <w:rPr>
          <w:spacing w:val="-13"/>
        </w:rPr>
        <w:t> </w:t>
      </w:r>
      <w:r>
        <w:rPr/>
        <w:t>the</w:t>
      </w:r>
      <w:r>
        <w:rPr>
          <w:spacing w:val="-14"/>
        </w:rPr>
        <w:t> </w:t>
      </w:r>
      <w:r>
        <w:rPr/>
        <w:t>Gly-Asp-Asp</w:t>
      </w:r>
      <w:r>
        <w:rPr>
          <w:spacing w:val="-9"/>
        </w:rPr>
        <w:t> </w:t>
      </w:r>
      <w:r>
        <w:rPr>
          <w:spacing w:val="-3"/>
        </w:rPr>
        <w:t>motif.</w:t>
      </w:r>
      <w:r>
        <w:rPr>
          <w:spacing w:val="-11"/>
        </w:rPr>
        <w:t> </w:t>
      </w:r>
      <w:r>
        <w:rPr/>
        <w:t>Virology.</w:t>
      </w:r>
      <w:r>
        <w:rPr>
          <w:spacing w:val="-11"/>
        </w:rPr>
        <w:t> </w:t>
      </w:r>
      <w:r>
        <w:rPr/>
        <w:t>181:</w:t>
      </w:r>
      <w:r>
        <w:rPr>
          <w:spacing w:val="-12"/>
        </w:rPr>
        <w:t> </w:t>
      </w:r>
      <w:r>
        <w:rPr/>
        <w:t>541-552. Duncan, R., Nagy E, Krell PJ, Dobos P. (1987): Synthesis of the</w:t>
      </w:r>
      <w:r>
        <w:rPr>
          <w:spacing w:val="40"/>
        </w:rPr>
        <w:t> </w:t>
      </w:r>
      <w:r>
        <w:rPr/>
        <w:t>infectious</w:t>
      </w:r>
      <w:r>
        <w:rPr>
          <w:spacing w:val="41"/>
        </w:rPr>
        <w:t> </w:t>
      </w:r>
      <w:r>
        <w:rPr/>
        <w:t>pancreatic necrosis virus polyprotein, detection of virus encoded protease, and    </w:t>
      </w:r>
      <w:r>
        <w:rPr>
          <w:spacing w:val="3"/>
        </w:rPr>
        <w:t> </w:t>
      </w:r>
      <w:r>
        <w:rPr>
          <w:spacing w:val="-3"/>
        </w:rPr>
        <w:t>fine  </w:t>
      </w:r>
      <w:r>
        <w:rPr/>
        <w:t>structure</w:t>
      </w:r>
    </w:p>
    <w:p>
      <w:pPr>
        <w:pStyle w:val="BodyText"/>
        <w:spacing w:before="4"/>
        <w:ind w:left="845" w:right="735"/>
        <w:jc w:val="center"/>
      </w:pPr>
      <w:r>
        <w:rPr/>
        <w:t>mapping of genome segment A coding regions. J of Virology. 61: 3655-3664.</w:t>
      </w:r>
    </w:p>
    <w:p>
      <w:pPr>
        <w:pStyle w:val="BodyText"/>
        <w:spacing w:line="360" w:lineRule="auto" w:before="141"/>
        <w:ind w:left="863" w:right="114" w:hanging="711"/>
        <w:jc w:val="both"/>
      </w:pPr>
      <w:r>
        <w:rPr/>
        <w:t>Eaton WD. (1990): Anti-viral activity in four species of salmonids following exposure to poly inosinic: cytidylic acid. Dis of Aquatic Organisms. 9: 193-198.</w:t>
      </w:r>
    </w:p>
    <w:p>
      <w:pPr>
        <w:pStyle w:val="BodyText"/>
        <w:spacing w:line="360" w:lineRule="auto" w:before="4"/>
        <w:ind w:left="863" w:right="121" w:hanging="711"/>
        <w:jc w:val="both"/>
      </w:pPr>
      <w:r>
        <w:rPr/>
        <w:t>Ellis AE. (2001):  Innate  host  defense  mechanisms  </w:t>
      </w:r>
      <w:r>
        <w:rPr>
          <w:spacing w:val="4"/>
        </w:rPr>
        <w:t>of  </w:t>
      </w:r>
      <w:r>
        <w:rPr/>
        <w:t>fish  against  viruses  and  bacteria. Developmental &amp; Comparative Immunology. 25:</w:t>
      </w:r>
      <w:r>
        <w:rPr>
          <w:spacing w:val="-21"/>
        </w:rPr>
        <w:t> </w:t>
      </w:r>
      <w:r>
        <w:rPr/>
        <w:t>827-839.</w:t>
      </w:r>
    </w:p>
    <w:p>
      <w:pPr>
        <w:pStyle w:val="BodyText"/>
        <w:spacing w:line="360" w:lineRule="auto" w:before="8"/>
        <w:ind w:left="863" w:right="114" w:hanging="711"/>
        <w:jc w:val="both"/>
      </w:pPr>
      <w:r>
        <w:rPr/>
        <w:t>Endo TA,</w:t>
      </w:r>
      <w:r>
        <w:rPr>
          <w:spacing w:val="-3"/>
        </w:rPr>
        <w:t> </w:t>
      </w:r>
      <w:r>
        <w:rPr/>
        <w:t>Masuhara</w:t>
      </w:r>
      <w:r>
        <w:rPr>
          <w:spacing w:val="-6"/>
        </w:rPr>
        <w:t> </w:t>
      </w:r>
      <w:r>
        <w:rPr/>
        <w:t>M,</w:t>
      </w:r>
      <w:r>
        <w:rPr>
          <w:spacing w:val="-3"/>
        </w:rPr>
        <w:t> </w:t>
      </w:r>
      <w:r>
        <w:rPr/>
        <w:t>Yokouchi</w:t>
      </w:r>
      <w:r>
        <w:rPr>
          <w:spacing w:val="-14"/>
        </w:rPr>
        <w:t> </w:t>
      </w:r>
      <w:r>
        <w:rPr/>
        <w:t>M.</w:t>
      </w:r>
      <w:r>
        <w:rPr>
          <w:spacing w:val="-3"/>
        </w:rPr>
        <w:t> </w:t>
      </w:r>
      <w:r>
        <w:rPr/>
        <w:t>(1997):</w:t>
      </w:r>
      <w:r>
        <w:rPr>
          <w:spacing w:val="-4"/>
        </w:rPr>
        <w:t> </w:t>
      </w:r>
      <w:r>
        <w:rPr/>
        <w:t>A</w:t>
      </w:r>
      <w:r>
        <w:rPr>
          <w:spacing w:val="-6"/>
        </w:rPr>
        <w:t> </w:t>
      </w:r>
      <w:r>
        <w:rPr/>
        <w:t>new protein</w:t>
      </w:r>
      <w:r>
        <w:rPr>
          <w:spacing w:val="-10"/>
        </w:rPr>
        <w:t> </w:t>
      </w:r>
      <w:r>
        <w:rPr/>
        <w:t>containing</w:t>
      </w:r>
      <w:r>
        <w:rPr>
          <w:spacing w:val="-5"/>
        </w:rPr>
        <w:t> </w:t>
      </w:r>
      <w:r>
        <w:rPr/>
        <w:t>an</w:t>
      </w:r>
      <w:r>
        <w:rPr>
          <w:spacing w:val="-10"/>
        </w:rPr>
        <w:t> </w:t>
      </w:r>
      <w:r>
        <w:rPr/>
        <w:t>SH2</w:t>
      </w:r>
      <w:r>
        <w:rPr>
          <w:spacing w:val="-5"/>
        </w:rPr>
        <w:t> </w:t>
      </w:r>
      <w:r>
        <w:rPr/>
        <w:t>domain</w:t>
      </w:r>
      <w:r>
        <w:rPr>
          <w:spacing w:val="-5"/>
        </w:rPr>
        <w:t> </w:t>
      </w:r>
      <w:r>
        <w:rPr/>
        <w:t>that inhibits JAK kinases. Nature.</w:t>
      </w:r>
      <w:r>
        <w:rPr>
          <w:spacing w:val="-9"/>
        </w:rPr>
        <w:t> </w:t>
      </w:r>
      <w:r>
        <w:rPr/>
        <w:t>387:921-924.</w:t>
      </w:r>
    </w:p>
    <w:p>
      <w:pPr>
        <w:pStyle w:val="BodyText"/>
        <w:spacing w:line="360" w:lineRule="auto" w:before="4"/>
        <w:ind w:left="863" w:right="113" w:hanging="711"/>
        <w:jc w:val="both"/>
      </w:pPr>
      <w:r>
        <w:rPr/>
        <w:t>Espinoza J,C M, Kuznar J. (2005). Necrosis of infectious pancreatic necrosis virus (IPNV) infected cells rarely is preceded by apoptósis. Virus Res 109:133-138.</w:t>
      </w:r>
    </w:p>
    <w:p>
      <w:pPr>
        <w:pStyle w:val="BodyText"/>
        <w:spacing w:line="360" w:lineRule="auto" w:before="8"/>
        <w:ind w:left="863" w:right="113" w:hanging="711"/>
        <w:jc w:val="both"/>
      </w:pPr>
      <w:r>
        <w:rPr/>
        <w:t>Espinoza JC, Hjalmarsson A, Everitt E, Kuznar J. (2000): Temporal and subcellular localization of infectious pancreatic necrosis virus structural proteins. Archives of Virology 145: 739-748.</w:t>
      </w:r>
    </w:p>
    <w:p>
      <w:pPr>
        <w:pStyle w:val="BodyText"/>
        <w:spacing w:line="362" w:lineRule="auto" w:before="4"/>
        <w:ind w:left="863" w:right="108" w:hanging="711"/>
        <w:jc w:val="both"/>
      </w:pPr>
      <w:r>
        <w:rPr/>
        <w:t>Espinoza JC, Kuznar J. (2002): Rapid simultaneous detection and quantitation of infectious pancreatic necrosis virus (IPNV). J Virol Methods. 105: 81-85.</w:t>
      </w:r>
    </w:p>
    <w:p>
      <w:pPr>
        <w:pStyle w:val="BodyText"/>
        <w:spacing w:line="360" w:lineRule="auto" w:before="1"/>
        <w:ind w:left="863" w:right="116" w:hanging="711"/>
        <w:jc w:val="both"/>
      </w:pPr>
      <w:r>
        <w:rPr/>
        <w:t>Espinoza</w:t>
      </w:r>
      <w:r>
        <w:rPr>
          <w:spacing w:val="-13"/>
        </w:rPr>
        <w:t> </w:t>
      </w:r>
      <w:r>
        <w:rPr/>
        <w:t>JC,</w:t>
      </w:r>
      <w:r>
        <w:rPr>
          <w:spacing w:val="30"/>
        </w:rPr>
        <w:t> </w:t>
      </w:r>
      <w:r>
        <w:rPr/>
        <w:t>Kuznar</w:t>
      </w:r>
      <w:r>
        <w:rPr>
          <w:spacing w:val="-10"/>
        </w:rPr>
        <w:t> </w:t>
      </w:r>
      <w:r>
        <w:rPr/>
        <w:t>J.</w:t>
      </w:r>
      <w:r>
        <w:rPr>
          <w:spacing w:val="-8"/>
        </w:rPr>
        <w:t> </w:t>
      </w:r>
      <w:r>
        <w:rPr/>
        <w:t>(1997):</w:t>
      </w:r>
      <w:r>
        <w:rPr>
          <w:spacing w:val="-16"/>
        </w:rPr>
        <w:t> </w:t>
      </w:r>
      <w:r>
        <w:rPr/>
        <w:t>Infectious</w:t>
      </w:r>
      <w:r>
        <w:rPr>
          <w:spacing w:val="-14"/>
        </w:rPr>
        <w:t> </w:t>
      </w:r>
      <w:r>
        <w:rPr/>
        <w:t>pancreatic</w:t>
      </w:r>
      <w:r>
        <w:rPr>
          <w:spacing w:val="-8"/>
        </w:rPr>
        <w:t> </w:t>
      </w:r>
      <w:r>
        <w:rPr/>
        <w:t>necrosis</w:t>
      </w:r>
      <w:r>
        <w:rPr>
          <w:spacing w:val="-14"/>
        </w:rPr>
        <w:t> </w:t>
      </w:r>
      <w:r>
        <w:rPr/>
        <w:t>virus</w:t>
      </w:r>
      <w:r>
        <w:rPr>
          <w:spacing w:val="-14"/>
        </w:rPr>
        <w:t> </w:t>
      </w:r>
      <w:r>
        <w:rPr/>
        <w:t>(IPNV)</w:t>
      </w:r>
      <w:r>
        <w:rPr>
          <w:spacing w:val="-10"/>
        </w:rPr>
        <w:t> </w:t>
      </w:r>
      <w:r>
        <w:rPr/>
        <w:t>does</w:t>
      </w:r>
      <w:r>
        <w:rPr>
          <w:spacing w:val="-14"/>
        </w:rPr>
        <w:t> </w:t>
      </w:r>
      <w:r>
        <w:rPr/>
        <w:t>not</w:t>
      </w:r>
      <w:r>
        <w:rPr>
          <w:spacing w:val="-11"/>
        </w:rPr>
        <w:t> </w:t>
      </w:r>
      <w:r>
        <w:rPr/>
        <w:t>require acid compartments for entry into </w:t>
      </w:r>
      <w:r>
        <w:rPr>
          <w:spacing w:val="-3"/>
        </w:rPr>
        <w:t>cells. </w:t>
      </w:r>
      <w:r>
        <w:rPr/>
        <w:t>Archives of Virology. 142: 2303-2308.</w:t>
      </w:r>
    </w:p>
    <w:p>
      <w:pPr>
        <w:pStyle w:val="BodyText"/>
        <w:spacing w:line="362" w:lineRule="auto" w:before="4"/>
        <w:ind w:left="863" w:right="100" w:hanging="711"/>
        <w:jc w:val="both"/>
      </w:pPr>
      <w:r>
        <w:rPr/>
        <w:t>Frantsi</w:t>
      </w:r>
      <w:r>
        <w:rPr>
          <w:spacing w:val="-19"/>
        </w:rPr>
        <w:t> </w:t>
      </w:r>
      <w:r>
        <w:rPr/>
        <w:t>C,</w:t>
      </w:r>
      <w:r>
        <w:rPr>
          <w:spacing w:val="-9"/>
        </w:rPr>
        <w:t> </w:t>
      </w:r>
      <w:r>
        <w:rPr/>
        <w:t>Savan</w:t>
      </w:r>
      <w:r>
        <w:rPr>
          <w:spacing w:val="-15"/>
        </w:rPr>
        <w:t> </w:t>
      </w:r>
      <w:r>
        <w:rPr/>
        <w:t>M.</w:t>
      </w:r>
      <w:r>
        <w:rPr>
          <w:spacing w:val="-9"/>
        </w:rPr>
        <w:t> </w:t>
      </w:r>
      <w:r>
        <w:rPr/>
        <w:t>(1971):</w:t>
      </w:r>
      <w:r>
        <w:rPr>
          <w:spacing w:val="-10"/>
        </w:rPr>
        <w:t> </w:t>
      </w:r>
      <w:r>
        <w:rPr/>
        <w:t>Infectious</w:t>
      </w:r>
      <w:r>
        <w:rPr>
          <w:spacing w:val="-13"/>
        </w:rPr>
        <w:t> </w:t>
      </w:r>
      <w:r>
        <w:rPr/>
        <w:t>pancreatic</w:t>
      </w:r>
      <w:r>
        <w:rPr>
          <w:spacing w:val="-7"/>
        </w:rPr>
        <w:t> </w:t>
      </w:r>
      <w:r>
        <w:rPr/>
        <w:t>necrosis</w:t>
      </w:r>
      <w:r>
        <w:rPr>
          <w:spacing w:val="-13"/>
        </w:rPr>
        <w:t> </w:t>
      </w:r>
      <w:r>
        <w:rPr/>
        <w:t>virus-</w:t>
      </w:r>
      <w:r>
        <w:rPr>
          <w:spacing w:val="-9"/>
        </w:rPr>
        <w:t> </w:t>
      </w:r>
      <w:r>
        <w:rPr/>
        <w:t>temperature</w:t>
      </w:r>
      <w:r>
        <w:rPr>
          <w:spacing w:val="-12"/>
        </w:rPr>
        <w:t> </w:t>
      </w:r>
      <w:r>
        <w:rPr/>
        <w:t>and</w:t>
      </w:r>
      <w:r>
        <w:rPr>
          <w:spacing w:val="-11"/>
        </w:rPr>
        <w:t> </w:t>
      </w:r>
      <w:r>
        <w:rPr/>
        <w:t>age</w:t>
      </w:r>
      <w:r>
        <w:rPr>
          <w:spacing w:val="-7"/>
        </w:rPr>
        <w:t> </w:t>
      </w:r>
      <w:r>
        <w:rPr/>
        <w:t>factors </w:t>
      </w:r>
      <w:r>
        <w:rPr>
          <w:spacing w:val="-3"/>
        </w:rPr>
        <w:t>in </w:t>
      </w:r>
      <w:r>
        <w:rPr/>
        <w:t>mortality. J. Wildlife Dis. 7:</w:t>
      </w:r>
      <w:r>
        <w:rPr>
          <w:spacing w:val="-3"/>
        </w:rPr>
        <w:t> </w:t>
      </w:r>
      <w:r>
        <w:rPr/>
        <w:t>249-255.</w:t>
      </w:r>
    </w:p>
    <w:p>
      <w:pPr>
        <w:pStyle w:val="BodyText"/>
        <w:spacing w:line="360" w:lineRule="auto" w:before="1"/>
        <w:ind w:left="863" w:right="104" w:hanging="711"/>
        <w:jc w:val="both"/>
      </w:pPr>
      <w:r>
        <w:rPr/>
        <w:t>Feng H, Liu H, Kong R, Wang L, Wang Y, Hu W, Guo Q. (2011): Expression profiles of carp IRF-3/-7 correlate with the up-regulation of RIG-I/MAVS/TRAF3/TBK1, four pivotal molecules in RIG-I signaling pathway. Fish &amp; shellfish immunology.30: 1159-1169.</w:t>
      </w:r>
    </w:p>
    <w:p>
      <w:pPr>
        <w:spacing w:after="0" w:line="360" w:lineRule="auto"/>
        <w:jc w:val="both"/>
        <w:sectPr>
          <w:footerReference w:type="default" r:id="rId67"/>
          <w:pgSz w:w="12240" w:h="15840"/>
          <w:pgMar w:footer="1382" w:header="0" w:top="1500" w:bottom="1580" w:left="1720" w:right="1420"/>
          <w:pgNumType w:start="91"/>
        </w:sectPr>
      </w:pPr>
    </w:p>
    <w:p>
      <w:pPr>
        <w:pStyle w:val="BodyText"/>
        <w:spacing w:before="7"/>
        <w:rPr>
          <w:sz w:val="25"/>
        </w:rPr>
      </w:pPr>
    </w:p>
    <w:p>
      <w:pPr>
        <w:pStyle w:val="BodyText"/>
        <w:spacing w:line="360" w:lineRule="auto" w:before="70"/>
        <w:ind w:left="863" w:right="110" w:hanging="711"/>
        <w:jc w:val="both"/>
      </w:pPr>
      <w:r>
        <w:rPr/>
        <w:t>García I, Galiana A, Falcó A, Estepa A, Perez L. (2011): Characterization of an infectious pancreatic necrosis (IPN) virus carrier cell culture with resistance to superinfection with heterologous viruses. Veterinary microbiology. 149: 48-55.</w:t>
      </w:r>
    </w:p>
    <w:p>
      <w:pPr>
        <w:pStyle w:val="BodyText"/>
        <w:spacing w:line="360" w:lineRule="auto" w:before="8"/>
        <w:ind w:left="863" w:right="109" w:hanging="711"/>
        <w:jc w:val="both"/>
      </w:pPr>
      <w:r>
        <w:rPr/>
        <w:t>Garcia MA, Gil J, Ventoso I, Guerra S, Domingo E, Rivas C, Esteban M. (2006): Impact of protein  kinase  PKR  </w:t>
      </w:r>
      <w:r>
        <w:rPr>
          <w:spacing w:val="-3"/>
        </w:rPr>
        <w:t>in  </w:t>
      </w:r>
      <w:r>
        <w:rPr/>
        <w:t>cell  biology:   from   antiviral   </w:t>
      </w:r>
      <w:r>
        <w:rPr>
          <w:spacing w:val="2"/>
        </w:rPr>
        <w:t>to   </w:t>
      </w:r>
      <w:r>
        <w:rPr/>
        <w:t>antiproliferative  action. Microbiology and Molecular Biology Reviews. 70:</w:t>
      </w:r>
      <w:r>
        <w:rPr>
          <w:spacing w:val="-22"/>
        </w:rPr>
        <w:t> </w:t>
      </w:r>
      <w:r>
        <w:rPr/>
        <w:t>1032-1060.</w:t>
      </w:r>
    </w:p>
    <w:p>
      <w:pPr>
        <w:pStyle w:val="BodyText"/>
        <w:spacing w:line="360" w:lineRule="auto" w:before="4"/>
        <w:ind w:left="863" w:right="111" w:hanging="711"/>
        <w:jc w:val="both"/>
      </w:pPr>
      <w:r>
        <w:rPr/>
        <w:t>García-Sastre A, Biron CA. (2006): Type 1 interferons and the virus-host relationship: a lesson in detente. Science. 312:879-882.</w:t>
      </w:r>
    </w:p>
    <w:p>
      <w:pPr>
        <w:pStyle w:val="BodyText"/>
        <w:spacing w:line="360" w:lineRule="auto" w:before="8"/>
        <w:ind w:left="863" w:right="106" w:hanging="711"/>
        <w:jc w:val="both"/>
      </w:pPr>
      <w:r>
        <w:rPr/>
        <w:t>Garcin</w:t>
      </w:r>
      <w:r>
        <w:rPr>
          <w:spacing w:val="-19"/>
        </w:rPr>
        <w:t> </w:t>
      </w:r>
      <w:r>
        <w:rPr/>
        <w:t>D,</w:t>
      </w:r>
      <w:r>
        <w:rPr>
          <w:spacing w:val="-13"/>
        </w:rPr>
        <w:t> </w:t>
      </w:r>
      <w:r>
        <w:rPr/>
        <w:t>Latorre</w:t>
      </w:r>
      <w:r>
        <w:rPr>
          <w:spacing w:val="-15"/>
        </w:rPr>
        <w:t> </w:t>
      </w:r>
      <w:r>
        <w:rPr/>
        <w:t>P,</w:t>
      </w:r>
      <w:r>
        <w:rPr>
          <w:spacing w:val="-12"/>
        </w:rPr>
        <w:t> </w:t>
      </w:r>
      <w:r>
        <w:rPr/>
        <w:t>Kolakofsky</w:t>
      </w:r>
      <w:r>
        <w:rPr>
          <w:spacing w:val="-19"/>
        </w:rPr>
        <w:t> </w:t>
      </w:r>
      <w:r>
        <w:rPr/>
        <w:t>D.</w:t>
      </w:r>
      <w:r>
        <w:rPr>
          <w:spacing w:val="-13"/>
        </w:rPr>
        <w:t> </w:t>
      </w:r>
      <w:r>
        <w:rPr/>
        <w:t>(1999):</w:t>
      </w:r>
      <w:r>
        <w:rPr>
          <w:spacing w:val="-14"/>
        </w:rPr>
        <w:t> </w:t>
      </w:r>
      <w:r>
        <w:rPr/>
        <w:t>Sendai</w:t>
      </w:r>
      <w:r>
        <w:rPr>
          <w:spacing w:val="-19"/>
        </w:rPr>
        <w:t> </w:t>
      </w:r>
      <w:r>
        <w:rPr/>
        <w:t>virus</w:t>
      </w:r>
      <w:r>
        <w:rPr>
          <w:spacing w:val="-17"/>
        </w:rPr>
        <w:t> </w:t>
      </w:r>
      <w:r>
        <w:rPr/>
        <w:t>C</w:t>
      </w:r>
      <w:r>
        <w:rPr>
          <w:spacing w:val="-16"/>
        </w:rPr>
        <w:t> </w:t>
      </w:r>
      <w:r>
        <w:rPr/>
        <w:t>proteins</w:t>
      </w:r>
      <w:r>
        <w:rPr>
          <w:spacing w:val="-17"/>
        </w:rPr>
        <w:t> </w:t>
      </w:r>
      <w:r>
        <w:rPr/>
        <w:t>counteract</w:t>
      </w:r>
      <w:r>
        <w:rPr>
          <w:spacing w:val="-19"/>
        </w:rPr>
        <w:t> </w:t>
      </w:r>
      <w:r>
        <w:rPr/>
        <w:t>the</w:t>
      </w:r>
      <w:r>
        <w:rPr>
          <w:spacing w:val="-11"/>
        </w:rPr>
        <w:t> </w:t>
      </w:r>
      <w:r>
        <w:rPr/>
        <w:t>interferon- mediated induction of an antiviral state. J. Virol.</w:t>
      </w:r>
      <w:r>
        <w:rPr>
          <w:spacing w:val="-14"/>
        </w:rPr>
        <w:t> </w:t>
      </w:r>
      <w:r>
        <w:rPr/>
        <w:t>73:6559-6565.</w:t>
      </w:r>
    </w:p>
    <w:p>
      <w:pPr>
        <w:pStyle w:val="BodyText"/>
        <w:spacing w:before="4"/>
        <w:ind w:left="152"/>
      </w:pPr>
      <w:r>
        <w:rPr/>
        <w:t>Galloux, M., Libersou, S., Morellet, N., Bouaziz, S., Da Costa, B., Ouldali, M.,  &amp; Delmas,</w:t>
      </w:r>
    </w:p>
    <w:p>
      <w:pPr>
        <w:pStyle w:val="ListParagraph"/>
        <w:numPr>
          <w:ilvl w:val="0"/>
          <w:numId w:val="14"/>
        </w:numPr>
        <w:tabs>
          <w:tab w:pos="1147" w:val="left" w:leader="none"/>
        </w:tabs>
        <w:spacing w:line="360" w:lineRule="auto" w:before="137" w:after="0"/>
        <w:ind w:left="863" w:right="106" w:firstLine="0"/>
        <w:jc w:val="both"/>
        <w:rPr>
          <w:sz w:val="24"/>
        </w:rPr>
      </w:pPr>
      <w:r>
        <w:rPr>
          <w:sz w:val="24"/>
        </w:rPr>
        <w:t>(2007).</w:t>
      </w:r>
      <w:r>
        <w:rPr>
          <w:spacing w:val="-10"/>
          <w:sz w:val="24"/>
        </w:rPr>
        <w:t> </w:t>
      </w:r>
      <w:r>
        <w:rPr>
          <w:sz w:val="24"/>
        </w:rPr>
        <w:t>Infectious</w:t>
      </w:r>
      <w:r>
        <w:rPr>
          <w:spacing w:val="-6"/>
          <w:sz w:val="24"/>
        </w:rPr>
        <w:t> </w:t>
      </w:r>
      <w:r>
        <w:rPr>
          <w:sz w:val="24"/>
        </w:rPr>
        <w:t>bursal</w:t>
      </w:r>
      <w:r>
        <w:rPr>
          <w:spacing w:val="-12"/>
          <w:sz w:val="24"/>
        </w:rPr>
        <w:t> </w:t>
      </w:r>
      <w:r>
        <w:rPr>
          <w:sz w:val="24"/>
        </w:rPr>
        <w:t>disease</w:t>
      </w:r>
      <w:r>
        <w:rPr>
          <w:spacing w:val="-5"/>
          <w:sz w:val="24"/>
        </w:rPr>
        <w:t> </w:t>
      </w:r>
      <w:r>
        <w:rPr>
          <w:sz w:val="24"/>
        </w:rPr>
        <w:t>virus,</w:t>
      </w:r>
      <w:r>
        <w:rPr>
          <w:spacing w:val="-2"/>
          <w:sz w:val="24"/>
        </w:rPr>
        <w:t> </w:t>
      </w:r>
      <w:r>
        <w:rPr>
          <w:sz w:val="24"/>
        </w:rPr>
        <w:t>a</w:t>
      </w:r>
      <w:r>
        <w:rPr>
          <w:spacing w:val="-1"/>
          <w:sz w:val="24"/>
        </w:rPr>
        <w:t> </w:t>
      </w:r>
      <w:r>
        <w:rPr>
          <w:sz w:val="24"/>
        </w:rPr>
        <w:t>non-enveloped</w:t>
      </w:r>
      <w:r>
        <w:rPr>
          <w:spacing w:val="-4"/>
          <w:sz w:val="24"/>
        </w:rPr>
        <w:t> </w:t>
      </w:r>
      <w:r>
        <w:rPr>
          <w:sz w:val="24"/>
        </w:rPr>
        <w:t>virus,</w:t>
      </w:r>
      <w:r>
        <w:rPr>
          <w:spacing w:val="-2"/>
          <w:sz w:val="24"/>
        </w:rPr>
        <w:t> </w:t>
      </w:r>
      <w:r>
        <w:rPr>
          <w:sz w:val="24"/>
        </w:rPr>
        <w:t>possesses</w:t>
      </w:r>
      <w:r>
        <w:rPr>
          <w:spacing w:val="-6"/>
          <w:sz w:val="24"/>
        </w:rPr>
        <w:t> </w:t>
      </w:r>
      <w:r>
        <w:rPr>
          <w:sz w:val="24"/>
        </w:rPr>
        <w:t>a</w:t>
      </w:r>
      <w:r>
        <w:rPr>
          <w:spacing w:val="-5"/>
          <w:sz w:val="24"/>
        </w:rPr>
        <w:t> </w:t>
      </w:r>
      <w:r>
        <w:rPr>
          <w:sz w:val="24"/>
        </w:rPr>
        <w:t>capsid- associated</w:t>
      </w:r>
      <w:r>
        <w:rPr>
          <w:spacing w:val="-14"/>
          <w:sz w:val="24"/>
        </w:rPr>
        <w:t> </w:t>
      </w:r>
      <w:r>
        <w:rPr>
          <w:sz w:val="24"/>
        </w:rPr>
        <w:t>peptide</w:t>
      </w:r>
      <w:r>
        <w:rPr>
          <w:spacing w:val="-14"/>
          <w:sz w:val="24"/>
        </w:rPr>
        <w:t> </w:t>
      </w:r>
      <w:r>
        <w:rPr>
          <w:sz w:val="24"/>
        </w:rPr>
        <w:t>that</w:t>
      </w:r>
      <w:r>
        <w:rPr>
          <w:spacing w:val="-9"/>
          <w:sz w:val="24"/>
        </w:rPr>
        <w:t> </w:t>
      </w:r>
      <w:r>
        <w:rPr>
          <w:sz w:val="24"/>
        </w:rPr>
        <w:t>deforms</w:t>
      </w:r>
      <w:r>
        <w:rPr>
          <w:spacing w:val="-15"/>
          <w:sz w:val="24"/>
        </w:rPr>
        <w:t> </w:t>
      </w:r>
      <w:r>
        <w:rPr>
          <w:sz w:val="24"/>
        </w:rPr>
        <w:t>and</w:t>
      </w:r>
      <w:r>
        <w:rPr>
          <w:spacing w:val="-14"/>
          <w:sz w:val="24"/>
        </w:rPr>
        <w:t> </w:t>
      </w:r>
      <w:r>
        <w:rPr>
          <w:sz w:val="24"/>
        </w:rPr>
        <w:t>perforates</w:t>
      </w:r>
      <w:r>
        <w:rPr>
          <w:spacing w:val="-15"/>
          <w:sz w:val="24"/>
        </w:rPr>
        <w:t> </w:t>
      </w:r>
      <w:r>
        <w:rPr>
          <w:sz w:val="24"/>
        </w:rPr>
        <w:t>biological</w:t>
      </w:r>
      <w:r>
        <w:rPr>
          <w:spacing w:val="-13"/>
          <w:sz w:val="24"/>
        </w:rPr>
        <w:t> </w:t>
      </w:r>
      <w:r>
        <w:rPr>
          <w:sz w:val="24"/>
        </w:rPr>
        <w:t>membranes.</w:t>
      </w:r>
      <w:r>
        <w:rPr>
          <w:spacing w:val="-5"/>
          <w:sz w:val="24"/>
        </w:rPr>
        <w:t> </w:t>
      </w:r>
      <w:r>
        <w:rPr>
          <w:sz w:val="24"/>
        </w:rPr>
        <w:t>J.</w:t>
      </w:r>
      <w:r>
        <w:rPr>
          <w:spacing w:val="-11"/>
          <w:sz w:val="24"/>
        </w:rPr>
        <w:t> </w:t>
      </w:r>
      <w:r>
        <w:rPr>
          <w:sz w:val="24"/>
        </w:rPr>
        <w:t>of</w:t>
      </w:r>
      <w:r>
        <w:rPr>
          <w:spacing w:val="-21"/>
          <w:sz w:val="24"/>
        </w:rPr>
        <w:t> </w:t>
      </w:r>
      <w:r>
        <w:rPr>
          <w:sz w:val="24"/>
        </w:rPr>
        <w:t>Biological Chemistry. 282:</w:t>
      </w:r>
      <w:r>
        <w:rPr>
          <w:spacing w:val="-3"/>
          <w:sz w:val="24"/>
        </w:rPr>
        <w:t> </w:t>
      </w:r>
      <w:r>
        <w:rPr>
          <w:sz w:val="24"/>
        </w:rPr>
        <w:t>20774-20784.</w:t>
      </w:r>
    </w:p>
    <w:p>
      <w:pPr>
        <w:pStyle w:val="BodyText"/>
        <w:spacing w:line="360" w:lineRule="auto" w:before="4"/>
        <w:ind w:left="863" w:right="104" w:hanging="711"/>
        <w:jc w:val="both"/>
      </w:pPr>
      <w:r>
        <w:rPr/>
        <w:t>Goodbourn S, Didcock L,Randall RE. (2008): Interferons: cell signalling, immune modulation, antiviral response and virus countermeasures. J General Virology. 8: 2341-2364.</w:t>
      </w:r>
    </w:p>
    <w:p>
      <w:pPr>
        <w:pStyle w:val="BodyText"/>
        <w:spacing w:line="360" w:lineRule="auto" w:before="4"/>
        <w:ind w:left="863" w:right="109" w:hanging="711"/>
        <w:jc w:val="both"/>
      </w:pPr>
      <w:r>
        <w:rPr/>
        <w:t>Gotoh</w:t>
      </w:r>
      <w:r>
        <w:rPr>
          <w:spacing w:val="-19"/>
        </w:rPr>
        <w:t> </w:t>
      </w:r>
      <w:r>
        <w:rPr/>
        <w:t>B,</w:t>
      </w:r>
      <w:r>
        <w:rPr>
          <w:spacing w:val="-12"/>
        </w:rPr>
        <w:t> </w:t>
      </w:r>
      <w:r>
        <w:rPr/>
        <w:t>Takeuchi</w:t>
      </w:r>
      <w:r>
        <w:rPr>
          <w:spacing w:val="-19"/>
        </w:rPr>
        <w:t> </w:t>
      </w:r>
      <w:r>
        <w:rPr>
          <w:spacing w:val="-3"/>
        </w:rPr>
        <w:t>K,</w:t>
      </w:r>
      <w:r>
        <w:rPr>
          <w:spacing w:val="-12"/>
        </w:rPr>
        <w:t> </w:t>
      </w:r>
      <w:r>
        <w:rPr/>
        <w:t>Komatsu</w:t>
      </w:r>
      <w:r>
        <w:rPr>
          <w:spacing w:val="-14"/>
        </w:rPr>
        <w:t> </w:t>
      </w:r>
      <w:r>
        <w:rPr/>
        <w:t>T,</w:t>
      </w:r>
      <w:r>
        <w:rPr>
          <w:spacing w:val="-12"/>
        </w:rPr>
        <w:t> </w:t>
      </w:r>
      <w:r>
        <w:rPr/>
        <w:t>Yokoo</w:t>
      </w:r>
      <w:r>
        <w:rPr>
          <w:spacing w:val="-10"/>
        </w:rPr>
        <w:t> </w:t>
      </w:r>
      <w:r>
        <w:rPr/>
        <w:t>J,</w:t>
      </w:r>
      <w:r>
        <w:rPr>
          <w:spacing w:val="-12"/>
        </w:rPr>
        <w:t> </w:t>
      </w:r>
      <w:r>
        <w:rPr/>
        <w:t>Kimura</w:t>
      </w:r>
      <w:r>
        <w:rPr>
          <w:spacing w:val="-15"/>
        </w:rPr>
        <w:t> </w:t>
      </w:r>
      <w:r>
        <w:rPr/>
        <w:t>Y,</w:t>
      </w:r>
      <w:r>
        <w:rPr>
          <w:spacing w:val="-13"/>
        </w:rPr>
        <w:t> </w:t>
      </w:r>
      <w:r>
        <w:rPr/>
        <w:t>Kurotani</w:t>
      </w:r>
      <w:r>
        <w:rPr>
          <w:spacing w:val="-19"/>
        </w:rPr>
        <w:t> </w:t>
      </w:r>
      <w:r>
        <w:rPr>
          <w:spacing w:val="-3"/>
        </w:rPr>
        <w:t>A,</w:t>
      </w:r>
      <w:r>
        <w:rPr>
          <w:spacing w:val="-12"/>
        </w:rPr>
        <w:t> </w:t>
      </w:r>
      <w:r>
        <w:rPr/>
        <w:t>Kato</w:t>
      </w:r>
      <w:r>
        <w:rPr>
          <w:spacing w:val="-10"/>
        </w:rPr>
        <w:t> </w:t>
      </w:r>
      <w:r>
        <w:rPr>
          <w:spacing w:val="-3"/>
        </w:rPr>
        <w:t>A,</w:t>
      </w:r>
      <w:r>
        <w:rPr>
          <w:spacing w:val="-12"/>
        </w:rPr>
        <w:t> </w:t>
      </w:r>
      <w:r>
        <w:rPr/>
        <w:t>Nagai</w:t>
      </w:r>
      <w:r>
        <w:rPr>
          <w:spacing w:val="-24"/>
        </w:rPr>
        <w:t> </w:t>
      </w:r>
      <w:r>
        <w:rPr/>
        <w:t>Y.</w:t>
      </w:r>
      <w:r>
        <w:rPr>
          <w:spacing w:val="-13"/>
        </w:rPr>
        <w:t> </w:t>
      </w:r>
      <w:r>
        <w:rPr/>
        <w:t>(1999): Knockout of the Sendai virus C gene eliminates the viral ability </w:t>
      </w:r>
      <w:r>
        <w:rPr>
          <w:spacing w:val="2"/>
        </w:rPr>
        <w:t>to </w:t>
      </w:r>
      <w:r>
        <w:rPr/>
        <w:t>prevent the interferon-alpha/beta-mediated responses. FEBS Lett.</w:t>
      </w:r>
      <w:r>
        <w:rPr>
          <w:spacing w:val="-18"/>
        </w:rPr>
        <w:t> </w:t>
      </w:r>
      <w:r>
        <w:rPr/>
        <w:t>459:205-210.</w:t>
      </w:r>
    </w:p>
    <w:p>
      <w:pPr>
        <w:pStyle w:val="BodyText"/>
        <w:spacing w:line="360" w:lineRule="auto" w:before="8"/>
        <w:ind w:left="863" w:right="118" w:hanging="711"/>
        <w:jc w:val="both"/>
      </w:pPr>
      <w:r>
        <w:rPr/>
        <w:t>Granzow H, Weiland F, Fichtner D, Enzmann, PJ. (1997): Studies of the ultrastructure and morphogenesis of fish pathogenic viruses grown in cell culture. J of Fish Diseases. 20: 1-10.</w:t>
      </w:r>
    </w:p>
    <w:p>
      <w:pPr>
        <w:pStyle w:val="BodyText"/>
        <w:spacing w:before="4"/>
        <w:ind w:left="152"/>
      </w:pPr>
      <w:r>
        <w:rPr/>
        <w:t>Gudding R,  Lillehaug  A,  Evensen Ø.  (1999):  Recent  developments  in fish vaccinology.</w:t>
      </w:r>
    </w:p>
    <w:p>
      <w:pPr>
        <w:pStyle w:val="BodyText"/>
        <w:spacing w:before="141"/>
        <w:ind w:left="863"/>
        <w:jc w:val="both"/>
      </w:pPr>
      <w:r>
        <w:rPr/>
        <w:t>Veterinary Immunol. Immunopath. 72: 203-212.</w:t>
      </w:r>
    </w:p>
    <w:p>
      <w:pPr>
        <w:pStyle w:val="BodyText"/>
        <w:spacing w:line="360" w:lineRule="auto" w:before="137"/>
        <w:ind w:left="863" w:right="102" w:hanging="711"/>
        <w:jc w:val="both"/>
      </w:pPr>
      <w:r>
        <w:rPr/>
        <w:t>Guderley H. (2004): Metabolic responses to low temperature in fish muscle. Biological reviews. 79: 409-427.</w:t>
      </w:r>
    </w:p>
    <w:p>
      <w:pPr>
        <w:pStyle w:val="BodyText"/>
        <w:spacing w:line="362" w:lineRule="auto" w:before="4"/>
        <w:ind w:left="863" w:right="110" w:hanging="711"/>
        <w:jc w:val="both"/>
      </w:pPr>
      <w:r>
        <w:rPr/>
        <w:t>Hansen J D, Landis ED, Phillips RB. (2005): Discovery of a unique Ig heavy-chain isotype (IgT) in rainbow trout: Implications for a distinctive B cell developmental   pathway</w:t>
      </w:r>
    </w:p>
    <w:p>
      <w:pPr>
        <w:spacing w:after="0" w:line="362" w:lineRule="auto"/>
        <w:jc w:val="both"/>
        <w:sectPr>
          <w:pgSz w:w="12240" w:h="15840"/>
          <w:pgMar w:header="0" w:footer="1382" w:top="1500" w:bottom="1580" w:left="1720" w:right="1420"/>
        </w:sectPr>
      </w:pPr>
    </w:p>
    <w:p>
      <w:pPr>
        <w:pStyle w:val="BodyText"/>
        <w:spacing w:before="7"/>
        <w:rPr>
          <w:sz w:val="25"/>
        </w:rPr>
      </w:pPr>
    </w:p>
    <w:p>
      <w:pPr>
        <w:pStyle w:val="BodyText"/>
        <w:spacing w:line="360" w:lineRule="auto" w:before="70"/>
        <w:ind w:left="863" w:right="32"/>
      </w:pPr>
      <w:r>
        <w:rPr/>
        <w:t>in teleost fish. Proceedings of the National Academy of Sciences of the United States of America. 102: 6919-6924.</w:t>
      </w:r>
    </w:p>
    <w:p>
      <w:pPr>
        <w:pStyle w:val="BodyText"/>
        <w:spacing w:line="360" w:lineRule="auto" w:before="4"/>
        <w:ind w:right="108"/>
        <w:jc w:val="right"/>
      </w:pPr>
      <w:r>
        <w:rPr/>
        <w:t>Harcourt BH, Sanchez A, Offermann MK. (1999): Ebola virus selectively inhibits responses</w:t>
      </w:r>
      <w:r>
        <w:rPr>
          <w:w w:val="99"/>
        </w:rPr>
        <w:t> </w:t>
      </w:r>
      <w:r>
        <w:rPr/>
        <w:t>to interferons, but not to interleukin-1β, in endothelial cells. J. Virol. 73:3491-3496. Haverinen J, Vornanen M. (2007): Temperature acclimation modifies sinoatrial pacemaker mechanism   of   the   rainbow   trout   heart.   American   J  Physiology-Regulatory,</w:t>
      </w:r>
    </w:p>
    <w:p>
      <w:pPr>
        <w:pStyle w:val="BodyText"/>
        <w:spacing w:before="4"/>
        <w:ind w:left="863"/>
      </w:pPr>
      <w:r>
        <w:rPr/>
        <w:t>Integrative and Comparative Physiology. 292: 1023-1032.</w:t>
      </w:r>
    </w:p>
    <w:p>
      <w:pPr>
        <w:pStyle w:val="BodyText"/>
        <w:spacing w:line="362" w:lineRule="auto" w:before="137"/>
        <w:ind w:left="863" w:right="105" w:hanging="711"/>
        <w:jc w:val="both"/>
      </w:pPr>
      <w:r>
        <w:rPr/>
        <w:t>Hay, S., Kannourakis, G. (2002): A time to kill: viral manipulation of the cell death program. Journal of General Virology. 83: 1547-1564.</w:t>
      </w:r>
    </w:p>
    <w:p>
      <w:pPr>
        <w:pStyle w:val="BodyText"/>
        <w:spacing w:line="360" w:lineRule="auto" w:before="1"/>
        <w:ind w:left="863" w:right="116" w:hanging="711"/>
        <w:jc w:val="both"/>
      </w:pPr>
      <w:r>
        <w:rPr/>
        <w:t>Heim</w:t>
      </w:r>
      <w:r>
        <w:rPr>
          <w:spacing w:val="-15"/>
        </w:rPr>
        <w:t> </w:t>
      </w:r>
      <w:r>
        <w:rPr/>
        <w:t>M</w:t>
      </w:r>
      <w:r>
        <w:rPr>
          <w:spacing w:val="-13"/>
        </w:rPr>
        <w:t> </w:t>
      </w:r>
      <w:r>
        <w:rPr/>
        <w:t>H,</w:t>
      </w:r>
      <w:r>
        <w:rPr>
          <w:spacing w:val="-9"/>
        </w:rPr>
        <w:t> </w:t>
      </w:r>
      <w:r>
        <w:rPr/>
        <w:t>Moradpour</w:t>
      </w:r>
      <w:r>
        <w:rPr>
          <w:spacing w:val="-14"/>
        </w:rPr>
        <w:t> </w:t>
      </w:r>
      <w:r>
        <w:rPr/>
        <w:t>D,</w:t>
      </w:r>
      <w:r>
        <w:rPr>
          <w:spacing w:val="-9"/>
        </w:rPr>
        <w:t> </w:t>
      </w:r>
      <w:r>
        <w:rPr/>
        <w:t>Blum</w:t>
      </w:r>
      <w:r>
        <w:rPr>
          <w:spacing w:val="-20"/>
        </w:rPr>
        <w:t> </w:t>
      </w:r>
      <w:r>
        <w:rPr/>
        <w:t>HE.</w:t>
      </w:r>
      <w:r>
        <w:rPr>
          <w:spacing w:val="-9"/>
        </w:rPr>
        <w:t> </w:t>
      </w:r>
      <w:r>
        <w:rPr/>
        <w:t>(1999):</w:t>
      </w:r>
      <w:r>
        <w:rPr>
          <w:spacing w:val="-15"/>
        </w:rPr>
        <w:t> </w:t>
      </w:r>
      <w:r>
        <w:rPr/>
        <w:t>Expression</w:t>
      </w:r>
      <w:r>
        <w:rPr>
          <w:spacing w:val="-15"/>
        </w:rPr>
        <w:t> </w:t>
      </w:r>
      <w:r>
        <w:rPr/>
        <w:t>of</w:t>
      </w:r>
      <w:r>
        <w:rPr>
          <w:spacing w:val="-14"/>
        </w:rPr>
        <w:t> </w:t>
      </w:r>
      <w:r>
        <w:rPr/>
        <w:t>hepatitis</w:t>
      </w:r>
      <w:r>
        <w:rPr>
          <w:spacing w:val="-13"/>
        </w:rPr>
        <w:t> </w:t>
      </w:r>
      <w:r>
        <w:rPr/>
        <w:t>C</w:t>
      </w:r>
      <w:r>
        <w:rPr>
          <w:spacing w:val="-8"/>
        </w:rPr>
        <w:t> </w:t>
      </w:r>
      <w:r>
        <w:rPr/>
        <w:t>virus</w:t>
      </w:r>
      <w:r>
        <w:rPr>
          <w:spacing w:val="-13"/>
        </w:rPr>
        <w:t> </w:t>
      </w:r>
      <w:r>
        <w:rPr/>
        <w:t>proteins</w:t>
      </w:r>
      <w:r>
        <w:rPr>
          <w:spacing w:val="-8"/>
        </w:rPr>
        <w:t> </w:t>
      </w:r>
      <w:r>
        <w:rPr/>
        <w:t>inhibits signal transduction through the Jak-STAT pathway. J. Virol.</w:t>
      </w:r>
      <w:r>
        <w:rPr>
          <w:spacing w:val="-18"/>
        </w:rPr>
        <w:t> </w:t>
      </w:r>
      <w:r>
        <w:rPr/>
        <w:t>73:8469-8475.</w:t>
      </w:r>
    </w:p>
    <w:p>
      <w:pPr>
        <w:pStyle w:val="BodyText"/>
        <w:spacing w:line="360" w:lineRule="auto" w:before="4"/>
        <w:ind w:left="863" w:right="111" w:hanging="711"/>
        <w:jc w:val="both"/>
      </w:pPr>
      <w:r>
        <w:rPr/>
        <w:t>Heppell J, Tarrab E, Lecomte J, Berthiaume L, Arella M. (1995): Strain variability and localization of important epitopes on the major structural protein (VP2) of infectious pancreatic necrosis virus. Virology. 214: 40-49.</w:t>
      </w:r>
    </w:p>
    <w:p>
      <w:pPr>
        <w:pStyle w:val="BodyText"/>
        <w:spacing w:line="360" w:lineRule="auto" w:before="4"/>
        <w:ind w:left="863" w:right="101" w:hanging="711"/>
        <w:jc w:val="both"/>
      </w:pPr>
      <w:r>
        <w:rPr/>
        <w:t>Herbomel P, Thisse B, Thisse C. (2001): Zebrafish early macrophages colonize cephalic mesenchyme</w:t>
      </w:r>
      <w:r>
        <w:rPr>
          <w:spacing w:val="-17"/>
        </w:rPr>
        <w:t> </w:t>
      </w:r>
      <w:r>
        <w:rPr/>
        <w:t>and</w:t>
      </w:r>
      <w:r>
        <w:rPr>
          <w:spacing w:val="-17"/>
        </w:rPr>
        <w:t> </w:t>
      </w:r>
      <w:r>
        <w:rPr/>
        <w:t>developing</w:t>
      </w:r>
      <w:r>
        <w:rPr>
          <w:spacing w:val="-16"/>
        </w:rPr>
        <w:t> </w:t>
      </w:r>
      <w:r>
        <w:rPr/>
        <w:t>brain,</w:t>
      </w:r>
      <w:r>
        <w:rPr>
          <w:spacing w:val="-15"/>
        </w:rPr>
        <w:t> </w:t>
      </w:r>
      <w:r>
        <w:rPr/>
        <w:t>retina,</w:t>
      </w:r>
      <w:r>
        <w:rPr>
          <w:spacing w:val="-14"/>
        </w:rPr>
        <w:t> </w:t>
      </w:r>
      <w:r>
        <w:rPr/>
        <w:t>and</w:t>
      </w:r>
      <w:r>
        <w:rPr>
          <w:spacing w:val="-17"/>
        </w:rPr>
        <w:t> </w:t>
      </w:r>
      <w:r>
        <w:rPr/>
        <w:t>epidermis</w:t>
      </w:r>
      <w:r>
        <w:rPr>
          <w:spacing w:val="-17"/>
        </w:rPr>
        <w:t> </w:t>
      </w:r>
      <w:r>
        <w:rPr/>
        <w:t>through</w:t>
      </w:r>
      <w:r>
        <w:rPr>
          <w:spacing w:val="-21"/>
        </w:rPr>
        <w:t> </w:t>
      </w:r>
      <w:r>
        <w:rPr/>
        <w:t>an</w:t>
      </w:r>
      <w:r>
        <w:rPr>
          <w:spacing w:val="-21"/>
        </w:rPr>
        <w:t> </w:t>
      </w:r>
      <w:r>
        <w:rPr/>
        <w:t>M-CSF</w:t>
      </w:r>
      <w:r>
        <w:rPr>
          <w:spacing w:val="-20"/>
        </w:rPr>
        <w:t> </w:t>
      </w:r>
      <w:r>
        <w:rPr/>
        <w:t>receptor- dependent invasive process. Developmental biology. 238:</w:t>
      </w:r>
      <w:r>
        <w:rPr>
          <w:spacing w:val="-18"/>
        </w:rPr>
        <w:t> </w:t>
      </w:r>
      <w:r>
        <w:rPr/>
        <w:t>274-288.</w:t>
      </w:r>
    </w:p>
    <w:p>
      <w:pPr>
        <w:pStyle w:val="BodyText"/>
        <w:spacing w:line="360" w:lineRule="auto" w:before="4"/>
        <w:ind w:left="863" w:right="114" w:hanging="711"/>
        <w:jc w:val="both"/>
      </w:pPr>
      <w:r>
        <w:rPr/>
        <w:t>Hill BJ, Way K. (1995): Serological classification of infectious pancreatic necrosis (IPN) virus and other aquatic birnaviruses. Annu. Rev. Fish Dis. 5: 55-77.</w:t>
      </w:r>
    </w:p>
    <w:p>
      <w:pPr>
        <w:pStyle w:val="BodyText"/>
        <w:spacing w:line="360" w:lineRule="auto" w:before="4"/>
        <w:ind w:left="863" w:right="102" w:hanging="711"/>
        <w:jc w:val="both"/>
      </w:pPr>
      <w:r>
        <w:rPr/>
        <w:t>Hill BJ. (1982): Infectious pancreatic necrosis and its virulence. In: Microbial Diseases of Fish (Special Publication of the Society for General Microbiology), Roberts R.J., ed. Academic Press, London, UK. P.p 91-114.</w:t>
      </w:r>
    </w:p>
    <w:p>
      <w:pPr>
        <w:pStyle w:val="BodyText"/>
        <w:spacing w:line="360" w:lineRule="auto" w:before="4"/>
        <w:ind w:left="863" w:right="109" w:hanging="711"/>
        <w:jc w:val="both"/>
      </w:pPr>
      <w:r>
        <w:rPr/>
        <w:t>Hjalmarsson A, Carlemalm E, Everitt E. (1999): Infectious pancreatic necrosis virus: identification of a VP3-containing ribonucleoprotein core structure and evidence for O-linked glycosylation of the capsid protein VP2. J. Virol. 73: 3484-3490.</w:t>
      </w:r>
    </w:p>
    <w:p>
      <w:pPr>
        <w:pStyle w:val="BodyText"/>
        <w:spacing w:line="360" w:lineRule="auto" w:before="4"/>
        <w:ind w:left="863" w:right="101" w:hanging="711"/>
        <w:jc w:val="both"/>
      </w:pPr>
      <w:r>
        <w:rPr/>
        <w:t>Hong JR, Wu JL. (2002): Induction of apoptotic death in cells via Bad gene expression by infectious pancreatic necrosis virus infection. Cell death and differentiation. 9: 113- 124.</w:t>
      </w:r>
    </w:p>
    <w:p>
      <w:pPr>
        <w:spacing w:after="0" w:line="360" w:lineRule="auto"/>
        <w:jc w:val="both"/>
        <w:sectPr>
          <w:pgSz w:w="12240" w:h="15840"/>
          <w:pgMar w:header="0" w:footer="1382" w:top="1500" w:bottom="1580" w:left="1720" w:right="1420"/>
        </w:sectPr>
      </w:pPr>
    </w:p>
    <w:p>
      <w:pPr>
        <w:pStyle w:val="BodyText"/>
        <w:spacing w:before="7"/>
        <w:rPr>
          <w:sz w:val="25"/>
        </w:rPr>
      </w:pPr>
    </w:p>
    <w:p>
      <w:pPr>
        <w:pStyle w:val="BodyText"/>
        <w:spacing w:line="360" w:lineRule="auto" w:before="70"/>
        <w:ind w:left="863" w:right="128" w:hanging="711"/>
        <w:jc w:val="both"/>
      </w:pPr>
      <w:r>
        <w:rPr/>
        <w:t>Hong</w:t>
      </w:r>
      <w:r>
        <w:rPr>
          <w:spacing w:val="-12"/>
        </w:rPr>
        <w:t> </w:t>
      </w:r>
      <w:r>
        <w:rPr/>
        <w:t>JR,</w:t>
      </w:r>
      <w:r>
        <w:rPr>
          <w:spacing w:val="-10"/>
        </w:rPr>
        <w:t> </w:t>
      </w:r>
      <w:r>
        <w:rPr/>
        <w:t>Hsu</w:t>
      </w:r>
      <w:r>
        <w:rPr>
          <w:spacing w:val="-12"/>
        </w:rPr>
        <w:t> </w:t>
      </w:r>
      <w:r>
        <w:rPr/>
        <w:t>YL,</w:t>
      </w:r>
      <w:r>
        <w:rPr>
          <w:spacing w:val="-10"/>
        </w:rPr>
        <w:t> </w:t>
      </w:r>
      <w:r>
        <w:rPr>
          <w:spacing w:val="-3"/>
        </w:rPr>
        <w:t>Wu</w:t>
      </w:r>
      <w:r>
        <w:rPr>
          <w:spacing w:val="-7"/>
        </w:rPr>
        <w:t> </w:t>
      </w:r>
      <w:r>
        <w:rPr/>
        <w:t>JL.</w:t>
      </w:r>
      <w:r>
        <w:rPr>
          <w:spacing w:val="-10"/>
        </w:rPr>
        <w:t> </w:t>
      </w:r>
      <w:r>
        <w:rPr/>
        <w:t>(1999):</w:t>
      </w:r>
      <w:r>
        <w:rPr>
          <w:spacing w:val="-11"/>
        </w:rPr>
        <w:t> </w:t>
      </w:r>
      <w:r>
        <w:rPr/>
        <w:t>Infectious</w:t>
      </w:r>
      <w:r>
        <w:rPr>
          <w:spacing w:val="-14"/>
        </w:rPr>
        <w:t> </w:t>
      </w:r>
      <w:r>
        <w:rPr/>
        <w:t>pancreatic</w:t>
      </w:r>
      <w:r>
        <w:rPr>
          <w:spacing w:val="-8"/>
        </w:rPr>
        <w:t> </w:t>
      </w:r>
      <w:r>
        <w:rPr/>
        <w:t>necrosis</w:t>
      </w:r>
      <w:r>
        <w:rPr>
          <w:spacing w:val="-9"/>
        </w:rPr>
        <w:t> </w:t>
      </w:r>
      <w:r>
        <w:rPr/>
        <w:t>virus</w:t>
      </w:r>
      <w:r>
        <w:rPr>
          <w:spacing w:val="-9"/>
        </w:rPr>
        <w:t> </w:t>
      </w:r>
      <w:r>
        <w:rPr/>
        <w:t>induces</w:t>
      </w:r>
      <w:r>
        <w:rPr>
          <w:spacing w:val="-14"/>
        </w:rPr>
        <w:t> </w:t>
      </w:r>
      <w:r>
        <w:rPr/>
        <w:t>apoptosis</w:t>
      </w:r>
      <w:r>
        <w:rPr>
          <w:spacing w:val="-6"/>
        </w:rPr>
        <w:t> </w:t>
      </w:r>
      <w:r>
        <w:rPr/>
        <w:t>due to down- regulation of survival factor MCL-1 protein expression </w:t>
      </w:r>
      <w:r>
        <w:rPr>
          <w:spacing w:val="-3"/>
        </w:rPr>
        <w:t>in </w:t>
      </w:r>
      <w:r>
        <w:rPr/>
        <w:t>a fish cell line. Virus Res. 63:</w:t>
      </w:r>
      <w:r>
        <w:rPr>
          <w:spacing w:val="-4"/>
        </w:rPr>
        <w:t> </w:t>
      </w:r>
      <w:r>
        <w:rPr/>
        <w:t>75-83.</w:t>
      </w:r>
    </w:p>
    <w:p>
      <w:pPr>
        <w:pStyle w:val="BodyText"/>
        <w:spacing w:line="360" w:lineRule="auto" w:before="8"/>
        <w:ind w:left="863" w:right="134" w:hanging="711"/>
        <w:jc w:val="both"/>
      </w:pPr>
      <w:r>
        <w:rPr/>
        <w:t>Hong</w:t>
      </w:r>
      <w:r>
        <w:rPr>
          <w:spacing w:val="-6"/>
        </w:rPr>
        <w:t> </w:t>
      </w:r>
      <w:r>
        <w:rPr/>
        <w:t>JR,</w:t>
      </w:r>
      <w:r>
        <w:rPr>
          <w:spacing w:val="-4"/>
        </w:rPr>
        <w:t> </w:t>
      </w:r>
      <w:r>
        <w:rPr/>
        <w:t>Lin</w:t>
      </w:r>
      <w:r>
        <w:rPr>
          <w:spacing w:val="-11"/>
        </w:rPr>
        <w:t> </w:t>
      </w:r>
      <w:r>
        <w:rPr/>
        <w:t>TL,</w:t>
      </w:r>
      <w:r>
        <w:rPr>
          <w:spacing w:val="-4"/>
        </w:rPr>
        <w:t> </w:t>
      </w:r>
      <w:r>
        <w:rPr/>
        <w:t>Hsu</w:t>
      </w:r>
      <w:r>
        <w:rPr>
          <w:spacing w:val="-6"/>
        </w:rPr>
        <w:t> </w:t>
      </w:r>
      <w:r>
        <w:rPr/>
        <w:t>YL,</w:t>
      </w:r>
      <w:r>
        <w:rPr>
          <w:spacing w:val="-4"/>
        </w:rPr>
        <w:t> </w:t>
      </w:r>
      <w:r>
        <w:rPr>
          <w:spacing w:val="-3"/>
        </w:rPr>
        <w:t>Wu</w:t>
      </w:r>
      <w:r>
        <w:rPr>
          <w:spacing w:val="-6"/>
        </w:rPr>
        <w:t> </w:t>
      </w:r>
      <w:r>
        <w:rPr/>
        <w:t>JL.</w:t>
      </w:r>
      <w:r>
        <w:rPr>
          <w:spacing w:val="-4"/>
        </w:rPr>
        <w:t> </w:t>
      </w:r>
      <w:r>
        <w:rPr/>
        <w:t>(1998):</w:t>
      </w:r>
      <w:r>
        <w:rPr>
          <w:spacing w:val="-5"/>
        </w:rPr>
        <w:t> </w:t>
      </w:r>
      <w:r>
        <w:rPr/>
        <w:t>Apoptosis</w:t>
      </w:r>
      <w:r>
        <w:rPr>
          <w:spacing w:val="-8"/>
        </w:rPr>
        <w:t> </w:t>
      </w:r>
      <w:r>
        <w:rPr/>
        <w:t>precedes</w:t>
      </w:r>
      <w:r>
        <w:rPr>
          <w:spacing w:val="-3"/>
        </w:rPr>
        <w:t> </w:t>
      </w:r>
      <w:r>
        <w:rPr/>
        <w:t>necrosis</w:t>
      </w:r>
      <w:r>
        <w:rPr>
          <w:spacing w:val="-8"/>
        </w:rPr>
        <w:t> </w:t>
      </w:r>
      <w:r>
        <w:rPr/>
        <w:t>of</w:t>
      </w:r>
      <w:r>
        <w:rPr>
          <w:spacing w:val="-9"/>
        </w:rPr>
        <w:t> </w:t>
      </w:r>
      <w:r>
        <w:rPr/>
        <w:t>fish</w:t>
      </w:r>
      <w:r>
        <w:rPr>
          <w:spacing w:val="-11"/>
        </w:rPr>
        <w:t> </w:t>
      </w:r>
      <w:r>
        <w:rPr/>
        <w:t>cell</w:t>
      </w:r>
      <w:r>
        <w:rPr>
          <w:spacing w:val="-6"/>
        </w:rPr>
        <w:t> </w:t>
      </w:r>
      <w:r>
        <w:rPr/>
        <w:t>line</w:t>
      </w:r>
      <w:r>
        <w:rPr>
          <w:spacing w:val="-7"/>
        </w:rPr>
        <w:t> </w:t>
      </w:r>
      <w:r>
        <w:rPr/>
        <w:t>with infectious pancreatic necrosis virus infection. Virology. 250:</w:t>
      </w:r>
      <w:r>
        <w:rPr>
          <w:spacing w:val="-22"/>
        </w:rPr>
        <w:t> </w:t>
      </w:r>
      <w:r>
        <w:rPr/>
        <w:t>76-84.</w:t>
      </w:r>
    </w:p>
    <w:p>
      <w:pPr>
        <w:pStyle w:val="BodyText"/>
        <w:spacing w:line="360" w:lineRule="auto" w:before="4"/>
        <w:ind w:left="863" w:right="125" w:hanging="711"/>
        <w:jc w:val="both"/>
      </w:pPr>
      <w:r>
        <w:rPr/>
        <w:t>Hovanessian AG. (2007): On the discovery of interferon-inducible, double-stranded RNA activated enzymes: The 2'-5'-oligoadenylate synthetases and the protein kinase</w:t>
      </w:r>
      <w:r>
        <w:rPr>
          <w:spacing w:val="-40"/>
        </w:rPr>
        <w:t> </w:t>
      </w:r>
      <w:r>
        <w:rPr/>
        <w:t>PKR.</w:t>
      </w:r>
    </w:p>
    <w:p>
      <w:pPr>
        <w:pStyle w:val="BodyText"/>
        <w:spacing w:before="4"/>
        <w:ind w:left="152"/>
      </w:pPr>
      <w:r>
        <w:rPr/>
        <w:t>Cytokine &amp; growth factor reviews. 18: 351-361.</w:t>
      </w:r>
    </w:p>
    <w:p>
      <w:pPr>
        <w:pStyle w:val="BodyText"/>
        <w:spacing w:line="360" w:lineRule="auto" w:before="141"/>
        <w:ind w:left="863" w:right="128" w:hanging="711"/>
        <w:jc w:val="both"/>
      </w:pPr>
      <w:r>
        <w:rPr/>
        <w:t>Hu YL, Xiang LX, Shao JZ. (2010): Identification and characterization of a novel immunoglobulin Z isotype in zebrafish: Implications for a distinct B cell receptor in lower vertebrates. Molecular immunology. 47: 738-746.</w:t>
      </w:r>
    </w:p>
    <w:p>
      <w:pPr>
        <w:pStyle w:val="BodyText"/>
        <w:spacing w:line="360" w:lineRule="auto" w:before="4"/>
        <w:ind w:left="863" w:right="126" w:hanging="711"/>
        <w:jc w:val="both"/>
      </w:pPr>
      <w:r>
        <w:rPr/>
        <w:t>Hu CY, Zhang YB, Huang GP, Zhang QY, Gui JF (2004): Molecular cloning and characterisation of a fish PKR-like gene from cultured CAB cells induced by UV- inactivated virus. Fish &amp; shellfish immunology. 17: 353-366.</w:t>
      </w:r>
    </w:p>
    <w:p>
      <w:pPr>
        <w:pStyle w:val="BodyText"/>
        <w:spacing w:line="360" w:lineRule="auto" w:before="4"/>
        <w:ind w:left="863" w:right="134" w:hanging="711"/>
        <w:jc w:val="both"/>
      </w:pPr>
      <w:r>
        <w:rPr/>
        <w:t>Iwanaga S, Lee BL. (2005): Recent advances in the innate immunity of invertebrate animals. BMB Reports, 38: 128-150.</w:t>
      </w:r>
    </w:p>
    <w:p>
      <w:pPr>
        <w:pStyle w:val="BodyText"/>
        <w:spacing w:line="360" w:lineRule="auto" w:before="8"/>
        <w:ind w:left="863" w:right="122" w:hanging="711"/>
        <w:jc w:val="both"/>
      </w:pPr>
      <w:r>
        <w:rPr/>
        <w:t>Jarp J, Gjevre AG, Olsen AB, Bruheim T. (1994): Risk factors for furunculosis, infectious pancreatic necrosis and mortality in post-smolt of Atlantic salmon, </w:t>
      </w:r>
      <w:r>
        <w:rPr>
          <w:i/>
        </w:rPr>
        <w:t>Salmo salar </w:t>
      </w:r>
      <w:r>
        <w:rPr/>
        <w:t>L. J. Fish. Dis. 18: 67-78.</w:t>
      </w:r>
    </w:p>
    <w:p>
      <w:pPr>
        <w:pStyle w:val="BodyText"/>
        <w:spacing w:line="360" w:lineRule="auto" w:before="4"/>
        <w:ind w:left="863" w:right="125" w:hanging="711"/>
        <w:jc w:val="both"/>
      </w:pPr>
      <w:r>
        <w:rPr/>
        <w:t>Jensen</w:t>
      </w:r>
      <w:r>
        <w:rPr>
          <w:spacing w:val="28"/>
        </w:rPr>
        <w:t> </w:t>
      </w:r>
      <w:r>
        <w:rPr/>
        <w:t>I,</w:t>
      </w:r>
      <w:r>
        <w:rPr>
          <w:spacing w:val="35"/>
        </w:rPr>
        <w:t> </w:t>
      </w:r>
      <w:r>
        <w:rPr/>
        <w:t>Robertsen</w:t>
      </w:r>
      <w:r>
        <w:rPr>
          <w:spacing w:val="-19"/>
        </w:rPr>
        <w:t> </w:t>
      </w:r>
      <w:r>
        <w:rPr/>
        <w:t>B.</w:t>
      </w:r>
      <w:r>
        <w:rPr>
          <w:spacing w:val="-12"/>
        </w:rPr>
        <w:t> </w:t>
      </w:r>
      <w:r>
        <w:rPr/>
        <w:t>(2002):</w:t>
      </w:r>
      <w:r>
        <w:rPr>
          <w:spacing w:val="-19"/>
        </w:rPr>
        <w:t> </w:t>
      </w:r>
      <w:r>
        <w:rPr/>
        <w:t>Effect</w:t>
      </w:r>
      <w:r>
        <w:rPr>
          <w:spacing w:val="-14"/>
        </w:rPr>
        <w:t> </w:t>
      </w:r>
      <w:r>
        <w:rPr/>
        <w:t>of</w:t>
      </w:r>
      <w:r>
        <w:rPr>
          <w:spacing w:val="-22"/>
        </w:rPr>
        <w:t> </w:t>
      </w:r>
      <w:r>
        <w:rPr/>
        <w:t>double-stranded</w:t>
      </w:r>
      <w:r>
        <w:rPr>
          <w:spacing w:val="-14"/>
        </w:rPr>
        <w:t> </w:t>
      </w:r>
      <w:r>
        <w:rPr/>
        <w:t>RNA</w:t>
      </w:r>
      <w:r>
        <w:rPr>
          <w:spacing w:val="-20"/>
        </w:rPr>
        <w:t> </w:t>
      </w:r>
      <w:r>
        <w:rPr/>
        <w:t>and</w:t>
      </w:r>
      <w:r>
        <w:rPr>
          <w:spacing w:val="-10"/>
        </w:rPr>
        <w:t> </w:t>
      </w:r>
      <w:r>
        <w:rPr/>
        <w:t>interferon</w:t>
      </w:r>
      <w:r>
        <w:rPr>
          <w:spacing w:val="-19"/>
        </w:rPr>
        <w:t> </w:t>
      </w:r>
      <w:r>
        <w:rPr/>
        <w:t>on</w:t>
      </w:r>
      <w:r>
        <w:rPr>
          <w:spacing w:val="-19"/>
        </w:rPr>
        <w:t> </w:t>
      </w:r>
      <w:r>
        <w:rPr/>
        <w:t>the</w:t>
      </w:r>
      <w:r>
        <w:rPr>
          <w:spacing w:val="-15"/>
        </w:rPr>
        <w:t> </w:t>
      </w:r>
      <w:r>
        <w:rPr/>
        <w:t>antiviral activity </w:t>
      </w:r>
      <w:r>
        <w:rPr>
          <w:spacing w:val="4"/>
        </w:rPr>
        <w:t>of </w:t>
      </w:r>
      <w:r>
        <w:rPr/>
        <w:t>Atlantic salmon cells against infectious salmon anaemia virus and infectious pancreatic necrosis virus. Fish Shellfish</w:t>
      </w:r>
      <w:r>
        <w:rPr>
          <w:spacing w:val="-25"/>
        </w:rPr>
        <w:t> </w:t>
      </w:r>
      <w:r>
        <w:rPr/>
        <w:t>Immunol.13:221-234.</w:t>
      </w:r>
    </w:p>
    <w:p>
      <w:pPr>
        <w:pStyle w:val="BodyText"/>
        <w:spacing w:line="360" w:lineRule="auto" w:before="4"/>
        <w:ind w:left="863" w:right="128" w:hanging="711"/>
        <w:jc w:val="both"/>
      </w:pPr>
      <w:r>
        <w:rPr/>
        <w:t>Jin HK, Yoshimatsu K, Takada A, Ogino M, Asano A, Arikawa J, Watanabe T. (2001): Mouse Mx2 protein inhibits hantavirus but not influenza virus replication. Archives of Virology. 146: 41-49.</w:t>
      </w:r>
    </w:p>
    <w:p>
      <w:pPr>
        <w:pStyle w:val="BodyText"/>
        <w:spacing w:line="360" w:lineRule="auto" w:before="4"/>
        <w:ind w:left="863" w:right="116" w:hanging="711"/>
        <w:jc w:val="both"/>
      </w:pPr>
      <w:r>
        <w:rPr/>
        <w:t>Jørgensen</w:t>
      </w:r>
      <w:r>
        <w:rPr>
          <w:spacing w:val="-16"/>
        </w:rPr>
        <w:t> </w:t>
      </w:r>
      <w:r>
        <w:rPr/>
        <w:t>JB,</w:t>
      </w:r>
      <w:r>
        <w:rPr>
          <w:spacing w:val="-10"/>
        </w:rPr>
        <w:t> </w:t>
      </w:r>
      <w:r>
        <w:rPr/>
        <w:t>Johansen</w:t>
      </w:r>
      <w:r>
        <w:rPr>
          <w:spacing w:val="-15"/>
        </w:rPr>
        <w:t> </w:t>
      </w:r>
      <w:r>
        <w:rPr>
          <w:spacing w:val="-3"/>
        </w:rPr>
        <w:t>A,</w:t>
      </w:r>
      <w:r>
        <w:rPr>
          <w:spacing w:val="-10"/>
        </w:rPr>
        <w:t> </w:t>
      </w:r>
      <w:r>
        <w:rPr/>
        <w:t>Hegseth</w:t>
      </w:r>
      <w:r>
        <w:rPr>
          <w:spacing w:val="-16"/>
        </w:rPr>
        <w:t> </w:t>
      </w:r>
      <w:r>
        <w:rPr/>
        <w:t>MN,</w:t>
      </w:r>
      <w:r>
        <w:rPr>
          <w:spacing w:val="-10"/>
        </w:rPr>
        <w:t> </w:t>
      </w:r>
      <w:r>
        <w:rPr/>
        <w:t>Zou</w:t>
      </w:r>
      <w:r>
        <w:rPr>
          <w:spacing w:val="-16"/>
        </w:rPr>
        <w:t> </w:t>
      </w:r>
      <w:r>
        <w:rPr/>
        <w:t>J,</w:t>
      </w:r>
      <w:r>
        <w:rPr>
          <w:spacing w:val="-14"/>
        </w:rPr>
        <w:t> </w:t>
      </w:r>
      <w:r>
        <w:rPr/>
        <w:t>Robertsen</w:t>
      </w:r>
      <w:r>
        <w:rPr>
          <w:spacing w:val="-16"/>
        </w:rPr>
        <w:t> </w:t>
      </w:r>
      <w:r>
        <w:rPr/>
        <w:t>B,</w:t>
      </w:r>
      <w:r>
        <w:rPr>
          <w:spacing w:val="-10"/>
        </w:rPr>
        <w:t> </w:t>
      </w:r>
      <w:r>
        <w:rPr/>
        <w:t>Collet</w:t>
      </w:r>
      <w:r>
        <w:rPr>
          <w:spacing w:val="-7"/>
        </w:rPr>
        <w:t> </w:t>
      </w:r>
      <w:r>
        <w:rPr/>
        <w:t>B,</w:t>
      </w:r>
      <w:r>
        <w:rPr>
          <w:spacing w:val="-14"/>
        </w:rPr>
        <w:t> </w:t>
      </w:r>
      <w:r>
        <w:rPr/>
        <w:t>Secombes</w:t>
      </w:r>
      <w:r>
        <w:rPr>
          <w:spacing w:val="-13"/>
        </w:rPr>
        <w:t> </w:t>
      </w:r>
      <w:r>
        <w:rPr/>
        <w:t>CJ.</w:t>
      </w:r>
      <w:r>
        <w:rPr>
          <w:spacing w:val="-10"/>
        </w:rPr>
        <w:t> </w:t>
      </w:r>
      <w:r>
        <w:rPr/>
        <w:t>(2007): A recombinant CHSE-214 cell </w:t>
      </w:r>
      <w:r>
        <w:rPr>
          <w:spacing w:val="-3"/>
        </w:rPr>
        <w:t>line </w:t>
      </w:r>
      <w:r>
        <w:rPr/>
        <w:t>expressing an </w:t>
      </w:r>
      <w:r>
        <w:rPr>
          <w:spacing w:val="-3"/>
        </w:rPr>
        <w:t>Mx1 </w:t>
      </w:r>
      <w:r>
        <w:rPr/>
        <w:t>promoter–reporter system responds  to  both interferon type  I  and type  II  from salmonids  and  represents  </w:t>
      </w:r>
      <w:r>
        <w:rPr>
          <w:spacing w:val="40"/>
        </w:rPr>
        <w:t> </w:t>
      </w:r>
      <w:r>
        <w:rPr/>
        <w:t>a</w:t>
      </w:r>
    </w:p>
    <w:p>
      <w:pPr>
        <w:spacing w:after="0" w:line="360" w:lineRule="auto"/>
        <w:jc w:val="both"/>
        <w:sectPr>
          <w:pgSz w:w="12240" w:h="15840"/>
          <w:pgMar w:header="0" w:footer="1382" w:top="1500" w:bottom="1580" w:left="1720" w:right="1400"/>
        </w:sectPr>
      </w:pPr>
    </w:p>
    <w:p>
      <w:pPr>
        <w:pStyle w:val="BodyText"/>
        <w:spacing w:before="7"/>
        <w:rPr>
          <w:sz w:val="25"/>
        </w:rPr>
      </w:pPr>
    </w:p>
    <w:p>
      <w:pPr>
        <w:pStyle w:val="BodyText"/>
        <w:spacing w:line="360" w:lineRule="auto" w:before="70"/>
        <w:ind w:left="863" w:right="127"/>
        <w:jc w:val="both"/>
      </w:pPr>
      <w:r>
        <w:rPr/>
        <w:t>versatile tool to study the IFN-system in teleost fish. Fish &amp; shellfish immunology. 23: 1294-1303.</w:t>
      </w:r>
    </w:p>
    <w:p>
      <w:pPr>
        <w:pStyle w:val="BodyText"/>
        <w:spacing w:before="4"/>
        <w:ind w:left="152"/>
      </w:pPr>
      <w:r>
        <w:rPr/>
        <w:t>King Q, Adams M J, Carstens E B, Lefkowitz E J. (2012): Birnaviridae. in A. M. Q.   King,</w:t>
      </w:r>
    </w:p>
    <w:p>
      <w:pPr>
        <w:pStyle w:val="BodyText"/>
        <w:spacing w:line="360" w:lineRule="auto" w:before="141"/>
        <w:ind w:left="863" w:right="125"/>
        <w:jc w:val="both"/>
      </w:pPr>
      <w:r>
        <w:rPr/>
        <w:t>M. J. Adams, E. B. Carstens, and E. J. Lefkowitz, editors. Virus taxonomy: ninth report</w:t>
      </w:r>
      <w:r>
        <w:rPr>
          <w:spacing w:val="-14"/>
        </w:rPr>
        <w:t> </w:t>
      </w:r>
      <w:r>
        <w:rPr/>
        <w:t>of</w:t>
      </w:r>
      <w:r>
        <w:rPr>
          <w:spacing w:val="-22"/>
        </w:rPr>
        <w:t> </w:t>
      </w:r>
      <w:r>
        <w:rPr/>
        <w:t>the</w:t>
      </w:r>
      <w:r>
        <w:rPr>
          <w:spacing w:val="-15"/>
        </w:rPr>
        <w:t> </w:t>
      </w:r>
      <w:r>
        <w:rPr/>
        <w:t>International</w:t>
      </w:r>
      <w:r>
        <w:rPr>
          <w:spacing w:val="-19"/>
        </w:rPr>
        <w:t> </w:t>
      </w:r>
      <w:r>
        <w:rPr/>
        <w:t>Committee</w:t>
      </w:r>
      <w:r>
        <w:rPr>
          <w:spacing w:val="-20"/>
        </w:rPr>
        <w:t> </w:t>
      </w:r>
      <w:r>
        <w:rPr/>
        <w:t>on</w:t>
      </w:r>
      <w:r>
        <w:rPr>
          <w:spacing w:val="-19"/>
        </w:rPr>
        <w:t> </w:t>
      </w:r>
      <w:r>
        <w:rPr/>
        <w:t>Taxonomy</w:t>
      </w:r>
      <w:r>
        <w:rPr>
          <w:spacing w:val="-19"/>
        </w:rPr>
        <w:t> </w:t>
      </w:r>
      <w:r>
        <w:rPr/>
        <w:t>of</w:t>
      </w:r>
      <w:r>
        <w:rPr>
          <w:spacing w:val="-22"/>
        </w:rPr>
        <w:t> </w:t>
      </w:r>
      <w:r>
        <w:rPr/>
        <w:t>Viruses.</w:t>
      </w:r>
      <w:r>
        <w:rPr>
          <w:spacing w:val="-8"/>
        </w:rPr>
        <w:t> </w:t>
      </w:r>
      <w:r>
        <w:rPr/>
        <w:t>Academic</w:t>
      </w:r>
      <w:r>
        <w:rPr>
          <w:spacing w:val="-15"/>
        </w:rPr>
        <w:t> </w:t>
      </w:r>
      <w:r>
        <w:rPr/>
        <w:t>Press,</w:t>
      </w:r>
      <w:r>
        <w:rPr>
          <w:spacing w:val="-12"/>
        </w:rPr>
        <w:t> </w:t>
      </w:r>
      <w:r>
        <w:rPr/>
        <w:t>New York. P.p</w:t>
      </w:r>
      <w:r>
        <w:rPr>
          <w:spacing w:val="1"/>
        </w:rPr>
        <w:t> </w:t>
      </w:r>
      <w:r>
        <w:rPr/>
        <w:t>499-507.</w:t>
      </w:r>
    </w:p>
    <w:p>
      <w:pPr>
        <w:pStyle w:val="BodyText"/>
        <w:spacing w:line="360" w:lineRule="auto" w:before="4"/>
        <w:ind w:left="863" w:right="121" w:hanging="711"/>
        <w:jc w:val="both"/>
      </w:pPr>
      <w:r>
        <w:rPr/>
        <w:t>Kinkelin P, Dorson M. (1973): Interferon production in rainbow trout (</w:t>
      </w:r>
      <w:r>
        <w:rPr>
          <w:i/>
        </w:rPr>
        <w:t>Salmo gairdneri</w:t>
      </w:r>
      <w:r>
        <w:rPr/>
        <w:t>) experimentally infected with Egtved virus. J of General Virology. 19: 125-127.</w:t>
      </w:r>
    </w:p>
    <w:p>
      <w:pPr>
        <w:pStyle w:val="BodyText"/>
        <w:spacing w:line="360" w:lineRule="auto" w:before="8"/>
        <w:ind w:left="863" w:right="120" w:hanging="711"/>
        <w:jc w:val="both"/>
      </w:pPr>
      <w:r>
        <w:rPr/>
        <w:t>Kodama H, Matsuoka Y, Tanaka Y, </w:t>
      </w:r>
      <w:r>
        <w:rPr>
          <w:spacing w:val="-5"/>
        </w:rPr>
        <w:t>Liu </w:t>
      </w:r>
      <w:r>
        <w:rPr/>
        <w:t>Y, Iwasaki T, Watarai S. (2004): Changes of C- reactive</w:t>
      </w:r>
      <w:r>
        <w:rPr>
          <w:spacing w:val="-6"/>
        </w:rPr>
        <w:t> </w:t>
      </w:r>
      <w:r>
        <w:rPr/>
        <w:t>protein</w:t>
      </w:r>
      <w:r>
        <w:rPr>
          <w:spacing w:val="-5"/>
        </w:rPr>
        <w:t> </w:t>
      </w:r>
      <w:r>
        <w:rPr/>
        <w:t>levels</w:t>
      </w:r>
      <w:r>
        <w:rPr>
          <w:spacing w:val="-3"/>
        </w:rPr>
        <w:t> in</w:t>
      </w:r>
      <w:r>
        <w:rPr>
          <w:spacing w:val="-6"/>
        </w:rPr>
        <w:t> </w:t>
      </w:r>
      <w:r>
        <w:rPr/>
        <w:t>rainbow</w:t>
      </w:r>
      <w:r>
        <w:rPr>
          <w:spacing w:val="-5"/>
        </w:rPr>
        <w:t> </w:t>
      </w:r>
      <w:r>
        <w:rPr/>
        <w:t>trout</w:t>
      </w:r>
      <w:r>
        <w:rPr>
          <w:spacing w:val="-5"/>
        </w:rPr>
        <w:t> </w:t>
      </w:r>
      <w:r>
        <w:rPr/>
        <w:t>(</w:t>
      </w:r>
      <w:r>
        <w:rPr>
          <w:i/>
        </w:rPr>
        <w:t>Oncorhynchus</w:t>
      </w:r>
      <w:r>
        <w:rPr>
          <w:i/>
          <w:spacing w:val="-7"/>
        </w:rPr>
        <w:t> </w:t>
      </w:r>
      <w:r>
        <w:rPr>
          <w:i/>
        </w:rPr>
        <w:t>mykiss</w:t>
      </w:r>
      <w:r>
        <w:rPr/>
        <w:t>)</w:t>
      </w:r>
      <w:r>
        <w:rPr>
          <w:spacing w:val="-4"/>
        </w:rPr>
        <w:t> </w:t>
      </w:r>
      <w:r>
        <w:rPr/>
        <w:t>sera</w:t>
      </w:r>
      <w:r>
        <w:rPr>
          <w:spacing w:val="-6"/>
        </w:rPr>
        <w:t> </w:t>
      </w:r>
      <w:r>
        <w:rPr/>
        <w:t>after</w:t>
      </w:r>
      <w:r>
        <w:rPr>
          <w:spacing w:val="-4"/>
        </w:rPr>
        <w:t> </w:t>
      </w:r>
      <w:r>
        <w:rPr/>
        <w:t>exposure</w:t>
      </w:r>
      <w:r>
        <w:rPr>
          <w:spacing w:val="-6"/>
        </w:rPr>
        <w:t> </w:t>
      </w:r>
      <w:r>
        <w:rPr/>
        <w:t>to anti-ectoparasitic chemicals used </w:t>
      </w:r>
      <w:r>
        <w:rPr>
          <w:spacing w:val="-3"/>
        </w:rPr>
        <w:t>in </w:t>
      </w:r>
      <w:r>
        <w:rPr/>
        <w:t>aquaculture. Fish &amp; shellfish immunology. 16: 589-597.</w:t>
      </w:r>
    </w:p>
    <w:p>
      <w:pPr>
        <w:pStyle w:val="BodyText"/>
        <w:spacing w:line="360" w:lineRule="auto" w:before="8"/>
        <w:ind w:left="863" w:right="133" w:hanging="711"/>
        <w:jc w:val="both"/>
      </w:pPr>
      <w:r>
        <w:rPr/>
        <w:t>Komatsu T, K Takeuchi, Yokoo J, Tanaka Y, Gotoh B. (2000): Sendai virus blocks alpha interferon signaling to signal transducers and activators of transcription. J. Virol. 74:2477-2480.</w:t>
      </w:r>
    </w:p>
    <w:p>
      <w:pPr>
        <w:pStyle w:val="BodyText"/>
        <w:spacing w:line="362" w:lineRule="auto" w:before="4"/>
        <w:ind w:left="863" w:right="138" w:hanging="711"/>
        <w:jc w:val="both"/>
      </w:pPr>
      <w:r>
        <w:rPr/>
        <w:t>Kotenko SV. (2003): IFN-λs mediate antiviral protection through a distinct class</w:t>
      </w:r>
      <w:r>
        <w:rPr>
          <w:spacing w:val="-41"/>
        </w:rPr>
        <w:t> </w:t>
      </w:r>
      <w:r>
        <w:rPr/>
        <w:t>II cytokine receptor complex. Nature Immunol. 4:</w:t>
      </w:r>
      <w:r>
        <w:rPr>
          <w:spacing w:val="-10"/>
        </w:rPr>
        <w:t> </w:t>
      </w:r>
      <w:r>
        <w:rPr/>
        <w:t>69-77.</w:t>
      </w:r>
    </w:p>
    <w:p>
      <w:pPr>
        <w:pStyle w:val="BodyText"/>
        <w:spacing w:line="360" w:lineRule="auto" w:before="1"/>
        <w:ind w:left="863" w:right="116" w:hanging="711"/>
        <w:jc w:val="both"/>
      </w:pPr>
      <w:r>
        <w:rPr/>
        <w:t>Kraffe E, Marty Y, Guderley H. (2007): Changes in mitochondrial oxidative capacities during thermal acclimation of rainbow trout </w:t>
      </w:r>
      <w:r>
        <w:rPr>
          <w:i/>
        </w:rPr>
        <w:t>Oncorhynchus mykiss</w:t>
      </w:r>
      <w:r>
        <w:rPr/>
        <w:t>: roles of membrane proteins, phospholipids and their fatty acid compositions. J of Experimental Biology. 210: 149-165.</w:t>
      </w:r>
    </w:p>
    <w:p>
      <w:pPr>
        <w:pStyle w:val="BodyText"/>
        <w:spacing w:line="360" w:lineRule="auto" w:before="4"/>
        <w:ind w:left="863" w:right="135" w:hanging="711"/>
        <w:jc w:val="both"/>
      </w:pPr>
      <w:r>
        <w:rPr/>
        <w:t>Krause</w:t>
      </w:r>
      <w:r>
        <w:rPr>
          <w:spacing w:val="-2"/>
        </w:rPr>
        <w:t> </w:t>
      </w:r>
      <w:r>
        <w:rPr/>
        <w:t>CD, HeW,</w:t>
      </w:r>
      <w:r>
        <w:rPr>
          <w:spacing w:val="1"/>
        </w:rPr>
        <w:t> </w:t>
      </w:r>
      <w:r>
        <w:rPr/>
        <w:t>Kotenko</w:t>
      </w:r>
      <w:r>
        <w:rPr>
          <w:spacing w:val="-1"/>
        </w:rPr>
        <w:t> </w:t>
      </w:r>
      <w:r>
        <w:rPr/>
        <w:t>S,</w:t>
      </w:r>
      <w:r>
        <w:rPr>
          <w:spacing w:val="-4"/>
        </w:rPr>
        <w:t> </w:t>
      </w:r>
      <w:r>
        <w:rPr/>
        <w:t>Pestka</w:t>
      </w:r>
      <w:r>
        <w:rPr>
          <w:spacing w:val="-7"/>
        </w:rPr>
        <w:t> </w:t>
      </w:r>
      <w:r>
        <w:rPr/>
        <w:t>S.</w:t>
      </w:r>
      <w:r>
        <w:rPr>
          <w:spacing w:val="-4"/>
        </w:rPr>
        <w:t> </w:t>
      </w:r>
      <w:r>
        <w:rPr/>
        <w:t>(2006):</w:t>
      </w:r>
      <w:r>
        <w:rPr>
          <w:spacing w:val="-6"/>
        </w:rPr>
        <w:t> </w:t>
      </w:r>
      <w:r>
        <w:rPr/>
        <w:t>Modulation</w:t>
      </w:r>
      <w:r>
        <w:rPr>
          <w:spacing w:val="-6"/>
        </w:rPr>
        <w:t> </w:t>
      </w:r>
      <w:r>
        <w:rPr/>
        <w:t>of</w:t>
      </w:r>
      <w:r>
        <w:rPr>
          <w:spacing w:val="-13"/>
        </w:rPr>
        <w:t> </w:t>
      </w:r>
      <w:r>
        <w:rPr/>
        <w:t>the</w:t>
      </w:r>
      <w:r>
        <w:rPr>
          <w:spacing w:val="-2"/>
        </w:rPr>
        <w:t> </w:t>
      </w:r>
      <w:r>
        <w:rPr/>
        <w:t>activation</w:t>
      </w:r>
      <w:r>
        <w:rPr>
          <w:spacing w:val="-6"/>
        </w:rPr>
        <w:t> </w:t>
      </w:r>
      <w:r>
        <w:rPr/>
        <w:t>of</w:t>
      </w:r>
      <w:r>
        <w:rPr>
          <w:spacing w:val="-9"/>
        </w:rPr>
        <w:t> </w:t>
      </w:r>
      <w:r>
        <w:rPr/>
        <w:t>Stat1</w:t>
      </w:r>
      <w:r>
        <w:rPr>
          <w:spacing w:val="-6"/>
        </w:rPr>
        <w:t> </w:t>
      </w:r>
      <w:r>
        <w:rPr/>
        <w:t>by</w:t>
      </w:r>
      <w:r>
        <w:rPr>
          <w:spacing w:val="-11"/>
        </w:rPr>
        <w:t> </w:t>
      </w:r>
      <w:r>
        <w:rPr/>
        <w:t>the interferon-γ receptor complex. Cell research. 16:</w:t>
      </w:r>
      <w:r>
        <w:rPr>
          <w:spacing w:val="-17"/>
        </w:rPr>
        <w:t> </w:t>
      </w:r>
      <w:r>
        <w:rPr/>
        <w:t>113-123.</w:t>
      </w:r>
    </w:p>
    <w:p>
      <w:pPr>
        <w:pStyle w:val="BodyText"/>
        <w:spacing w:line="362" w:lineRule="auto" w:before="4"/>
        <w:ind w:left="863" w:right="124" w:hanging="711"/>
        <w:jc w:val="both"/>
      </w:pPr>
      <w:r>
        <w:rPr/>
        <w:t>Kuznar J, Soler M, Farias G, Espinoza JC. (1995): Attachment and entry of infectious pancreatic necrosis virus (IPNV) into CHSE-214 cells. Arch. Virol. 140:1833-1840.</w:t>
      </w:r>
    </w:p>
    <w:p>
      <w:pPr>
        <w:pStyle w:val="BodyText"/>
        <w:spacing w:line="360" w:lineRule="auto" w:before="1"/>
        <w:ind w:left="863" w:right="127" w:hanging="711"/>
        <w:jc w:val="both"/>
      </w:pPr>
      <w:r>
        <w:rPr/>
        <w:t>Larsen</w:t>
      </w:r>
      <w:r>
        <w:rPr>
          <w:spacing w:val="-21"/>
        </w:rPr>
        <w:t> </w:t>
      </w:r>
      <w:r>
        <w:rPr/>
        <w:t>R,</w:t>
      </w:r>
      <w:r>
        <w:rPr>
          <w:spacing w:val="-14"/>
        </w:rPr>
        <w:t> </w:t>
      </w:r>
      <w:r>
        <w:rPr/>
        <w:t>Røkenes</w:t>
      </w:r>
      <w:r>
        <w:rPr>
          <w:spacing w:val="-18"/>
        </w:rPr>
        <w:t> </w:t>
      </w:r>
      <w:r>
        <w:rPr/>
        <w:t>TP,</w:t>
      </w:r>
      <w:r>
        <w:rPr>
          <w:spacing w:val="-14"/>
        </w:rPr>
        <w:t> </w:t>
      </w:r>
      <w:r>
        <w:rPr/>
        <w:t>Robertsen</w:t>
      </w:r>
      <w:r>
        <w:rPr>
          <w:spacing w:val="-20"/>
        </w:rPr>
        <w:t> </w:t>
      </w:r>
      <w:r>
        <w:rPr/>
        <w:t>B.</w:t>
      </w:r>
      <w:r>
        <w:rPr>
          <w:spacing w:val="-14"/>
        </w:rPr>
        <w:t> </w:t>
      </w:r>
      <w:r>
        <w:rPr/>
        <w:t>(2004):</w:t>
      </w:r>
      <w:r>
        <w:rPr>
          <w:spacing w:val="-20"/>
        </w:rPr>
        <w:t> </w:t>
      </w:r>
      <w:r>
        <w:rPr/>
        <w:t>Inhibition</w:t>
      </w:r>
      <w:r>
        <w:rPr>
          <w:spacing w:val="-20"/>
        </w:rPr>
        <w:t> </w:t>
      </w:r>
      <w:r>
        <w:rPr/>
        <w:t>of</w:t>
      </w:r>
      <w:r>
        <w:rPr>
          <w:spacing w:val="-20"/>
        </w:rPr>
        <w:t> </w:t>
      </w:r>
      <w:r>
        <w:rPr/>
        <w:t>infectious</w:t>
      </w:r>
      <w:r>
        <w:rPr>
          <w:spacing w:val="-17"/>
        </w:rPr>
        <w:t> </w:t>
      </w:r>
      <w:r>
        <w:rPr/>
        <w:t>pancreatic</w:t>
      </w:r>
      <w:r>
        <w:rPr>
          <w:spacing w:val="-16"/>
        </w:rPr>
        <w:t> </w:t>
      </w:r>
      <w:r>
        <w:rPr/>
        <w:t>necrosis</w:t>
      </w:r>
      <w:r>
        <w:rPr>
          <w:spacing w:val="-13"/>
        </w:rPr>
        <w:t> </w:t>
      </w:r>
      <w:r>
        <w:rPr/>
        <w:t>virus replication by Atlantic salmon Mx1 protein. J virology. 78:</w:t>
      </w:r>
      <w:r>
        <w:rPr>
          <w:spacing w:val="-23"/>
        </w:rPr>
        <w:t> </w:t>
      </w:r>
      <w:r>
        <w:rPr/>
        <w:t>7938-7944.</w:t>
      </w:r>
    </w:p>
    <w:p>
      <w:pPr>
        <w:spacing w:after="0" w:line="360" w:lineRule="auto"/>
        <w:jc w:val="both"/>
        <w:sectPr>
          <w:pgSz w:w="12240" w:h="15840"/>
          <w:pgMar w:header="0" w:footer="1382" w:top="1500" w:bottom="1580" w:left="1720" w:right="1400"/>
        </w:sectPr>
      </w:pPr>
    </w:p>
    <w:p>
      <w:pPr>
        <w:pStyle w:val="BodyText"/>
        <w:spacing w:before="7"/>
        <w:rPr>
          <w:sz w:val="25"/>
        </w:rPr>
      </w:pPr>
    </w:p>
    <w:p>
      <w:pPr>
        <w:pStyle w:val="BodyText"/>
        <w:spacing w:line="360" w:lineRule="auto" w:before="70"/>
        <w:ind w:left="863" w:right="117" w:hanging="711"/>
        <w:jc w:val="both"/>
      </w:pPr>
      <w:r>
        <w:rPr/>
        <w:t>Lauksund, S (2004): Induction of Atlantic salmon type I interferon and antagonism by infectious pancreatic necrosis virus. A dissertation for the degree of Philosophiae Doctor- January 2014.</w:t>
      </w:r>
    </w:p>
    <w:p>
      <w:pPr>
        <w:pStyle w:val="BodyText"/>
        <w:spacing w:line="360" w:lineRule="auto" w:before="8"/>
        <w:ind w:left="863" w:right="100" w:hanging="711"/>
        <w:jc w:val="both"/>
      </w:pPr>
      <w:r>
        <w:rPr/>
        <w:t>Lawrence, C. (2007): The husbandry of zebrafish (</w:t>
      </w:r>
      <w:r>
        <w:rPr>
          <w:i/>
        </w:rPr>
        <w:t>Danio rerio</w:t>
      </w:r>
      <w:r>
        <w:rPr/>
        <w:t>): a review.Aquaculture. 269: 1-20.</w:t>
      </w:r>
    </w:p>
    <w:p>
      <w:pPr>
        <w:pStyle w:val="BodyText"/>
        <w:spacing w:line="360" w:lineRule="auto" w:before="4"/>
        <w:ind w:left="863" w:right="120" w:hanging="711"/>
        <w:jc w:val="both"/>
      </w:pPr>
      <w:r>
        <w:rPr/>
        <w:t>Lee NS, Nomura Y, Miyazaki T. (1999): Gill lamellar pillar cell necrosis, a new birnavirusdisease in Japanese eels. Dis. Aquat. Org. 37:13-21.</w:t>
      </w:r>
    </w:p>
    <w:p>
      <w:pPr>
        <w:pStyle w:val="BodyText"/>
        <w:spacing w:line="360" w:lineRule="auto" w:before="4"/>
        <w:ind w:left="863" w:right="101" w:hanging="711"/>
        <w:jc w:val="both"/>
      </w:pPr>
      <w:r>
        <w:rPr/>
        <w:t>Lesinski GB, Zimmerer JM, Kreiner M, Trefry J, Bill MA, Young GS, Carson WE. (2010): Modulation of SOCS protein expression influences the interferon responsiveness of human melanoma cells. BMC cancer. 10: 142-152.</w:t>
      </w:r>
    </w:p>
    <w:p>
      <w:pPr>
        <w:pStyle w:val="BodyText"/>
        <w:spacing w:line="360" w:lineRule="auto" w:before="4"/>
        <w:ind w:left="863" w:right="108" w:hanging="711"/>
        <w:jc w:val="both"/>
      </w:pPr>
      <w:r>
        <w:rPr/>
        <w:t>Leu JH, Yan SJ, Lee TF, Chou CM, Chen ST, </w:t>
      </w:r>
      <w:r>
        <w:rPr>
          <w:spacing w:val="-3"/>
        </w:rPr>
        <w:t>Hwang </w:t>
      </w:r>
      <w:r>
        <w:rPr/>
        <w:t>PP, Chou </w:t>
      </w:r>
      <w:r>
        <w:rPr>
          <w:spacing w:val="-3"/>
        </w:rPr>
        <w:t>CK, </w:t>
      </w:r>
      <w:r>
        <w:rPr/>
        <w:t>Huang CJ. (2000): Complete</w:t>
      </w:r>
      <w:r>
        <w:rPr>
          <w:spacing w:val="-9"/>
        </w:rPr>
        <w:t> </w:t>
      </w:r>
      <w:r>
        <w:rPr/>
        <w:t>genomic</w:t>
      </w:r>
      <w:r>
        <w:rPr>
          <w:spacing w:val="-9"/>
        </w:rPr>
        <w:t> </w:t>
      </w:r>
      <w:r>
        <w:rPr/>
        <w:t>organization</w:t>
      </w:r>
      <w:r>
        <w:rPr>
          <w:spacing w:val="-13"/>
        </w:rPr>
        <w:t> </w:t>
      </w:r>
      <w:r>
        <w:rPr/>
        <w:t>and</w:t>
      </w:r>
      <w:r>
        <w:rPr>
          <w:spacing w:val="-8"/>
        </w:rPr>
        <w:t> </w:t>
      </w:r>
      <w:r>
        <w:rPr/>
        <w:t>promoter</w:t>
      </w:r>
      <w:r>
        <w:rPr>
          <w:spacing w:val="-11"/>
        </w:rPr>
        <w:t> </w:t>
      </w:r>
      <w:r>
        <w:rPr/>
        <w:t>analysis</w:t>
      </w:r>
      <w:r>
        <w:rPr>
          <w:spacing w:val="-10"/>
        </w:rPr>
        <w:t> </w:t>
      </w:r>
      <w:r>
        <w:rPr/>
        <w:t>of</w:t>
      </w:r>
      <w:r>
        <w:rPr>
          <w:spacing w:val="-15"/>
        </w:rPr>
        <w:t> </w:t>
      </w:r>
      <w:r>
        <w:rPr/>
        <w:t>the</w:t>
      </w:r>
      <w:r>
        <w:rPr>
          <w:spacing w:val="-9"/>
        </w:rPr>
        <w:t> </w:t>
      </w:r>
      <w:r>
        <w:rPr/>
        <w:t>roundspotted</w:t>
      </w:r>
      <w:r>
        <w:rPr>
          <w:spacing w:val="-13"/>
        </w:rPr>
        <w:t> </w:t>
      </w:r>
      <w:r>
        <w:rPr/>
        <w:t>pufferfish JAK1, JAK2, JAK3, and TYK2 genes. DNA and Cell</w:t>
      </w:r>
      <w:r>
        <w:rPr>
          <w:spacing w:val="-22"/>
        </w:rPr>
        <w:t> </w:t>
      </w:r>
      <w:r>
        <w:rPr/>
        <w:t>Biology.19:431-446.</w:t>
      </w:r>
    </w:p>
    <w:p>
      <w:pPr>
        <w:pStyle w:val="BodyText"/>
        <w:spacing w:line="360" w:lineRule="auto" w:before="4"/>
        <w:ind w:left="863" w:right="100" w:hanging="711"/>
        <w:jc w:val="both"/>
      </w:pPr>
      <w:r>
        <w:rPr/>
        <w:t>Leu J-H, Chang M-S, Yao C-W, Chou C-K, Chen S-T, Huang C-J.(1998): Genomic organization and characterization of the promoter region of the roundspotted pufferfish (</w:t>
      </w:r>
      <w:r>
        <w:rPr>
          <w:i/>
        </w:rPr>
        <w:t>Tetraodon fluviatilis</w:t>
      </w:r>
      <w:r>
        <w:rPr/>
        <w:t>) JAK1 kinase gene. Biochimica et Biophysica Acta (BBA) - Gene Structure and Expression. 1395: 50-56.</w:t>
      </w:r>
    </w:p>
    <w:p>
      <w:pPr>
        <w:pStyle w:val="BodyText"/>
        <w:spacing w:before="4"/>
        <w:ind w:left="152"/>
      </w:pPr>
      <w:r>
        <w:rPr/>
        <w:t>Lieschke GJ, Trede NS. (2009): Fish immunology. Current Biology.19: 678-682.</w:t>
      </w:r>
    </w:p>
    <w:p>
      <w:pPr>
        <w:pStyle w:val="BodyText"/>
        <w:spacing w:line="360" w:lineRule="auto" w:before="137"/>
        <w:ind w:left="863" w:right="104" w:hanging="711"/>
        <w:jc w:val="both"/>
      </w:pPr>
      <w:r>
        <w:rPr/>
        <w:t>Ling-Jun H, Li-Feng, H. (2005): Dengue Virus Type 2 Antagonizes IFN-α but Not IFN-γ Antiviral</w:t>
      </w:r>
      <w:r>
        <w:rPr>
          <w:spacing w:val="-20"/>
        </w:rPr>
        <w:t> </w:t>
      </w:r>
      <w:r>
        <w:rPr/>
        <w:t>Effect</w:t>
      </w:r>
      <w:r>
        <w:rPr>
          <w:spacing w:val="-7"/>
        </w:rPr>
        <w:t> </w:t>
      </w:r>
      <w:r>
        <w:rPr/>
        <w:t>via</w:t>
      </w:r>
      <w:r>
        <w:rPr>
          <w:spacing w:val="-12"/>
        </w:rPr>
        <w:t> </w:t>
      </w:r>
      <w:r>
        <w:rPr/>
        <w:t>Down-Regulating</w:t>
      </w:r>
      <w:r>
        <w:rPr>
          <w:spacing w:val="-12"/>
        </w:rPr>
        <w:t> </w:t>
      </w:r>
      <w:r>
        <w:rPr/>
        <w:t>Tyk2-STAT</w:t>
      </w:r>
      <w:r>
        <w:rPr>
          <w:spacing w:val="-5"/>
        </w:rPr>
        <w:t> </w:t>
      </w:r>
      <w:r>
        <w:rPr/>
        <w:t>Signaling</w:t>
      </w:r>
      <w:r>
        <w:rPr>
          <w:spacing w:val="-7"/>
        </w:rPr>
        <w:t> </w:t>
      </w:r>
      <w:r>
        <w:rPr>
          <w:spacing w:val="-3"/>
        </w:rPr>
        <w:t>in</w:t>
      </w:r>
      <w:r>
        <w:rPr>
          <w:spacing w:val="-15"/>
        </w:rPr>
        <w:t> </w:t>
      </w:r>
      <w:r>
        <w:rPr/>
        <w:t>the</w:t>
      </w:r>
      <w:r>
        <w:rPr>
          <w:spacing w:val="-12"/>
        </w:rPr>
        <w:t> </w:t>
      </w:r>
      <w:r>
        <w:rPr/>
        <w:t>Human</w:t>
      </w:r>
      <w:r>
        <w:rPr>
          <w:spacing w:val="-15"/>
        </w:rPr>
        <w:t> </w:t>
      </w:r>
      <w:r>
        <w:rPr/>
        <w:t>Dendritic Cells. The Journal of Immunology. 174:</w:t>
      </w:r>
      <w:r>
        <w:rPr>
          <w:spacing w:val="-17"/>
        </w:rPr>
        <w:t> </w:t>
      </w:r>
      <w:r>
        <w:rPr/>
        <w:t>8163-8172.</w:t>
      </w:r>
    </w:p>
    <w:p>
      <w:pPr>
        <w:pStyle w:val="BodyText"/>
        <w:spacing w:line="360" w:lineRule="auto" w:before="4"/>
        <w:ind w:left="863" w:right="101" w:hanging="711"/>
        <w:jc w:val="both"/>
      </w:pPr>
      <w:r>
        <w:rPr>
          <w:spacing w:val="-3"/>
        </w:rPr>
        <w:t>Liu</w:t>
      </w:r>
      <w:r>
        <w:rPr>
          <w:spacing w:val="-1"/>
        </w:rPr>
        <w:t> </w:t>
      </w:r>
      <w:r>
        <w:rPr>
          <w:spacing w:val="-3"/>
        </w:rPr>
        <w:t>W.</w:t>
      </w:r>
      <w:r>
        <w:rPr>
          <w:spacing w:val="-4"/>
        </w:rPr>
        <w:t> </w:t>
      </w:r>
      <w:r>
        <w:rPr/>
        <w:t>Wang</w:t>
      </w:r>
      <w:r>
        <w:rPr>
          <w:spacing w:val="-6"/>
        </w:rPr>
        <w:t> </w:t>
      </w:r>
      <w:r>
        <w:rPr/>
        <w:t>JX</w:t>
      </w:r>
      <w:r>
        <w:rPr>
          <w:spacing w:val="-6"/>
        </w:rPr>
        <w:t> </w:t>
      </w:r>
      <w:r>
        <w:rPr/>
        <w:t>J,</w:t>
      </w:r>
      <w:r>
        <w:rPr>
          <w:spacing w:val="-4"/>
        </w:rPr>
        <w:t> </w:t>
      </w:r>
      <w:r>
        <w:rPr/>
        <w:t>Mokhonov</w:t>
      </w:r>
      <w:r>
        <w:rPr>
          <w:spacing w:val="-11"/>
        </w:rPr>
        <w:t> </w:t>
      </w:r>
      <w:r>
        <w:rPr/>
        <w:t>VV,</w:t>
      </w:r>
      <w:r>
        <w:rPr>
          <w:spacing w:val="-8"/>
        </w:rPr>
        <w:t> </w:t>
      </w:r>
      <w:r>
        <w:rPr/>
        <w:t>Shi</w:t>
      </w:r>
      <w:r>
        <w:rPr>
          <w:spacing w:val="-14"/>
        </w:rPr>
        <w:t> </w:t>
      </w:r>
      <w:r>
        <w:rPr/>
        <w:t>PY,</w:t>
      </w:r>
      <w:r>
        <w:rPr>
          <w:spacing w:val="-4"/>
        </w:rPr>
        <w:t> </w:t>
      </w:r>
      <w:r>
        <w:rPr/>
        <w:t>Randall</w:t>
      </w:r>
      <w:r>
        <w:rPr>
          <w:spacing w:val="-13"/>
        </w:rPr>
        <w:t> </w:t>
      </w:r>
      <w:r>
        <w:rPr/>
        <w:t>R,</w:t>
      </w:r>
      <w:r>
        <w:rPr>
          <w:spacing w:val="-4"/>
        </w:rPr>
        <w:t> </w:t>
      </w:r>
      <w:r>
        <w:rPr/>
        <w:t>Khromykh</w:t>
      </w:r>
      <w:r>
        <w:rPr>
          <w:spacing w:val="-11"/>
        </w:rPr>
        <w:t> </w:t>
      </w:r>
      <w:r>
        <w:rPr/>
        <w:t>AA.</w:t>
      </w:r>
      <w:r>
        <w:rPr>
          <w:spacing w:val="3"/>
        </w:rPr>
        <w:t> </w:t>
      </w:r>
      <w:r>
        <w:rPr/>
        <w:t>(2005):</w:t>
      </w:r>
      <w:r>
        <w:rPr>
          <w:spacing w:val="-10"/>
        </w:rPr>
        <w:t> </w:t>
      </w:r>
      <w:r>
        <w:rPr/>
        <w:t>Inhibition</w:t>
      </w:r>
      <w:r>
        <w:rPr>
          <w:spacing w:val="-11"/>
        </w:rPr>
        <w:t> </w:t>
      </w:r>
      <w:r>
        <w:rPr/>
        <w:t>of Interferon Signaling by the New York 99 Strain and Kunjin Subtype of West </w:t>
      </w:r>
      <w:r>
        <w:rPr>
          <w:spacing w:val="-3"/>
        </w:rPr>
        <w:t>Nile </w:t>
      </w:r>
      <w:r>
        <w:rPr/>
        <w:t>Virus Involves Blockage of STAT1 and STAT2 Activation by Nonstructural Proteins. J. Virol.</w:t>
      </w:r>
      <w:r>
        <w:rPr>
          <w:spacing w:val="-5"/>
        </w:rPr>
        <w:t> </w:t>
      </w:r>
      <w:r>
        <w:rPr/>
        <w:t>79</w:t>
      </w:r>
      <w:r>
        <w:rPr>
          <w:b/>
        </w:rPr>
        <w:t>:</w:t>
      </w:r>
      <w:r>
        <w:rPr/>
        <w:t>1934-1942.</w:t>
      </w:r>
    </w:p>
    <w:p>
      <w:pPr>
        <w:pStyle w:val="BodyText"/>
        <w:spacing w:line="345" w:lineRule="auto" w:before="4"/>
        <w:ind w:left="863" w:right="111" w:hanging="711"/>
        <w:jc w:val="both"/>
      </w:pPr>
      <w:r>
        <w:rPr/>
        <w:t>Livak</w:t>
      </w:r>
      <w:r>
        <w:rPr>
          <w:spacing w:val="-3"/>
        </w:rPr>
        <w:t> </w:t>
      </w:r>
      <w:r>
        <w:rPr/>
        <w:t>K</w:t>
      </w:r>
      <w:r>
        <w:rPr>
          <w:spacing w:val="-8"/>
        </w:rPr>
        <w:t> </w:t>
      </w:r>
      <w:r>
        <w:rPr/>
        <w:t>J,</w:t>
      </w:r>
      <w:r>
        <w:rPr>
          <w:spacing w:val="-1"/>
        </w:rPr>
        <w:t> </w:t>
      </w:r>
      <w:r>
        <w:rPr/>
        <w:t>Schmittgen, TD.</w:t>
      </w:r>
      <w:r>
        <w:rPr>
          <w:spacing w:val="-5"/>
        </w:rPr>
        <w:t> </w:t>
      </w:r>
      <w:r>
        <w:rPr/>
        <w:t>(2001):</w:t>
      </w:r>
      <w:r>
        <w:rPr>
          <w:spacing w:val="-6"/>
        </w:rPr>
        <w:t> </w:t>
      </w:r>
      <w:r>
        <w:rPr/>
        <w:t>Analysis</w:t>
      </w:r>
      <w:r>
        <w:rPr>
          <w:spacing w:val="-5"/>
        </w:rPr>
        <w:t> </w:t>
      </w:r>
      <w:r>
        <w:rPr/>
        <w:t>of</w:t>
      </w:r>
      <w:r>
        <w:rPr>
          <w:spacing w:val="-11"/>
        </w:rPr>
        <w:t> </w:t>
      </w:r>
      <w:r>
        <w:rPr/>
        <w:t>Relative</w:t>
      </w:r>
      <w:r>
        <w:rPr>
          <w:spacing w:val="-4"/>
        </w:rPr>
        <w:t> </w:t>
      </w:r>
      <w:r>
        <w:rPr/>
        <w:t>Gene</w:t>
      </w:r>
      <w:r>
        <w:rPr>
          <w:spacing w:val="-3"/>
        </w:rPr>
        <w:t> </w:t>
      </w:r>
      <w:r>
        <w:rPr/>
        <w:t>Expression</w:t>
      </w:r>
      <w:r>
        <w:rPr>
          <w:spacing w:val="-7"/>
        </w:rPr>
        <w:t> </w:t>
      </w:r>
      <w:r>
        <w:rPr/>
        <w:t>Data</w:t>
      </w:r>
      <w:r>
        <w:rPr>
          <w:spacing w:val="-9"/>
        </w:rPr>
        <w:t> </w:t>
      </w:r>
      <w:r>
        <w:rPr/>
        <w:t>Using</w:t>
      </w:r>
      <w:r>
        <w:rPr>
          <w:spacing w:val="-2"/>
        </w:rPr>
        <w:t> </w:t>
      </w:r>
      <w:r>
        <w:rPr/>
        <w:t>Real- </w:t>
      </w:r>
      <w:r>
        <w:rPr>
          <w:spacing w:val="-3"/>
        </w:rPr>
        <w:t>Time </w:t>
      </w:r>
      <w:r>
        <w:rPr/>
        <w:t>Quantitative PCR and the 2</w:t>
      </w:r>
      <w:r>
        <w:rPr>
          <w:position w:val="9"/>
          <w:sz w:val="16"/>
        </w:rPr>
        <w:t>−ΔΔCT  </w:t>
      </w:r>
      <w:r>
        <w:rPr/>
        <w:t>Method. Methods: 25:</w:t>
      </w:r>
      <w:r>
        <w:rPr>
          <w:spacing w:val="-21"/>
        </w:rPr>
        <w:t> </w:t>
      </w:r>
      <w:r>
        <w:rPr/>
        <w:t>402-408.</w:t>
      </w:r>
    </w:p>
    <w:p>
      <w:pPr>
        <w:pStyle w:val="BodyText"/>
        <w:spacing w:line="362" w:lineRule="auto" w:before="11"/>
        <w:ind w:left="863" w:right="105" w:hanging="711"/>
        <w:jc w:val="both"/>
      </w:pPr>
      <w:r>
        <w:rPr/>
        <w:t>Lombardo E, Maraver </w:t>
      </w:r>
      <w:r>
        <w:rPr>
          <w:spacing w:val="-3"/>
        </w:rPr>
        <w:t>A, </w:t>
      </w:r>
      <w:r>
        <w:rPr/>
        <w:t>Castón JR, Rivera J, Fernández-Arias </w:t>
      </w:r>
      <w:r>
        <w:rPr>
          <w:spacing w:val="-3"/>
        </w:rPr>
        <w:t>A, </w:t>
      </w:r>
      <w:r>
        <w:rPr/>
        <w:t>Serrano </w:t>
      </w:r>
      <w:r>
        <w:rPr>
          <w:spacing w:val="-3"/>
        </w:rPr>
        <w:t>A, </w:t>
      </w:r>
      <w:r>
        <w:rPr/>
        <w:t>Carrascosa JL,  Rodríguez  </w:t>
      </w:r>
      <w:r>
        <w:rPr>
          <w:spacing w:val="-3"/>
        </w:rPr>
        <w:t>JF.  </w:t>
      </w:r>
      <w:r>
        <w:rPr/>
        <w:t>(1999): VP1, the putative RNA-dependent  RNA polymerase</w:t>
      </w:r>
      <w:r>
        <w:rPr>
          <w:spacing w:val="54"/>
        </w:rPr>
        <w:t> </w:t>
      </w:r>
      <w:r>
        <w:rPr/>
        <w:t>of</w:t>
      </w:r>
    </w:p>
    <w:p>
      <w:pPr>
        <w:spacing w:after="0" w:line="362" w:lineRule="auto"/>
        <w:jc w:val="both"/>
        <w:sectPr>
          <w:pgSz w:w="12240" w:h="15840"/>
          <w:pgMar w:header="0" w:footer="1382" w:top="1500" w:bottom="1580" w:left="1720" w:right="1420"/>
        </w:sectPr>
      </w:pPr>
    </w:p>
    <w:p>
      <w:pPr>
        <w:pStyle w:val="BodyText"/>
        <w:spacing w:before="7"/>
        <w:rPr>
          <w:sz w:val="25"/>
        </w:rPr>
      </w:pPr>
    </w:p>
    <w:p>
      <w:pPr>
        <w:pStyle w:val="BodyText"/>
        <w:spacing w:line="360" w:lineRule="auto" w:before="70"/>
        <w:ind w:left="863"/>
      </w:pPr>
      <w:r>
        <w:rPr/>
        <w:t>infectious bursal disease virus, forms complexes with the 139 capsid protein VP3, leading to efficient encapsidation into virus-like particles. J. Virol. 73: 6973-6983.</w:t>
      </w:r>
    </w:p>
    <w:p>
      <w:pPr>
        <w:pStyle w:val="BodyText"/>
        <w:spacing w:line="360" w:lineRule="auto" w:before="4"/>
        <w:ind w:left="863" w:right="101" w:hanging="711"/>
        <w:jc w:val="both"/>
      </w:pPr>
      <w:r>
        <w:rPr/>
        <w:t>López-Lastra M, M González, M Jashes, Sandino AM. (1994): A detection method for infectious pancreatic necrosis virus (IPNV) based on reverse transcription (RT)- polymerase chain reaction (PCR). J Fish Dis. 17: 269-282.</w:t>
      </w:r>
    </w:p>
    <w:p>
      <w:pPr>
        <w:pStyle w:val="BodyText"/>
        <w:spacing w:line="360" w:lineRule="auto" w:before="4"/>
        <w:ind w:left="863" w:right="109" w:hanging="711"/>
        <w:jc w:val="both"/>
      </w:pPr>
      <w:r>
        <w:rPr/>
        <w:t>Magyar</w:t>
      </w:r>
      <w:r>
        <w:rPr>
          <w:spacing w:val="-9"/>
        </w:rPr>
        <w:t> </w:t>
      </w:r>
      <w:r>
        <w:rPr/>
        <w:t>G,</w:t>
      </w:r>
      <w:r>
        <w:rPr>
          <w:spacing w:val="-4"/>
        </w:rPr>
        <w:t> </w:t>
      </w:r>
      <w:r>
        <w:rPr/>
        <w:t>y</w:t>
      </w:r>
      <w:r>
        <w:rPr>
          <w:spacing w:val="-19"/>
        </w:rPr>
        <w:t> </w:t>
      </w:r>
      <w:r>
        <w:rPr/>
        <w:t>Dobos</w:t>
      </w:r>
      <w:r>
        <w:rPr>
          <w:spacing w:val="-13"/>
        </w:rPr>
        <w:t> </w:t>
      </w:r>
      <w:r>
        <w:rPr/>
        <w:t>P.</w:t>
      </w:r>
      <w:r>
        <w:rPr>
          <w:spacing w:val="-9"/>
        </w:rPr>
        <w:t> </w:t>
      </w:r>
      <w:r>
        <w:rPr/>
        <w:t>(1994)</w:t>
      </w:r>
      <w:r>
        <w:rPr>
          <w:b/>
        </w:rPr>
        <w:t>:</w:t>
      </w:r>
      <w:r>
        <w:rPr>
          <w:b/>
          <w:spacing w:val="-9"/>
        </w:rPr>
        <w:t> </w:t>
      </w:r>
      <w:r>
        <w:rPr/>
        <w:t>Expression</w:t>
      </w:r>
      <w:r>
        <w:rPr>
          <w:spacing w:val="-15"/>
        </w:rPr>
        <w:t> </w:t>
      </w:r>
      <w:r>
        <w:rPr>
          <w:spacing w:val="4"/>
        </w:rPr>
        <w:t>of</w:t>
      </w:r>
      <w:r>
        <w:rPr>
          <w:spacing w:val="-14"/>
        </w:rPr>
        <w:t> </w:t>
      </w:r>
      <w:r>
        <w:rPr/>
        <w:t>infectious</w:t>
      </w:r>
      <w:r>
        <w:rPr>
          <w:spacing w:val="-13"/>
        </w:rPr>
        <w:t> </w:t>
      </w:r>
      <w:r>
        <w:rPr/>
        <w:t>pancreatic</w:t>
      </w:r>
      <w:r>
        <w:rPr>
          <w:spacing w:val="-12"/>
        </w:rPr>
        <w:t> </w:t>
      </w:r>
      <w:r>
        <w:rPr/>
        <w:t>necrosis</w:t>
      </w:r>
      <w:r>
        <w:rPr>
          <w:spacing w:val="-8"/>
        </w:rPr>
        <w:t> </w:t>
      </w:r>
      <w:r>
        <w:rPr/>
        <w:t>virus</w:t>
      </w:r>
      <w:r>
        <w:rPr>
          <w:spacing w:val="-13"/>
        </w:rPr>
        <w:t> </w:t>
      </w:r>
      <w:r>
        <w:rPr/>
        <w:t>polyprotein and  VP1  </w:t>
      </w:r>
      <w:r>
        <w:rPr>
          <w:spacing w:val="-3"/>
        </w:rPr>
        <w:t>in  </w:t>
      </w:r>
      <w:r>
        <w:rPr/>
        <w:t>insect  cells  and  the  detection  of  the   polyprotein   </w:t>
      </w:r>
      <w:r>
        <w:rPr>
          <w:spacing w:val="-3"/>
        </w:rPr>
        <w:t>in   </w:t>
      </w:r>
      <w:r>
        <w:rPr/>
        <w:t>purified virus. Virology. 198:</w:t>
      </w:r>
      <w:r>
        <w:rPr>
          <w:spacing w:val="-6"/>
        </w:rPr>
        <w:t> </w:t>
      </w:r>
      <w:r>
        <w:rPr/>
        <w:t>437-45.</w:t>
      </w:r>
    </w:p>
    <w:p>
      <w:pPr>
        <w:pStyle w:val="BodyText"/>
        <w:spacing w:line="360" w:lineRule="auto" w:before="8"/>
        <w:ind w:left="863" w:right="112" w:hanging="711"/>
        <w:jc w:val="both"/>
      </w:pPr>
      <w:r>
        <w:rPr/>
        <w:t>Maher SG, Romero-Weaver AL, Scarzello AJ, Gamero AM. (2007): Interferon: Cellular executioner or white knight? Current Medicinal Chemistry. 14: 1279-1289.</w:t>
      </w:r>
    </w:p>
    <w:p>
      <w:pPr>
        <w:pStyle w:val="BodyText"/>
        <w:spacing w:line="360" w:lineRule="auto" w:before="4"/>
        <w:ind w:left="152"/>
      </w:pPr>
      <w:r>
        <w:rPr/>
        <w:t>Marsh M, Helenius A. (1989): Virus entry into animal cells. Adv. Virus Res. 36: 107-151. Matsuo A, Oshiumi H, Tsujita T, Mitani H, Kasai H, Yoshimizu M, Seya T. (2008): Teleost</w:t>
      </w:r>
    </w:p>
    <w:p>
      <w:pPr>
        <w:pStyle w:val="BodyText"/>
        <w:spacing w:line="360" w:lineRule="auto" w:before="8"/>
        <w:ind w:left="863"/>
      </w:pPr>
      <w:r>
        <w:rPr/>
        <w:t>TLR22 recognizes RNA duplex to induce IFN and protect cells from birnaviruses. The J Immunology. 181: 3474-3485.</w:t>
      </w:r>
    </w:p>
    <w:p>
      <w:pPr>
        <w:pStyle w:val="BodyText"/>
        <w:spacing w:line="360" w:lineRule="auto" w:before="4"/>
        <w:ind w:left="863" w:right="111" w:hanging="711"/>
        <w:jc w:val="both"/>
      </w:pPr>
      <w:r>
        <w:rPr/>
        <w:t>McAllister PE, y Owens WJ. (1986): Infectious pancreatic necrosis virus: Protocol for a standard challenge to brook trout. Trans. Amer. Fish. Soc. 115: 466-470.</w:t>
      </w:r>
    </w:p>
    <w:p>
      <w:pPr>
        <w:pStyle w:val="BodyText"/>
        <w:spacing w:line="360" w:lineRule="auto" w:before="8"/>
        <w:ind w:left="863" w:right="106" w:hanging="711"/>
        <w:jc w:val="both"/>
      </w:pPr>
      <w:r>
        <w:rPr/>
        <w:t>McAllister PE. (1983): Infectious pancreatic necrosis virus (IPNV) of salmonids. U.S. Fish and Wildlife Service, Fish Disease Leaﬂet 65, Leetown, West Virginia.</w:t>
      </w:r>
    </w:p>
    <w:p>
      <w:pPr>
        <w:pStyle w:val="BodyText"/>
        <w:spacing w:line="360" w:lineRule="auto" w:before="4"/>
        <w:ind w:left="863" w:right="108" w:hanging="711"/>
        <w:jc w:val="both"/>
      </w:pPr>
      <w:r>
        <w:rPr/>
        <w:t>McGonigle, R H. (1941): Acute catarrhal enteritis of salmonid fingerlings. Transactions of the American Fisheries Society. 70:297-303.</w:t>
      </w:r>
    </w:p>
    <w:p>
      <w:pPr>
        <w:pStyle w:val="BodyText"/>
        <w:spacing w:line="360" w:lineRule="auto" w:before="8"/>
        <w:ind w:left="863" w:right="105" w:hanging="711"/>
        <w:jc w:val="both"/>
      </w:pPr>
      <w:r>
        <w:rPr/>
        <w:t>Mckenna B M, Fitzpatrick RM, Phenix KV, Todd D, Vaughan LM, Atkins GJ. (2001): Formation of infectious pancreatic necrosis virus-like particles following expression of segment A by recombinant Semliki Forest virus. Mar. Biotech. 3: 103-110.</w:t>
      </w:r>
    </w:p>
    <w:p>
      <w:pPr>
        <w:pStyle w:val="BodyText"/>
        <w:spacing w:line="360" w:lineRule="auto" w:before="4"/>
        <w:ind w:right="102"/>
        <w:jc w:val="right"/>
      </w:pPr>
      <w:r>
        <w:rPr/>
        <w:t>McKnight IJ, Roberts RJ. (1976): The pathology of infectious pancreatic necrosis. I. The sequential histopathology of the naturally occurring condition. Br. Vet. J. 132: 76-85. Mahgoub H A, Bailey M,  Kaiser P. (2012): An overview of infectious bursal disease. Arch</w:t>
      </w:r>
    </w:p>
    <w:p>
      <w:pPr>
        <w:pStyle w:val="BodyText"/>
        <w:spacing w:before="4"/>
        <w:ind w:left="863"/>
      </w:pPr>
      <w:r>
        <w:rPr/>
        <w:t>Virol. 157: 2047-2057.</w:t>
      </w:r>
    </w:p>
    <w:p>
      <w:pPr>
        <w:pStyle w:val="BodyText"/>
        <w:spacing w:line="362" w:lineRule="auto" w:before="137"/>
        <w:ind w:left="863" w:right="108" w:hanging="711"/>
        <w:jc w:val="both"/>
      </w:pPr>
      <w:r>
        <w:rPr/>
        <w:t>Moss LH, Gravell M. (1969): Ultrastructure and sequential development of infectious pancreatic necrosis virus. J virology. 3: 52-58.</w:t>
      </w:r>
    </w:p>
    <w:p>
      <w:pPr>
        <w:spacing w:after="0" w:line="362" w:lineRule="auto"/>
        <w:jc w:val="both"/>
        <w:sectPr>
          <w:pgSz w:w="12240" w:h="15840"/>
          <w:pgMar w:header="0" w:footer="1382" w:top="1500" w:bottom="1580" w:left="1720" w:right="1420"/>
        </w:sectPr>
      </w:pPr>
    </w:p>
    <w:p>
      <w:pPr>
        <w:pStyle w:val="BodyText"/>
        <w:spacing w:before="7"/>
        <w:rPr>
          <w:sz w:val="25"/>
        </w:rPr>
      </w:pPr>
    </w:p>
    <w:p>
      <w:pPr>
        <w:pStyle w:val="BodyText"/>
        <w:spacing w:line="360" w:lineRule="auto" w:before="70"/>
        <w:ind w:left="863" w:right="115" w:hanging="711"/>
        <w:jc w:val="both"/>
      </w:pPr>
      <w:r>
        <w:rPr/>
        <w:t>Mundt</w:t>
      </w:r>
      <w:r>
        <w:rPr>
          <w:spacing w:val="-10"/>
        </w:rPr>
        <w:t> </w:t>
      </w:r>
      <w:r>
        <w:rPr/>
        <w:t>E,</w:t>
      </w:r>
      <w:r>
        <w:rPr>
          <w:spacing w:val="-13"/>
        </w:rPr>
        <w:t> </w:t>
      </w:r>
      <w:r>
        <w:rPr/>
        <w:t>Beyer</w:t>
      </w:r>
      <w:r>
        <w:rPr>
          <w:spacing w:val="-14"/>
        </w:rPr>
        <w:t> </w:t>
      </w:r>
      <w:r>
        <w:rPr/>
        <w:t>J,</w:t>
      </w:r>
      <w:r>
        <w:rPr>
          <w:spacing w:val="-13"/>
        </w:rPr>
        <w:t> </w:t>
      </w:r>
      <w:r>
        <w:rPr/>
        <w:t>Muller</w:t>
      </w:r>
      <w:r>
        <w:rPr>
          <w:spacing w:val="-14"/>
        </w:rPr>
        <w:t> </w:t>
      </w:r>
      <w:r>
        <w:rPr/>
        <w:t>H.</w:t>
      </w:r>
      <w:r>
        <w:rPr>
          <w:spacing w:val="-14"/>
        </w:rPr>
        <w:t> </w:t>
      </w:r>
      <w:r>
        <w:rPr/>
        <w:t>(1995):</w:t>
      </w:r>
      <w:r>
        <w:rPr>
          <w:spacing w:val="-20"/>
        </w:rPr>
        <w:t> </w:t>
      </w:r>
      <w:r>
        <w:rPr/>
        <w:t>Identification</w:t>
      </w:r>
      <w:r>
        <w:rPr>
          <w:spacing w:val="-15"/>
        </w:rPr>
        <w:t> </w:t>
      </w:r>
      <w:r>
        <w:rPr/>
        <w:t>of</w:t>
      </w:r>
      <w:r>
        <w:rPr>
          <w:spacing w:val="-23"/>
        </w:rPr>
        <w:t> </w:t>
      </w:r>
      <w:r>
        <w:rPr/>
        <w:t>a</w:t>
      </w:r>
      <w:r>
        <w:rPr>
          <w:spacing w:val="-16"/>
        </w:rPr>
        <w:t> </w:t>
      </w:r>
      <w:r>
        <w:rPr/>
        <w:t>novel</w:t>
      </w:r>
      <w:r>
        <w:rPr>
          <w:spacing w:val="-15"/>
        </w:rPr>
        <w:t> </w:t>
      </w:r>
      <w:r>
        <w:rPr/>
        <w:t>viral</w:t>
      </w:r>
      <w:r>
        <w:rPr>
          <w:spacing w:val="-24"/>
        </w:rPr>
        <w:t> </w:t>
      </w:r>
      <w:r>
        <w:rPr/>
        <w:t>protein</w:t>
      </w:r>
      <w:r>
        <w:rPr>
          <w:spacing w:val="-15"/>
        </w:rPr>
        <w:t> </w:t>
      </w:r>
      <w:r>
        <w:rPr>
          <w:spacing w:val="-3"/>
        </w:rPr>
        <w:t>in</w:t>
      </w:r>
      <w:r>
        <w:rPr>
          <w:spacing w:val="-15"/>
        </w:rPr>
        <w:t> </w:t>
      </w:r>
      <w:r>
        <w:rPr/>
        <w:t>infectious</w:t>
      </w:r>
      <w:r>
        <w:rPr>
          <w:spacing w:val="-18"/>
        </w:rPr>
        <w:t> </w:t>
      </w:r>
      <w:r>
        <w:rPr/>
        <w:t>bursal disease virus-infected cells. J. Gen. Virol. 76:</w:t>
      </w:r>
      <w:r>
        <w:rPr>
          <w:spacing w:val="-18"/>
        </w:rPr>
        <w:t> </w:t>
      </w:r>
      <w:r>
        <w:rPr/>
        <w:t>437-443.</w:t>
      </w:r>
    </w:p>
    <w:p>
      <w:pPr>
        <w:pStyle w:val="BodyText"/>
        <w:spacing w:line="360" w:lineRule="auto" w:before="4"/>
        <w:ind w:left="863" w:right="101" w:hanging="711"/>
        <w:jc w:val="both"/>
      </w:pPr>
      <w:r>
        <w:rPr/>
        <w:t>Munoz-Jordan JL, Sanchez-Burgos GG,Laurent-Rolle M, Garcia-Sastre A. (2003): Inhibition of interferon signaling by dengue virus. Proc. Natl. Acad. Sci. 100:14333- 14338.</w:t>
      </w:r>
    </w:p>
    <w:p>
      <w:pPr>
        <w:pStyle w:val="BodyText"/>
        <w:spacing w:line="360" w:lineRule="auto" w:before="4"/>
        <w:ind w:left="863" w:right="101" w:hanging="711"/>
        <w:jc w:val="both"/>
      </w:pPr>
      <w:r>
        <w:rPr/>
        <w:t>Nikoskelainen S, Bylund G, Lilius EM. (2004): Effect of environmental temperature on rainbow trout (</w:t>
      </w:r>
      <w:r>
        <w:rPr>
          <w:i/>
        </w:rPr>
        <w:t>Oncorhynchus mykiss</w:t>
      </w:r>
      <w:r>
        <w:rPr/>
        <w:t>) innate immunity. Developmental &amp; Comparative Immunology. 28: 581-592.</w:t>
      </w:r>
    </w:p>
    <w:p>
      <w:pPr>
        <w:pStyle w:val="BodyText"/>
        <w:spacing w:line="360" w:lineRule="auto" w:before="8"/>
        <w:ind w:left="863" w:right="110" w:hanging="711"/>
        <w:jc w:val="both"/>
      </w:pPr>
      <w:r>
        <w:rPr/>
        <w:t>Noga E. (1996): Fish Disease: diagnosis and treatment. Mosby-year Book, Inc. St. Louis, Missouri.</w:t>
      </w:r>
    </w:p>
    <w:p>
      <w:pPr>
        <w:pStyle w:val="BodyText"/>
        <w:spacing w:line="360" w:lineRule="auto" w:before="4"/>
        <w:ind w:left="863" w:right="116" w:hanging="711"/>
        <w:jc w:val="both"/>
      </w:pPr>
      <w:r>
        <w:rPr/>
        <w:t>Novoa B, Barja JL, Figueras A. (1995): Entry and sequential distribution of an aquatic birnavirus in turbot (</w:t>
      </w:r>
      <w:r>
        <w:rPr>
          <w:i/>
        </w:rPr>
        <w:t>Scophthalmus maximus</w:t>
      </w:r>
      <w:r>
        <w:rPr/>
        <w:t>). Aquaculture. 131: 1-9.</w:t>
      </w:r>
    </w:p>
    <w:p>
      <w:pPr>
        <w:pStyle w:val="BodyText"/>
        <w:spacing w:line="360" w:lineRule="auto" w:before="8"/>
        <w:ind w:left="863" w:right="106" w:hanging="711"/>
        <w:jc w:val="both"/>
      </w:pPr>
      <w:r>
        <w:rPr/>
        <w:t>OIE</w:t>
      </w:r>
      <w:r>
        <w:rPr>
          <w:spacing w:val="-5"/>
        </w:rPr>
        <w:t> </w:t>
      </w:r>
      <w:r>
        <w:rPr/>
        <w:t>(World</w:t>
      </w:r>
      <w:r>
        <w:rPr>
          <w:spacing w:val="-7"/>
        </w:rPr>
        <w:t> </w:t>
      </w:r>
      <w:r>
        <w:rPr/>
        <w:t>Organisation</w:t>
      </w:r>
      <w:r>
        <w:rPr>
          <w:spacing w:val="-7"/>
        </w:rPr>
        <w:t> </w:t>
      </w:r>
      <w:r>
        <w:rPr/>
        <w:t>for</w:t>
      </w:r>
      <w:r>
        <w:rPr>
          <w:spacing w:val="-5"/>
        </w:rPr>
        <w:t> </w:t>
      </w:r>
      <w:r>
        <w:rPr/>
        <w:t>Animal</w:t>
      </w:r>
      <w:r>
        <w:rPr>
          <w:spacing w:val="-11"/>
        </w:rPr>
        <w:t> </w:t>
      </w:r>
      <w:r>
        <w:rPr/>
        <w:t>Health).</w:t>
      </w:r>
      <w:r>
        <w:rPr>
          <w:spacing w:val="-5"/>
        </w:rPr>
        <w:t> </w:t>
      </w:r>
      <w:r>
        <w:rPr/>
        <w:t>(2008):</w:t>
      </w:r>
      <w:r>
        <w:rPr>
          <w:spacing w:val="-6"/>
        </w:rPr>
        <w:t> </w:t>
      </w:r>
      <w:r>
        <w:rPr/>
        <w:t>Infectious</w:t>
      </w:r>
      <w:r>
        <w:rPr>
          <w:spacing w:val="-9"/>
        </w:rPr>
        <w:t> </w:t>
      </w:r>
      <w:r>
        <w:rPr/>
        <w:t>pancreatic</w:t>
      </w:r>
      <w:r>
        <w:rPr>
          <w:spacing w:val="-8"/>
        </w:rPr>
        <w:t> </w:t>
      </w:r>
      <w:r>
        <w:rPr/>
        <w:t>necrosis.</w:t>
      </w:r>
      <w:r>
        <w:rPr>
          <w:spacing w:val="4"/>
        </w:rPr>
        <w:t> </w:t>
      </w:r>
      <w:r>
        <w:rPr>
          <w:i/>
        </w:rPr>
        <w:t>In</w:t>
      </w:r>
      <w:r>
        <w:rPr>
          <w:i/>
          <w:spacing w:val="-7"/>
        </w:rPr>
        <w:t> </w:t>
      </w:r>
      <w:r>
        <w:rPr/>
        <w:t>OIE editor. Manual </w:t>
      </w:r>
      <w:r>
        <w:rPr>
          <w:spacing w:val="4"/>
        </w:rPr>
        <w:t>of </w:t>
      </w:r>
      <w:r>
        <w:rPr/>
        <w:t>diagnostic tests for aquatic animals, 4th edition. OIE, </w:t>
      </w:r>
      <w:r>
        <w:rPr>
          <w:spacing w:val="-3"/>
        </w:rPr>
        <w:t>Paris. </w:t>
      </w:r>
      <w:r>
        <w:rPr/>
        <w:t>142- 151</w:t>
      </w:r>
      <w:r>
        <w:rPr>
          <w:spacing w:val="2"/>
        </w:rPr>
        <w:t> </w:t>
      </w:r>
      <w:r>
        <w:rPr/>
        <w:t>pp.</w:t>
      </w:r>
    </w:p>
    <w:p>
      <w:pPr>
        <w:pStyle w:val="BodyText"/>
        <w:spacing w:line="362" w:lineRule="auto" w:before="4"/>
        <w:ind w:left="863" w:right="121" w:hanging="711"/>
        <w:jc w:val="both"/>
      </w:pPr>
      <w:r>
        <w:rPr/>
        <w:t>OIE (World Organization for Animal Health): 2006. Manual of diagnostic test for aquatic animals, 5th edition. OIE, Paris.</w:t>
      </w:r>
    </w:p>
    <w:p>
      <w:pPr>
        <w:pStyle w:val="BodyText"/>
        <w:spacing w:line="360" w:lineRule="auto" w:before="1"/>
        <w:ind w:left="863" w:right="112" w:hanging="711"/>
        <w:jc w:val="both"/>
      </w:pPr>
      <w:r>
        <w:rPr/>
        <w:t>OIE (Office International des Epizooties).2003: Infectious pancreatic necrosis. In: Diagnostic Manual for Aquatic Animal Diseases, 6th ed. Office International des Epizooties, Paris, Chap. 2.2.3. pp. 74-81.</w:t>
      </w:r>
    </w:p>
    <w:p>
      <w:pPr>
        <w:pStyle w:val="BodyText"/>
        <w:spacing w:line="360" w:lineRule="auto" w:before="8"/>
        <w:ind w:left="863" w:right="111" w:hanging="711"/>
        <w:jc w:val="both"/>
      </w:pPr>
      <w:r>
        <w:rPr/>
        <w:t>Ortega C, Rodríguez S, De las Heras A, Romero A, Monrás M, Enríquez R. (2011): Evaluation of the level of Mx3 protein synthesis induced by infectious pancreatic necrosis virus (IPNV) strains of different infectivity. Veterinary Immunology and Immunopathology. 141: 190-200.</w:t>
      </w:r>
    </w:p>
    <w:p>
      <w:pPr>
        <w:pStyle w:val="BodyText"/>
        <w:spacing w:line="360" w:lineRule="auto" w:before="8"/>
        <w:ind w:left="863" w:right="107" w:hanging="711"/>
        <w:jc w:val="both"/>
      </w:pPr>
      <w:r>
        <w:rPr/>
        <w:t>Ortega</w:t>
      </w:r>
      <w:r>
        <w:rPr>
          <w:spacing w:val="-17"/>
        </w:rPr>
        <w:t> </w:t>
      </w:r>
      <w:r>
        <w:rPr/>
        <w:t>S,</w:t>
      </w:r>
      <w:r>
        <w:rPr>
          <w:spacing w:val="-14"/>
        </w:rPr>
        <w:t> </w:t>
      </w:r>
      <w:r>
        <w:rPr/>
        <w:t>C.,</w:t>
      </w:r>
      <w:r>
        <w:rPr>
          <w:spacing w:val="-14"/>
        </w:rPr>
        <w:t> </w:t>
      </w:r>
      <w:r>
        <w:rPr/>
        <w:t>Rodríguez</w:t>
      </w:r>
      <w:r>
        <w:rPr>
          <w:spacing w:val="-17"/>
        </w:rPr>
        <w:t> </w:t>
      </w:r>
      <w:r>
        <w:rPr/>
        <w:t>S,</w:t>
      </w:r>
      <w:r>
        <w:rPr>
          <w:spacing w:val="-14"/>
        </w:rPr>
        <w:t> </w:t>
      </w:r>
      <w:r>
        <w:rPr/>
        <w:t>S.,</w:t>
      </w:r>
      <w:r>
        <w:rPr>
          <w:spacing w:val="-19"/>
        </w:rPr>
        <w:t> </w:t>
      </w:r>
      <w:r>
        <w:rPr/>
        <w:t>Espinoza,</w:t>
      </w:r>
      <w:r>
        <w:rPr>
          <w:spacing w:val="-14"/>
        </w:rPr>
        <w:t> </w:t>
      </w:r>
      <w:r>
        <w:rPr/>
        <w:t>J.</w:t>
      </w:r>
      <w:r>
        <w:rPr>
          <w:spacing w:val="-14"/>
        </w:rPr>
        <w:t> </w:t>
      </w:r>
      <w:r>
        <w:rPr/>
        <w:t>C.,</w:t>
      </w:r>
      <w:r>
        <w:rPr>
          <w:spacing w:val="-14"/>
        </w:rPr>
        <w:t> </w:t>
      </w:r>
      <w:r>
        <w:rPr/>
        <w:t>Kuznar,</w:t>
      </w:r>
      <w:r>
        <w:rPr>
          <w:spacing w:val="-14"/>
        </w:rPr>
        <w:t> </w:t>
      </w:r>
      <w:r>
        <w:rPr/>
        <w:t>J.,</w:t>
      </w:r>
      <w:r>
        <w:rPr>
          <w:spacing w:val="-19"/>
        </w:rPr>
        <w:t> </w:t>
      </w:r>
      <w:r>
        <w:rPr/>
        <w:t>Romero,</w:t>
      </w:r>
      <w:r>
        <w:rPr>
          <w:spacing w:val="-14"/>
        </w:rPr>
        <w:t> </w:t>
      </w:r>
      <w:r>
        <w:rPr/>
        <w:t>A.,</w:t>
      </w:r>
      <w:r>
        <w:rPr>
          <w:spacing w:val="-14"/>
        </w:rPr>
        <w:t> </w:t>
      </w:r>
      <w:r>
        <w:rPr/>
        <w:t>&amp;</w:t>
      </w:r>
      <w:r>
        <w:rPr>
          <w:spacing w:val="-21"/>
        </w:rPr>
        <w:t> </w:t>
      </w:r>
      <w:r>
        <w:rPr/>
        <w:t>Enríquez,</w:t>
      </w:r>
      <w:r>
        <w:rPr>
          <w:spacing w:val="-14"/>
        </w:rPr>
        <w:t> </w:t>
      </w:r>
      <w:r>
        <w:rPr/>
        <w:t>R.</w:t>
      </w:r>
      <w:r>
        <w:rPr>
          <w:spacing w:val="-14"/>
        </w:rPr>
        <w:t> </w:t>
      </w:r>
      <w:r>
        <w:rPr/>
        <w:t>(2014). Relationship between</w:t>
      </w:r>
      <w:r>
        <w:rPr>
          <w:spacing w:val="-7"/>
        </w:rPr>
        <w:t> </w:t>
      </w:r>
      <w:r>
        <w:rPr/>
        <w:t>apoptosis</w:t>
      </w:r>
      <w:r>
        <w:rPr>
          <w:spacing w:val="-7"/>
        </w:rPr>
        <w:t> </w:t>
      </w:r>
      <w:r>
        <w:rPr/>
        <w:t>and</w:t>
      </w:r>
      <w:r>
        <w:rPr>
          <w:spacing w:val="-5"/>
        </w:rPr>
        <w:t> </w:t>
      </w:r>
      <w:r>
        <w:rPr/>
        <w:t>the</w:t>
      </w:r>
      <w:r>
        <w:rPr>
          <w:spacing w:val="-1"/>
        </w:rPr>
        <w:t> </w:t>
      </w:r>
      <w:r>
        <w:rPr/>
        <w:t>BH2</w:t>
      </w:r>
      <w:r>
        <w:rPr>
          <w:spacing w:val="-5"/>
        </w:rPr>
        <w:t> </w:t>
      </w:r>
      <w:r>
        <w:rPr/>
        <w:t>domain</w:t>
      </w:r>
      <w:r>
        <w:rPr>
          <w:spacing w:val="-5"/>
        </w:rPr>
        <w:t> </w:t>
      </w:r>
      <w:r>
        <w:rPr/>
        <w:t>sequence</w:t>
      </w:r>
      <w:r>
        <w:rPr>
          <w:spacing w:val="-6"/>
        </w:rPr>
        <w:t> </w:t>
      </w:r>
      <w:r>
        <w:rPr>
          <w:spacing w:val="4"/>
        </w:rPr>
        <w:t>of</w:t>
      </w:r>
      <w:r>
        <w:rPr>
          <w:spacing w:val="-13"/>
        </w:rPr>
        <w:t> </w:t>
      </w:r>
      <w:r>
        <w:rPr/>
        <w:t>the</w:t>
      </w:r>
      <w:r>
        <w:rPr>
          <w:spacing w:val="-6"/>
        </w:rPr>
        <w:t> </w:t>
      </w:r>
      <w:r>
        <w:rPr/>
        <w:t>VP5</w:t>
      </w:r>
      <w:r>
        <w:rPr>
          <w:spacing w:val="-4"/>
        </w:rPr>
        <w:t> </w:t>
      </w:r>
      <w:r>
        <w:rPr/>
        <w:t>peptide</w:t>
      </w:r>
      <w:r>
        <w:rPr>
          <w:spacing w:val="-6"/>
        </w:rPr>
        <w:t> </w:t>
      </w:r>
      <w:r>
        <w:rPr/>
        <w:t>of infectious pancreatic necrosis virus. Revista MVZ Córdoba.</w:t>
      </w:r>
      <w:r>
        <w:rPr>
          <w:spacing w:val="-19"/>
        </w:rPr>
        <w:t> </w:t>
      </w:r>
      <w:r>
        <w:rPr/>
        <w:t>19:3990-4002.</w:t>
      </w:r>
    </w:p>
    <w:p>
      <w:pPr>
        <w:pStyle w:val="BodyText"/>
        <w:spacing w:line="362" w:lineRule="auto" w:before="4"/>
        <w:ind w:left="863" w:right="120" w:hanging="711"/>
        <w:jc w:val="both"/>
      </w:pPr>
      <w:r>
        <w:rPr/>
        <w:t>Ortega C, Enríquez R. (2007): Factores asociados a la infección celular por el virus de la necrosis pancreática infecciosa (IPNV). Arch Med Vet. 39: 7-18.</w:t>
      </w:r>
    </w:p>
    <w:p>
      <w:pPr>
        <w:spacing w:after="0" w:line="362" w:lineRule="auto"/>
        <w:jc w:val="both"/>
        <w:sectPr>
          <w:pgSz w:w="12240" w:h="15840"/>
          <w:pgMar w:header="0" w:footer="1382" w:top="1500" w:bottom="1580" w:left="1720" w:right="1420"/>
        </w:sectPr>
      </w:pPr>
    </w:p>
    <w:p>
      <w:pPr>
        <w:pStyle w:val="BodyText"/>
        <w:spacing w:before="7"/>
        <w:rPr>
          <w:sz w:val="25"/>
        </w:rPr>
      </w:pPr>
    </w:p>
    <w:p>
      <w:pPr>
        <w:pStyle w:val="BodyText"/>
        <w:spacing w:line="360" w:lineRule="auto" w:before="70"/>
        <w:ind w:left="863" w:right="122" w:hanging="711"/>
        <w:jc w:val="both"/>
      </w:pPr>
      <w:r>
        <w:rPr/>
        <w:t>Ortega C, Montes de Oca, R M, Groman D, Yason C, Nicholson B, Blake S. (2002): Case report: viral infectious pancreatic necrosis in farmed rainbow trout from Mexico. J Aquatic Animal Health. 14: 305-310.</w:t>
      </w:r>
    </w:p>
    <w:p>
      <w:pPr>
        <w:pStyle w:val="BodyText"/>
        <w:spacing w:line="360" w:lineRule="auto" w:before="8"/>
        <w:ind w:left="863" w:right="128" w:hanging="711"/>
        <w:jc w:val="both"/>
      </w:pPr>
      <w:r>
        <w:rPr/>
        <w:t>Ozaki A, Sakamoto T, Khoo S, Nakamura K, Coimbra MR, Akutsu T, Okamoto N. (2001): Quantitative trait loci (QTLs) associated with resistance/susceptibility to infectious pancreatic necrosis virus (IPNV) in rainbow trout (</w:t>
      </w:r>
      <w:r>
        <w:rPr>
          <w:i/>
        </w:rPr>
        <w:t>Oncorhynchus mykiss</w:t>
      </w:r>
      <w:r>
        <w:rPr/>
        <w:t>). Mol. Genet. Genomics. 265: 23-31.</w:t>
      </w:r>
    </w:p>
    <w:p>
      <w:pPr>
        <w:pStyle w:val="BodyText"/>
        <w:spacing w:line="362" w:lineRule="auto" w:before="4"/>
        <w:ind w:left="863" w:right="139" w:hanging="711"/>
        <w:jc w:val="both"/>
      </w:pPr>
      <w:r>
        <w:rPr/>
        <w:t>Özel M, Gelderblom H. (1985): Capsid symmetry of viruses of the proposed birnavirus group. Arch. Virol. 84: 149-161.</w:t>
      </w:r>
    </w:p>
    <w:p>
      <w:pPr>
        <w:pStyle w:val="BodyText"/>
        <w:spacing w:line="360" w:lineRule="auto" w:before="1"/>
        <w:ind w:left="863" w:right="112" w:hanging="711"/>
        <w:jc w:val="both"/>
      </w:pPr>
      <w:r>
        <w:rPr/>
        <w:t>Padron</w:t>
      </w:r>
      <w:r>
        <w:rPr>
          <w:spacing w:val="-16"/>
        </w:rPr>
        <w:t> </w:t>
      </w:r>
      <w:r>
        <w:rPr>
          <w:spacing w:val="-3"/>
        </w:rPr>
        <w:t>D,</w:t>
      </w:r>
      <w:r>
        <w:rPr>
          <w:spacing w:val="-14"/>
        </w:rPr>
        <w:t> </w:t>
      </w:r>
      <w:r>
        <w:rPr/>
        <w:t>Bizeau</w:t>
      </w:r>
      <w:r>
        <w:rPr>
          <w:spacing w:val="-11"/>
        </w:rPr>
        <w:t> </w:t>
      </w:r>
      <w:r>
        <w:rPr/>
        <w:t>ME,</w:t>
      </w:r>
      <w:r>
        <w:rPr>
          <w:spacing w:val="-9"/>
        </w:rPr>
        <w:t> </w:t>
      </w:r>
      <w:r>
        <w:rPr/>
        <w:t>Hazel</w:t>
      </w:r>
      <w:r>
        <w:rPr>
          <w:spacing w:val="-20"/>
        </w:rPr>
        <w:t> </w:t>
      </w:r>
      <w:r>
        <w:rPr/>
        <w:t>JR.</w:t>
      </w:r>
      <w:r>
        <w:rPr>
          <w:spacing w:val="-9"/>
        </w:rPr>
        <w:t> </w:t>
      </w:r>
      <w:r>
        <w:rPr/>
        <w:t>(2000):</w:t>
      </w:r>
      <w:r>
        <w:rPr>
          <w:spacing w:val="-15"/>
        </w:rPr>
        <w:t> </w:t>
      </w:r>
      <w:r>
        <w:rPr/>
        <w:t>Is</w:t>
      </w:r>
      <w:r>
        <w:rPr>
          <w:spacing w:val="-19"/>
        </w:rPr>
        <w:t> </w:t>
      </w:r>
      <w:r>
        <w:rPr/>
        <w:t>fluid-phase</w:t>
      </w:r>
      <w:r>
        <w:rPr>
          <w:spacing w:val="-13"/>
        </w:rPr>
        <w:t> </w:t>
      </w:r>
      <w:r>
        <w:rPr/>
        <w:t>endocytosis</w:t>
      </w:r>
      <w:r>
        <w:rPr>
          <w:spacing w:val="-12"/>
        </w:rPr>
        <w:t> </w:t>
      </w:r>
      <w:r>
        <w:rPr/>
        <w:t>conserved</w:t>
      </w:r>
      <w:r>
        <w:rPr>
          <w:spacing w:val="-6"/>
        </w:rPr>
        <w:t> </w:t>
      </w:r>
      <w:r>
        <w:rPr>
          <w:spacing w:val="-3"/>
        </w:rPr>
        <w:t>in</w:t>
      </w:r>
      <w:r>
        <w:rPr>
          <w:spacing w:val="-16"/>
        </w:rPr>
        <w:t> </w:t>
      </w:r>
      <w:r>
        <w:rPr/>
        <w:t>hepatocytes of species acclimated and adapted to different temperatures? American Journal </w:t>
      </w:r>
      <w:r>
        <w:rPr>
          <w:spacing w:val="9"/>
        </w:rPr>
        <w:t>of </w:t>
      </w:r>
      <w:r>
        <w:rPr/>
        <w:t>Physiology-Regulatory, Integrative and Comparative Physiology. 278:</w:t>
      </w:r>
      <w:r>
        <w:rPr>
          <w:spacing w:val="-21"/>
        </w:rPr>
        <w:t> </w:t>
      </w:r>
      <w:r>
        <w:rPr/>
        <w:t>529-536.</w:t>
      </w:r>
    </w:p>
    <w:p>
      <w:pPr>
        <w:pStyle w:val="BodyText"/>
        <w:spacing w:line="360" w:lineRule="auto" w:before="8"/>
        <w:ind w:left="863" w:right="125" w:hanging="711"/>
        <w:jc w:val="both"/>
      </w:pPr>
      <w:r>
        <w:rPr/>
        <w:t>Palm RC, Powell DB, Skillman A, Godtfredsen K. (2003): Immunocompetence of juvenile chinook salmon against Listonella anguillarum following dietary exposure to polycyclic aromatic hydrocarbons. Environmental toxicology and chemistry. 22: 2986-2994.</w:t>
      </w:r>
    </w:p>
    <w:p>
      <w:pPr>
        <w:pStyle w:val="BodyText"/>
        <w:spacing w:line="360" w:lineRule="auto" w:before="8"/>
        <w:ind w:left="863" w:right="137" w:hanging="711"/>
        <w:jc w:val="both"/>
      </w:pPr>
      <w:r>
        <w:rPr/>
        <w:t>Palmer DC, Restifo NP. (2009): Suppressors of cytokine signaling (SOCS) in T cell differentiation, maturation, and function. Trends in immunology. 30: 592-602.</w:t>
      </w:r>
    </w:p>
    <w:p>
      <w:pPr>
        <w:pStyle w:val="BodyText"/>
        <w:spacing w:line="360" w:lineRule="auto" w:before="4"/>
        <w:ind w:left="863" w:right="140" w:hanging="711"/>
        <w:jc w:val="both"/>
      </w:pPr>
      <w:r>
        <w:rPr/>
        <w:t>Pavlovic J, Zurcher T, Haller O, Staeheli P. (1990): Resistance to influenza virus and vesicular stomatitis virus conferred by expression of human MxA protein. J. Virol.</w:t>
      </w:r>
    </w:p>
    <w:p>
      <w:pPr>
        <w:pStyle w:val="BodyText"/>
        <w:spacing w:before="8"/>
        <w:ind w:left="152"/>
      </w:pPr>
      <w:r>
        <w:rPr/>
        <w:t>64: 3370-3375.</w:t>
      </w:r>
    </w:p>
    <w:p>
      <w:pPr>
        <w:pStyle w:val="BodyText"/>
        <w:spacing w:before="137"/>
        <w:ind w:left="152"/>
      </w:pPr>
      <w:r>
        <w:rPr/>
        <w:t>Platanias  LC.  (2005):  Mechanisms  of  type-I-and  type-II-interferon-mediated signalling.</w:t>
      </w:r>
    </w:p>
    <w:p>
      <w:pPr>
        <w:pStyle w:val="BodyText"/>
        <w:spacing w:before="137"/>
        <w:ind w:left="863"/>
      </w:pPr>
      <w:r>
        <w:rPr/>
        <w:t>Nature Reviews Immunology. 5: 375-386.</w:t>
      </w:r>
    </w:p>
    <w:p>
      <w:pPr>
        <w:pStyle w:val="BodyText"/>
        <w:spacing w:line="360" w:lineRule="auto" w:before="137"/>
        <w:ind w:left="863" w:right="128" w:hanging="711"/>
        <w:jc w:val="both"/>
      </w:pPr>
      <w:r>
        <w:rPr/>
        <w:t>Pedersen T, A Skjesol, Jorgensen JB. (2007): VP3, a structural protein of infectious pancreatic necrosis virus, interacts with RNA-dependent RNA polymerase VP1 and with double-stranded RNA. J Virol 81:6652-6663.</w:t>
      </w:r>
    </w:p>
    <w:p>
      <w:pPr>
        <w:pStyle w:val="BodyText"/>
        <w:spacing w:line="360" w:lineRule="auto" w:before="4"/>
        <w:ind w:left="863" w:right="134" w:hanging="711"/>
        <w:jc w:val="both"/>
      </w:pPr>
      <w:r>
        <w:rPr/>
        <w:t>Petit S, </w:t>
      </w:r>
      <w:r>
        <w:rPr>
          <w:spacing w:val="-3"/>
        </w:rPr>
        <w:t>Lejal </w:t>
      </w:r>
      <w:r>
        <w:rPr/>
        <w:t>N, Huet JC, Delmas B. (2000): Active residues and viral substrate cleavage sites</w:t>
      </w:r>
      <w:r>
        <w:rPr>
          <w:spacing w:val="-14"/>
        </w:rPr>
        <w:t> </w:t>
      </w:r>
      <w:r>
        <w:rPr/>
        <w:t>of</w:t>
      </w:r>
      <w:r>
        <w:rPr>
          <w:spacing w:val="-19"/>
        </w:rPr>
        <w:t> </w:t>
      </w:r>
      <w:r>
        <w:rPr/>
        <w:t>the</w:t>
      </w:r>
      <w:r>
        <w:rPr>
          <w:spacing w:val="-13"/>
        </w:rPr>
        <w:t> </w:t>
      </w:r>
      <w:r>
        <w:rPr/>
        <w:t>protease</w:t>
      </w:r>
      <w:r>
        <w:rPr>
          <w:spacing w:val="-16"/>
        </w:rPr>
        <w:t> </w:t>
      </w:r>
      <w:r>
        <w:rPr/>
        <w:t>of</w:t>
      </w:r>
      <w:r>
        <w:rPr>
          <w:spacing w:val="-19"/>
        </w:rPr>
        <w:t> </w:t>
      </w:r>
      <w:r>
        <w:rPr/>
        <w:t>the</w:t>
      </w:r>
      <w:r>
        <w:rPr>
          <w:spacing w:val="-13"/>
        </w:rPr>
        <w:t> </w:t>
      </w:r>
      <w:r>
        <w:rPr/>
        <w:t>birnavirus</w:t>
      </w:r>
      <w:r>
        <w:rPr>
          <w:spacing w:val="-9"/>
        </w:rPr>
        <w:t> </w:t>
      </w:r>
      <w:r>
        <w:rPr/>
        <w:t>infectious</w:t>
      </w:r>
      <w:r>
        <w:rPr>
          <w:spacing w:val="-14"/>
        </w:rPr>
        <w:t> </w:t>
      </w:r>
      <w:r>
        <w:rPr/>
        <w:t>pancreatic</w:t>
      </w:r>
      <w:r>
        <w:rPr>
          <w:spacing w:val="-8"/>
        </w:rPr>
        <w:t> </w:t>
      </w:r>
      <w:r>
        <w:rPr/>
        <w:t>necrosis</w:t>
      </w:r>
      <w:r>
        <w:rPr>
          <w:spacing w:val="-14"/>
        </w:rPr>
        <w:t> </w:t>
      </w:r>
      <w:r>
        <w:rPr/>
        <w:t>virus.</w:t>
      </w:r>
      <w:r>
        <w:rPr>
          <w:spacing w:val="-10"/>
        </w:rPr>
        <w:t> </w:t>
      </w:r>
      <w:r>
        <w:rPr/>
        <w:t>J.</w:t>
      </w:r>
      <w:r>
        <w:rPr>
          <w:spacing w:val="-10"/>
        </w:rPr>
        <w:t> </w:t>
      </w:r>
      <w:r>
        <w:rPr/>
        <w:t>Virol.</w:t>
      </w:r>
      <w:r>
        <w:rPr>
          <w:spacing w:val="-10"/>
        </w:rPr>
        <w:t> </w:t>
      </w:r>
      <w:r>
        <w:rPr/>
        <w:t>74: 2057-2066.</w:t>
      </w:r>
    </w:p>
    <w:p>
      <w:pPr>
        <w:spacing w:after="0" w:line="360" w:lineRule="auto"/>
        <w:jc w:val="both"/>
        <w:sectPr>
          <w:pgSz w:w="12240" w:h="15840"/>
          <w:pgMar w:header="0" w:footer="1382" w:top="1500" w:bottom="1580" w:left="1720" w:right="1400"/>
        </w:sectPr>
      </w:pPr>
    </w:p>
    <w:p>
      <w:pPr>
        <w:pStyle w:val="BodyText"/>
        <w:spacing w:before="7"/>
        <w:rPr>
          <w:sz w:val="25"/>
        </w:rPr>
      </w:pPr>
    </w:p>
    <w:p>
      <w:pPr>
        <w:pStyle w:val="BodyText"/>
        <w:spacing w:line="360" w:lineRule="auto" w:before="70"/>
        <w:ind w:left="863" w:right="127" w:hanging="711"/>
        <w:jc w:val="both"/>
      </w:pPr>
      <w:r>
        <w:rPr/>
        <w:t>Purcell MK, Smith KD, Aderem A, Hood L, Winton JR, Roach JC. (2006): Conservation of Toll-like receptor signaling pathways in teleost fish. Comparative Biochemistry and Physiology D-Genomics &amp; Proteomics. 1: 77-88.</w:t>
      </w:r>
    </w:p>
    <w:p>
      <w:pPr>
        <w:pStyle w:val="BodyText"/>
        <w:spacing w:line="357" w:lineRule="auto" w:before="12"/>
        <w:ind w:left="863" w:right="122" w:hanging="711"/>
        <w:jc w:val="both"/>
      </w:pPr>
      <w:r>
        <w:rPr/>
        <w:t>Qing Y, Costa-Pereira AP, Watling D. (2005): Role of tyrosine 441 of </w:t>
      </w:r>
      <w:r>
        <w:rPr>
          <w:spacing w:val="-3"/>
        </w:rPr>
        <w:drawing>
          <wp:inline distT="0" distB="0" distL="0" distR="0">
            <wp:extent cx="97536" cy="115824"/>
            <wp:effectExtent l="0" t="0" r="0" b="0"/>
            <wp:docPr id="45" name="image32.png" descr=""/>
            <wp:cNvGraphicFramePr>
              <a:graphicFrameLocks noChangeAspect="1"/>
            </wp:cNvGraphicFramePr>
            <a:graphic>
              <a:graphicData uri="http://schemas.openxmlformats.org/drawingml/2006/picture">
                <pic:pic>
                  <pic:nvPicPr>
                    <pic:cNvPr id="46" name="image32.png"/>
                    <pic:cNvPicPr/>
                  </pic:nvPicPr>
                  <pic:blipFill>
                    <a:blip r:embed="rId69" cstate="print"/>
                    <a:stretch>
                      <a:fillRect/>
                    </a:stretch>
                  </pic:blipFill>
                  <pic:spPr>
                    <a:xfrm>
                      <a:off x="0" y="0"/>
                      <a:ext cx="97536" cy="115824"/>
                    </a:xfrm>
                    <a:prstGeom prst="rect">
                      <a:avLst/>
                    </a:prstGeom>
                  </pic:spPr>
                </pic:pic>
              </a:graphicData>
            </a:graphic>
          </wp:inline>
        </w:drawing>
      </w:r>
      <w:r>
        <w:rPr>
          <w:spacing w:val="-3"/>
        </w:rPr>
      </w:r>
      <w:r>
        <w:rPr/>
        <w:t>receptor       subunit 1 </w:t>
      </w:r>
      <w:r>
        <w:rPr>
          <w:spacing w:val="-3"/>
        </w:rPr>
        <w:t>in </w:t>
      </w:r>
      <w:r>
        <w:rPr/>
        <w:t>SOCS-1-mediated attenuation of STAT1 activation. J Biol Chem. 280:1849-1853.</w:t>
      </w:r>
    </w:p>
    <w:p>
      <w:pPr>
        <w:pStyle w:val="BodyText"/>
        <w:spacing w:line="360" w:lineRule="auto" w:before="6"/>
        <w:ind w:left="863" w:right="128" w:hanging="711"/>
        <w:jc w:val="both"/>
      </w:pPr>
      <w:r>
        <w:rPr/>
        <w:t>Raida MK, Buchmann K. (2007): Temperature-dependent expression of immune-relevant genes in rainbow trout following Yersinia ruckeri vaccination. Dis of aquatic organisms. 77: 41-52.</w:t>
      </w:r>
    </w:p>
    <w:p>
      <w:pPr>
        <w:pStyle w:val="BodyText"/>
        <w:spacing w:before="4"/>
        <w:ind w:left="152"/>
      </w:pPr>
      <w:r>
        <w:rPr/>
        <w:t>Reed  LJ,  Muench  H.  (1938):  A  simple  method  of  estimating  fifty per  cent endpoints.</w:t>
      </w:r>
    </w:p>
    <w:p>
      <w:pPr>
        <w:pStyle w:val="BodyText"/>
        <w:spacing w:before="137"/>
        <w:ind w:left="863"/>
      </w:pPr>
      <w:r>
        <w:rPr/>
        <w:t>American journal of epidemiology. 27: 493-497.</w:t>
      </w:r>
    </w:p>
    <w:p>
      <w:pPr>
        <w:pStyle w:val="BodyText"/>
        <w:spacing w:line="360" w:lineRule="auto" w:before="137"/>
        <w:ind w:left="863" w:right="121" w:hanging="711"/>
        <w:jc w:val="both"/>
      </w:pPr>
      <w:r>
        <w:rPr/>
        <w:t>Richard R, Stephen G. (2008): Interferons and viruses: an interplay between induction, signalling, antiviral responses and virus countermeasures. J General Virology. 89: 1- 47.</w:t>
      </w:r>
    </w:p>
    <w:p>
      <w:pPr>
        <w:pStyle w:val="BodyText"/>
        <w:spacing w:line="360" w:lineRule="auto" w:before="4"/>
        <w:ind w:left="863" w:right="127" w:hanging="711"/>
        <w:jc w:val="both"/>
      </w:pPr>
      <w:r>
        <w:rPr/>
        <w:t>Robertsen B. (2008): Expression of interferon and interferon-induced genes in salmonids in response to virus infection, interferon-inducing compounds and vaccination. Fish &amp; Shellfish Immunology. 25: 351-357.</w:t>
      </w:r>
    </w:p>
    <w:p>
      <w:pPr>
        <w:pStyle w:val="BodyText"/>
        <w:spacing w:line="360" w:lineRule="auto" w:before="4"/>
        <w:ind w:left="863" w:right="125" w:hanging="711"/>
        <w:jc w:val="both"/>
      </w:pPr>
      <w:r>
        <w:rPr/>
        <w:t>Robertsen B. (2006): The interferon system of teleost </w:t>
      </w:r>
      <w:r>
        <w:rPr>
          <w:spacing w:val="-4"/>
        </w:rPr>
        <w:t>fish. </w:t>
      </w:r>
      <w:r>
        <w:rPr/>
        <w:t>Fish &amp; shellfish immunology 20: 172-191.</w:t>
      </w:r>
    </w:p>
    <w:p>
      <w:pPr>
        <w:pStyle w:val="BodyText"/>
        <w:spacing w:line="360" w:lineRule="auto" w:before="4"/>
        <w:ind w:left="863" w:right="127" w:hanging="711"/>
        <w:jc w:val="both"/>
      </w:pPr>
      <w:r>
        <w:rPr/>
        <w:t>Robertsen B, Bergan V, Roquenes T, Albuquerque R. (2003): Atlantic Salmon interferon genes: Cloning sequence analysis, expression, and biological activity. J. Interferon Cytoquine Res 23: 601-602.</w:t>
      </w:r>
    </w:p>
    <w:p>
      <w:pPr>
        <w:pStyle w:val="BodyText"/>
        <w:spacing w:line="360" w:lineRule="auto" w:before="4"/>
        <w:ind w:left="863" w:right="124" w:hanging="711"/>
        <w:jc w:val="both"/>
      </w:pPr>
      <w:r>
        <w:rPr/>
        <w:t>Roberts R J, Pearson MD. (2005): Infectious pancreatic necrosis in Atlantic salmon, </w:t>
      </w:r>
      <w:r>
        <w:rPr>
          <w:i/>
        </w:rPr>
        <w:t>Salmo </w:t>
      </w:r>
      <w:r>
        <w:rPr>
          <w:i/>
        </w:rPr>
        <w:t>salar </w:t>
      </w:r>
      <w:r>
        <w:rPr/>
        <w:t>L. J fish diseases 28: 383-390.</w:t>
      </w:r>
    </w:p>
    <w:p>
      <w:pPr>
        <w:pStyle w:val="BodyText"/>
        <w:spacing w:line="360" w:lineRule="auto" w:before="8"/>
        <w:ind w:left="863" w:right="112" w:hanging="711"/>
        <w:jc w:val="both"/>
      </w:pPr>
      <w:r>
        <w:rPr/>
        <w:t>Roberts TE, Dobos P. (1983): Studies on the mechanism of temperature sensitivity of infectious pancreatic necrosis virus replication. J General Virology. 64: 331-339.</w:t>
      </w:r>
    </w:p>
    <w:p>
      <w:pPr>
        <w:pStyle w:val="BodyText"/>
        <w:spacing w:before="4"/>
        <w:ind w:left="152"/>
      </w:pPr>
      <w:r>
        <w:rPr/>
        <w:t>Rubio-Godoy,</w:t>
      </w:r>
      <w:r>
        <w:rPr>
          <w:spacing w:val="-17"/>
        </w:rPr>
        <w:t> </w:t>
      </w:r>
      <w:r>
        <w:rPr/>
        <w:t>M.</w:t>
      </w:r>
      <w:r>
        <w:rPr>
          <w:spacing w:val="-18"/>
        </w:rPr>
        <w:t> </w:t>
      </w:r>
      <w:r>
        <w:rPr/>
        <w:t>(2010):</w:t>
      </w:r>
      <w:r>
        <w:rPr>
          <w:spacing w:val="-23"/>
        </w:rPr>
        <w:t> </w:t>
      </w:r>
      <w:r>
        <w:rPr/>
        <w:t>Teleost</w:t>
      </w:r>
      <w:r>
        <w:rPr>
          <w:spacing w:val="-18"/>
        </w:rPr>
        <w:t> </w:t>
      </w:r>
      <w:r>
        <w:rPr/>
        <w:t>fish</w:t>
      </w:r>
      <w:r>
        <w:rPr>
          <w:spacing w:val="-19"/>
        </w:rPr>
        <w:t> </w:t>
      </w:r>
      <w:r>
        <w:rPr/>
        <w:t>immunology.</w:t>
      </w:r>
      <w:r>
        <w:rPr>
          <w:spacing w:val="-16"/>
        </w:rPr>
        <w:t> </w:t>
      </w:r>
      <w:r>
        <w:rPr/>
        <w:t>Revista</w:t>
      </w:r>
      <w:r>
        <w:rPr>
          <w:spacing w:val="-20"/>
        </w:rPr>
        <w:t> </w:t>
      </w:r>
      <w:r>
        <w:rPr/>
        <w:t>mexicana</w:t>
      </w:r>
      <w:r>
        <w:rPr>
          <w:spacing w:val="-19"/>
        </w:rPr>
        <w:t> </w:t>
      </w:r>
      <w:r>
        <w:rPr/>
        <w:t>de</w:t>
      </w:r>
      <w:r>
        <w:rPr>
          <w:spacing w:val="-20"/>
        </w:rPr>
        <w:t> </w:t>
      </w:r>
      <w:r>
        <w:rPr/>
        <w:t>Ciencias</w:t>
      </w:r>
      <w:r>
        <w:rPr>
          <w:spacing w:val="-21"/>
        </w:rPr>
        <w:t> </w:t>
      </w:r>
      <w:r>
        <w:rPr/>
        <w:t>Pecuarias.</w:t>
      </w:r>
    </w:p>
    <w:p>
      <w:pPr>
        <w:pStyle w:val="BodyText"/>
        <w:spacing w:before="137"/>
        <w:ind w:left="863"/>
      </w:pPr>
      <w:r>
        <w:rPr/>
        <w:t>1: 43-57.</w:t>
      </w:r>
    </w:p>
    <w:p>
      <w:pPr>
        <w:spacing w:after="0"/>
        <w:sectPr>
          <w:footerReference w:type="default" r:id="rId68"/>
          <w:pgSz w:w="12240" w:h="15840"/>
          <w:pgMar w:footer="1382" w:header="0" w:top="1500" w:bottom="1580" w:left="1720" w:right="1400"/>
        </w:sectPr>
      </w:pPr>
    </w:p>
    <w:p>
      <w:pPr>
        <w:pStyle w:val="BodyText"/>
        <w:spacing w:before="7"/>
        <w:rPr>
          <w:sz w:val="25"/>
        </w:rPr>
      </w:pPr>
    </w:p>
    <w:p>
      <w:pPr>
        <w:pStyle w:val="BodyText"/>
        <w:spacing w:before="70"/>
        <w:ind w:left="152"/>
      </w:pPr>
      <w:r>
        <w:rPr/>
        <w:t>Ruiz FA, De Blas I. (2003):  Factors affecting the immune response in fish virus infections.</w:t>
      </w:r>
    </w:p>
    <w:p>
      <w:pPr>
        <w:pStyle w:val="BodyText"/>
        <w:spacing w:before="137"/>
        <w:ind w:left="863"/>
      </w:pPr>
      <w:r>
        <w:rPr/>
        <w:t>AquaTIC. 19: 1-7.</w:t>
      </w:r>
    </w:p>
    <w:p>
      <w:pPr>
        <w:pStyle w:val="BodyText"/>
        <w:spacing w:line="360" w:lineRule="auto" w:before="137"/>
        <w:ind w:left="863" w:right="127" w:hanging="711"/>
        <w:jc w:val="both"/>
      </w:pPr>
      <w:r>
        <w:rPr/>
        <w:t>Saint-Jean SR, Pérez-Prieto S I. (2007): Effects of salmonid fish viruses on Mx gene expression and resistance to single or dual viral infections. Fish &amp; shellfish immunology. 23: 390-400.</w:t>
      </w:r>
    </w:p>
    <w:p>
      <w:pPr>
        <w:pStyle w:val="BodyText"/>
        <w:spacing w:line="360" w:lineRule="auto" w:before="4"/>
        <w:ind w:left="863" w:right="126" w:hanging="711"/>
        <w:jc w:val="both"/>
      </w:pPr>
      <w:r>
        <w:rPr/>
        <w:t>Saint-Jean S. (2006): Mejoramiento de immunecompetencia para enfrentar IPNv, SRS y otros agentes patógenos. Periódico de Acuicultura. Mayo. Vol. 3. N°25.</w:t>
      </w:r>
    </w:p>
    <w:p>
      <w:pPr>
        <w:pStyle w:val="BodyText"/>
        <w:spacing w:line="360" w:lineRule="auto" w:before="4"/>
        <w:ind w:left="863" w:right="126" w:hanging="711"/>
        <w:jc w:val="both"/>
      </w:pPr>
      <w:r>
        <w:rPr/>
        <w:t>Saint-Jean S R, Borrego JJ, Pérez-Prieto SI. (2003): Infectious Pancreatic Necrosis Virus: Biology, pathogenesis and diagnostic methods. Advances in virus research. 62:113- 165.</w:t>
      </w:r>
    </w:p>
    <w:p>
      <w:pPr>
        <w:pStyle w:val="BodyText"/>
        <w:spacing w:line="360" w:lineRule="auto" w:before="4"/>
        <w:ind w:left="863" w:right="131" w:hanging="711"/>
        <w:jc w:val="both"/>
      </w:pPr>
      <w:r>
        <w:rPr/>
        <w:t>Sano M, N Okamoto, H Fukuda, M Saneyoshi, T Sano. (1992). Virulence of IPNV is associated with the larger RNA segment (RNA segment A). J. Fish Dis 15: 283-293.</w:t>
      </w:r>
    </w:p>
    <w:p>
      <w:pPr>
        <w:pStyle w:val="BodyText"/>
        <w:spacing w:line="360" w:lineRule="auto" w:before="8"/>
        <w:ind w:left="863" w:right="137" w:hanging="711"/>
        <w:jc w:val="both"/>
      </w:pPr>
      <w:r>
        <w:rPr/>
        <w:t>Sano T, Tanaka K, Fukuzaki S. (1981): Immune response in adult trout against formalin killed concentrated IPNV. Deve. Biol. Stand. 49:63-70.</w:t>
      </w:r>
    </w:p>
    <w:p>
      <w:pPr>
        <w:pStyle w:val="BodyText"/>
        <w:spacing w:line="360" w:lineRule="auto" w:before="4"/>
        <w:ind w:left="863" w:right="117" w:hanging="711"/>
        <w:jc w:val="both"/>
      </w:pPr>
      <w:r>
        <w:rPr/>
        <w:t>Saito H, Morita Y, Fujimoto M. (2000): IFN regulatory factor-1-mediated transcriptional activation of mouse STAT-induced STAT inhibitor-1 gene promoter by IFN- γ. J Immunol. 2000: 164:5833-5843.</w:t>
      </w:r>
    </w:p>
    <w:p>
      <w:pPr>
        <w:pStyle w:val="BodyText"/>
        <w:spacing w:line="360" w:lineRule="auto" w:before="4"/>
        <w:ind w:left="863" w:right="125" w:hanging="711"/>
        <w:jc w:val="both"/>
      </w:pPr>
      <w:r>
        <w:rPr/>
        <w:t>Santi N, Sandtro A, Sindre H, Song H, Hong JR, Thu B, Wu JL, Vakharia VN, Evensen O. (2005): Infectious pancreatic necrosis virus induces apoptosis </w:t>
      </w:r>
      <w:r>
        <w:rPr>
          <w:i/>
        </w:rPr>
        <w:t>in vitro </w:t>
      </w:r>
      <w:r>
        <w:rPr/>
        <w:t>and in </w:t>
      </w:r>
      <w:r>
        <w:rPr>
          <w:i/>
        </w:rPr>
        <w:t>vivo </w:t>
      </w:r>
      <w:r>
        <w:rPr/>
        <w:t>independent of VP5 expression. Virology. 342: 13-25.</w:t>
      </w:r>
    </w:p>
    <w:p>
      <w:pPr>
        <w:pStyle w:val="BodyText"/>
        <w:spacing w:line="360" w:lineRule="auto" w:before="8"/>
        <w:ind w:left="863" w:right="134" w:hanging="711"/>
        <w:jc w:val="both"/>
      </w:pPr>
      <w:r>
        <w:rPr/>
        <w:t>Santi, N., Vakharia, V. N., &amp; Evensen, Ø. (2004). Identification of putative motifs involved in the virulence of infectious pancreatic necrosis virus. Virology 322: 31-40.</w:t>
      </w:r>
    </w:p>
    <w:p>
      <w:pPr>
        <w:pStyle w:val="BodyText"/>
        <w:spacing w:line="360" w:lineRule="auto" w:before="4"/>
        <w:ind w:left="863" w:right="139" w:hanging="711"/>
        <w:jc w:val="both"/>
      </w:pPr>
      <w:r>
        <w:rPr/>
        <w:t>Santi N, Vakharia VN, Ø. Evensen. (2003): Identification of putative motifs involved in the virulence of infectious pancreatic necrosis virus. Virology. 322:31-40.</w:t>
      </w:r>
    </w:p>
    <w:p>
      <w:pPr>
        <w:pStyle w:val="BodyText"/>
        <w:spacing w:before="8"/>
        <w:ind w:left="152"/>
      </w:pPr>
      <w:r>
        <w:rPr/>
        <w:t>Sen GC. (2001): Viruses and interferons. Annual Reviews in Microbiology. 55: 255-281.</w:t>
      </w:r>
    </w:p>
    <w:p>
      <w:pPr>
        <w:pStyle w:val="BodyText"/>
        <w:spacing w:line="360" w:lineRule="auto" w:before="137"/>
        <w:ind w:left="863" w:right="128" w:hanging="711"/>
        <w:jc w:val="both"/>
      </w:pPr>
      <w:r>
        <w:rPr/>
        <w:t>Shepherd CJ, Jackson AJ. (2013): Global fishmeal and fish</w:t>
      </w:r>
      <w:r>
        <w:rPr>
          <w:rFonts w:ascii="Cambria Math" w:hAnsi="Cambria Math"/>
        </w:rPr>
        <w:t>‐</w:t>
      </w:r>
      <w:r>
        <w:rPr/>
        <w:t>oil supply: inputs, outputs and marketsa. J fish biology 83: 1046-1066.</w:t>
      </w:r>
    </w:p>
    <w:p>
      <w:pPr>
        <w:spacing w:after="0" w:line="360" w:lineRule="auto"/>
        <w:jc w:val="both"/>
        <w:sectPr>
          <w:footerReference w:type="default" r:id="rId70"/>
          <w:pgSz w:w="12240" w:h="15840"/>
          <w:pgMar w:footer="1382" w:header="0" w:top="1500" w:bottom="1580" w:left="1720" w:right="1400"/>
          <w:pgNumType w:start="101"/>
        </w:sectPr>
      </w:pPr>
    </w:p>
    <w:p>
      <w:pPr>
        <w:pStyle w:val="BodyText"/>
        <w:spacing w:before="7"/>
        <w:rPr>
          <w:sz w:val="25"/>
        </w:rPr>
      </w:pPr>
    </w:p>
    <w:p>
      <w:pPr>
        <w:pStyle w:val="BodyText"/>
        <w:spacing w:line="360" w:lineRule="auto" w:before="70"/>
        <w:ind w:left="863" w:right="107" w:hanging="711"/>
        <w:jc w:val="both"/>
      </w:pPr>
      <w:r>
        <w:rPr/>
        <w:t>Shi J, Zhang YB, Liu TK, Sun F, Gui JF. (2012): Subcellular localization and functional characterization</w:t>
      </w:r>
      <w:r>
        <w:rPr>
          <w:spacing w:val="-10"/>
        </w:rPr>
        <w:t> </w:t>
      </w:r>
      <w:r>
        <w:rPr>
          <w:spacing w:val="4"/>
        </w:rPr>
        <w:t>of</w:t>
      </w:r>
      <w:r>
        <w:rPr>
          <w:spacing w:val="-13"/>
        </w:rPr>
        <w:t> </w:t>
      </w:r>
      <w:r>
        <w:rPr/>
        <w:t>a</w:t>
      </w:r>
      <w:r>
        <w:rPr>
          <w:spacing w:val="-2"/>
        </w:rPr>
        <w:t> </w:t>
      </w:r>
      <w:r>
        <w:rPr/>
        <w:t>fish</w:t>
      </w:r>
      <w:r>
        <w:rPr>
          <w:spacing w:val="-10"/>
        </w:rPr>
        <w:t> </w:t>
      </w:r>
      <w:r>
        <w:rPr/>
        <w:t>IRF9</w:t>
      </w:r>
      <w:r>
        <w:rPr>
          <w:spacing w:val="-1"/>
        </w:rPr>
        <w:t> </w:t>
      </w:r>
      <w:r>
        <w:rPr/>
        <w:t>from</w:t>
      </w:r>
      <w:r>
        <w:rPr>
          <w:spacing w:val="-14"/>
        </w:rPr>
        <w:t> </w:t>
      </w:r>
      <w:r>
        <w:rPr/>
        <w:t>crucian</w:t>
      </w:r>
      <w:r>
        <w:rPr>
          <w:spacing w:val="-10"/>
        </w:rPr>
        <w:t> </w:t>
      </w:r>
      <w:r>
        <w:rPr/>
        <w:t>carp </w:t>
      </w:r>
      <w:r>
        <w:rPr>
          <w:i/>
        </w:rPr>
        <w:t>Carassius</w:t>
      </w:r>
      <w:r>
        <w:rPr>
          <w:i/>
          <w:spacing w:val="-7"/>
        </w:rPr>
        <w:t> </w:t>
      </w:r>
      <w:r>
        <w:rPr>
          <w:i/>
        </w:rPr>
        <w:t>auratus</w:t>
      </w:r>
      <w:r>
        <w:rPr/>
        <w:t>.</w:t>
      </w:r>
      <w:r>
        <w:rPr>
          <w:spacing w:val="1"/>
        </w:rPr>
        <w:t> </w:t>
      </w:r>
      <w:r>
        <w:rPr/>
        <w:t>Fish</w:t>
      </w:r>
      <w:r>
        <w:rPr>
          <w:spacing w:val="-5"/>
        </w:rPr>
        <w:t> </w:t>
      </w:r>
      <w:r>
        <w:rPr/>
        <w:t>&amp;</w:t>
      </w:r>
      <w:r>
        <w:rPr>
          <w:spacing w:val="-9"/>
        </w:rPr>
        <w:t> </w:t>
      </w:r>
      <w:r>
        <w:rPr/>
        <w:t>shellfish immunology. 33:</w:t>
      </w:r>
      <w:r>
        <w:rPr>
          <w:spacing w:val="-6"/>
        </w:rPr>
        <w:t> </w:t>
      </w:r>
      <w:r>
        <w:rPr/>
        <w:t>258-266.</w:t>
      </w:r>
    </w:p>
    <w:p>
      <w:pPr>
        <w:pStyle w:val="BodyText"/>
        <w:spacing w:line="360" w:lineRule="auto" w:before="8"/>
        <w:ind w:left="863" w:right="115" w:hanging="711"/>
        <w:jc w:val="both"/>
      </w:pPr>
      <w:r>
        <w:rPr/>
        <w:t>Shivappa R, Song B, Yao H, Aas-Eng K, Evensen A, Vakharia, VN. (2004): Molecular characterization of Sp serotype strains of infectious pancreatic necrosis virus exhibiting differences in virulence. Diseas of aquatic organisms. 61: 23-32.</w:t>
      </w:r>
    </w:p>
    <w:p>
      <w:pPr>
        <w:pStyle w:val="BodyText"/>
        <w:spacing w:line="360" w:lineRule="auto" w:before="4"/>
        <w:ind w:left="863" w:right="113" w:hanging="711"/>
        <w:jc w:val="both"/>
      </w:pPr>
      <w:r>
        <w:rPr/>
        <w:t>Silim</w:t>
      </w:r>
      <w:r>
        <w:rPr>
          <w:spacing w:val="-5"/>
        </w:rPr>
        <w:t> </w:t>
      </w:r>
      <w:r>
        <w:rPr>
          <w:spacing w:val="-3"/>
        </w:rPr>
        <w:t>A,</w:t>
      </w:r>
      <w:r>
        <w:rPr>
          <w:spacing w:val="1"/>
        </w:rPr>
        <w:t> </w:t>
      </w:r>
      <w:r>
        <w:rPr/>
        <w:t>Elazhary</w:t>
      </w:r>
      <w:r>
        <w:rPr>
          <w:spacing w:val="-11"/>
        </w:rPr>
        <w:t> </w:t>
      </w:r>
      <w:r>
        <w:rPr/>
        <w:t>MA</w:t>
      </w:r>
      <w:r>
        <w:rPr>
          <w:spacing w:val="-7"/>
        </w:rPr>
        <w:t> </w:t>
      </w:r>
      <w:r>
        <w:rPr/>
        <w:t>SY, Lagace</w:t>
      </w:r>
      <w:r>
        <w:rPr>
          <w:spacing w:val="-2"/>
        </w:rPr>
        <w:t> </w:t>
      </w:r>
      <w:r>
        <w:rPr>
          <w:spacing w:val="-3"/>
        </w:rPr>
        <w:t>A.</w:t>
      </w:r>
      <w:r>
        <w:rPr>
          <w:spacing w:val="-4"/>
        </w:rPr>
        <w:t> </w:t>
      </w:r>
      <w:r>
        <w:rPr/>
        <w:t>(1982):</w:t>
      </w:r>
      <w:r>
        <w:rPr>
          <w:spacing w:val="-10"/>
        </w:rPr>
        <w:t> </w:t>
      </w:r>
      <w:r>
        <w:rPr/>
        <w:t>Susceptibility</w:t>
      </w:r>
      <w:r>
        <w:rPr>
          <w:spacing w:val="-11"/>
        </w:rPr>
        <w:t> </w:t>
      </w:r>
      <w:r>
        <w:rPr/>
        <w:t>of</w:t>
      </w:r>
      <w:r>
        <w:rPr>
          <w:spacing w:val="-1"/>
        </w:rPr>
        <w:t> </w:t>
      </w:r>
      <w:r>
        <w:rPr/>
        <w:t>trout</w:t>
      </w:r>
      <w:r>
        <w:rPr>
          <w:spacing w:val="-5"/>
        </w:rPr>
        <w:t> </w:t>
      </w:r>
      <w:r>
        <w:rPr/>
        <w:t>of</w:t>
      </w:r>
      <w:r>
        <w:rPr>
          <w:spacing w:val="-9"/>
        </w:rPr>
        <w:t> </w:t>
      </w:r>
      <w:r>
        <w:rPr/>
        <w:t>different</w:t>
      </w:r>
      <w:r>
        <w:rPr>
          <w:spacing w:val="4"/>
        </w:rPr>
        <w:t> </w:t>
      </w:r>
      <w:r>
        <w:rPr/>
        <w:t>species</w:t>
      </w:r>
      <w:r>
        <w:rPr>
          <w:spacing w:val="-3"/>
        </w:rPr>
        <w:t> </w:t>
      </w:r>
      <w:r>
        <w:rPr/>
        <w:t>and origins to various isolates of infectious pancreatic necrosis virus. Can. J Fish Aquat. Sci. 39:</w:t>
      </w:r>
      <w:r>
        <w:rPr>
          <w:spacing w:val="-5"/>
        </w:rPr>
        <w:t> </w:t>
      </w:r>
      <w:r>
        <w:rPr/>
        <w:t>1580-1584.</w:t>
      </w:r>
    </w:p>
    <w:p>
      <w:pPr>
        <w:pStyle w:val="BodyText"/>
        <w:spacing w:line="360" w:lineRule="auto" w:before="4"/>
        <w:ind w:left="863" w:right="112" w:hanging="711"/>
        <w:jc w:val="both"/>
      </w:pPr>
      <w:r>
        <w:rPr/>
        <w:t>Silvennoinen O, Ihle JN, Schlessinger J, Levy, D E. (1993): Interferon-induced nuclear signaling by Jak protein tyrosine kinases. Nature. 366: 583-585.</w:t>
      </w:r>
    </w:p>
    <w:p>
      <w:pPr>
        <w:pStyle w:val="BodyText"/>
        <w:spacing w:before="4"/>
        <w:ind w:left="152" w:right="-5"/>
      </w:pPr>
      <w:r>
        <w:rPr/>
        <w:t>Sironi, J. J., &amp; Ouchi, T. (2004). STAT1-induced apoptosis is mediated by caspases 2, 3, and</w:t>
      </w:r>
    </w:p>
    <w:p>
      <w:pPr>
        <w:pStyle w:val="BodyText"/>
        <w:spacing w:before="141"/>
        <w:ind w:left="863"/>
      </w:pPr>
      <w:r>
        <w:rPr/>
        <w:t>7. J. Biological Chemistry. 279: 4066-4074.</w:t>
      </w:r>
    </w:p>
    <w:p>
      <w:pPr>
        <w:pStyle w:val="BodyText"/>
        <w:spacing w:line="360" w:lineRule="auto" w:before="137"/>
        <w:ind w:left="863" w:right="109" w:hanging="711"/>
        <w:jc w:val="both"/>
      </w:pPr>
      <w:r>
        <w:rPr/>
        <w:t>Skjesol </w:t>
      </w:r>
      <w:r>
        <w:rPr>
          <w:spacing w:val="-3"/>
        </w:rPr>
        <w:t>A, </w:t>
      </w:r>
      <w:r>
        <w:rPr/>
        <w:t>Liebe T, Dimitar B L, Thomassen E, Greiner LT, Mehrdad S, Joensen L, Secombes</w:t>
      </w:r>
      <w:r>
        <w:rPr>
          <w:spacing w:val="-17"/>
        </w:rPr>
        <w:t> </w:t>
      </w:r>
      <w:r>
        <w:rPr/>
        <w:t>J,</w:t>
      </w:r>
      <w:r>
        <w:rPr>
          <w:spacing w:val="-12"/>
        </w:rPr>
        <w:t> </w:t>
      </w:r>
      <w:r>
        <w:rPr/>
        <w:t>Jørgensen</w:t>
      </w:r>
      <w:r>
        <w:rPr>
          <w:spacing w:val="-19"/>
        </w:rPr>
        <w:t> </w:t>
      </w:r>
      <w:r>
        <w:rPr/>
        <w:t>B.</w:t>
      </w:r>
      <w:r>
        <w:rPr>
          <w:spacing w:val="-12"/>
        </w:rPr>
        <w:t> </w:t>
      </w:r>
      <w:r>
        <w:rPr/>
        <w:t>(2014):</w:t>
      </w:r>
      <w:r>
        <w:rPr>
          <w:spacing w:val="33"/>
        </w:rPr>
        <w:t> </w:t>
      </w:r>
      <w:r>
        <w:rPr/>
        <w:t>Functional</w:t>
      </w:r>
      <w:r>
        <w:rPr>
          <w:spacing w:val="-19"/>
        </w:rPr>
        <w:t> </w:t>
      </w:r>
      <w:r>
        <w:rPr/>
        <w:t>conservation</w:t>
      </w:r>
      <w:r>
        <w:rPr>
          <w:spacing w:val="-19"/>
        </w:rPr>
        <w:t> </w:t>
      </w:r>
      <w:r>
        <w:rPr/>
        <w:t>of</w:t>
      </w:r>
      <w:r>
        <w:rPr>
          <w:spacing w:val="-22"/>
        </w:rPr>
        <w:t> </w:t>
      </w:r>
      <w:r>
        <w:rPr/>
        <w:t>suppressors</w:t>
      </w:r>
      <w:r>
        <w:rPr>
          <w:spacing w:val="-17"/>
        </w:rPr>
        <w:t> </w:t>
      </w:r>
      <w:r>
        <w:rPr/>
        <w:t>of</w:t>
      </w:r>
      <w:r>
        <w:rPr>
          <w:spacing w:val="-22"/>
        </w:rPr>
        <w:t> </w:t>
      </w:r>
      <w:r>
        <w:rPr/>
        <w:t>cytokine signaling proteins between teleosts and mammals: Atlantic salmon SOCS1 binds to JAK/STAT family members and suppresses type I and II IFN signaling. Develop &amp; Comparative Immunology.  45:</w:t>
      </w:r>
      <w:r>
        <w:rPr>
          <w:spacing w:val="-10"/>
        </w:rPr>
        <w:t> </w:t>
      </w:r>
      <w:r>
        <w:rPr/>
        <w:t>177-189.</w:t>
      </w:r>
    </w:p>
    <w:p>
      <w:pPr>
        <w:pStyle w:val="BodyText"/>
        <w:spacing w:line="360" w:lineRule="auto" w:before="4"/>
        <w:ind w:left="863" w:right="114" w:hanging="711"/>
        <w:jc w:val="both"/>
      </w:pPr>
      <w:r>
        <w:rPr/>
        <w:t>Skjesol</w:t>
      </w:r>
      <w:r>
        <w:rPr>
          <w:spacing w:val="-16"/>
        </w:rPr>
        <w:t> </w:t>
      </w:r>
      <w:r>
        <w:rPr>
          <w:spacing w:val="-3"/>
        </w:rPr>
        <w:t>A,</w:t>
      </w:r>
      <w:r>
        <w:rPr>
          <w:spacing w:val="-10"/>
        </w:rPr>
        <w:t> </w:t>
      </w:r>
      <w:r>
        <w:rPr/>
        <w:t>Skjæveland</w:t>
      </w:r>
      <w:r>
        <w:rPr>
          <w:spacing w:val="-12"/>
        </w:rPr>
        <w:t> </w:t>
      </w:r>
      <w:r>
        <w:rPr/>
        <w:t>I,</w:t>
      </w:r>
      <w:r>
        <w:rPr>
          <w:spacing w:val="-14"/>
        </w:rPr>
        <w:t> </w:t>
      </w:r>
      <w:r>
        <w:rPr/>
        <w:t>Elnæs</w:t>
      </w:r>
      <w:r>
        <w:rPr>
          <w:spacing w:val="-14"/>
        </w:rPr>
        <w:t> </w:t>
      </w:r>
      <w:r>
        <w:rPr/>
        <w:t>M,</w:t>
      </w:r>
      <w:r>
        <w:rPr>
          <w:spacing w:val="-10"/>
        </w:rPr>
        <w:t> </w:t>
      </w:r>
      <w:r>
        <w:rPr/>
        <w:t>Timmerhaus</w:t>
      </w:r>
      <w:r>
        <w:rPr>
          <w:spacing w:val="-14"/>
        </w:rPr>
        <w:t> </w:t>
      </w:r>
      <w:r>
        <w:rPr/>
        <w:t>G,</w:t>
      </w:r>
      <w:r>
        <w:rPr>
          <w:spacing w:val="-15"/>
        </w:rPr>
        <w:t> </w:t>
      </w:r>
      <w:r>
        <w:rPr/>
        <w:t>Fredriksen</w:t>
      </w:r>
      <w:r>
        <w:rPr>
          <w:spacing w:val="-16"/>
        </w:rPr>
        <w:t> </w:t>
      </w:r>
      <w:r>
        <w:rPr/>
        <w:t>BN,</w:t>
      </w:r>
      <w:r>
        <w:rPr>
          <w:spacing w:val="-10"/>
        </w:rPr>
        <w:t> </w:t>
      </w:r>
      <w:r>
        <w:rPr/>
        <w:t>Jørgensen</w:t>
      </w:r>
      <w:r>
        <w:rPr>
          <w:spacing w:val="-16"/>
        </w:rPr>
        <w:t> </w:t>
      </w:r>
      <w:r>
        <w:rPr/>
        <w:t>SM</w:t>
      </w:r>
      <w:r>
        <w:rPr>
          <w:spacing w:val="35"/>
        </w:rPr>
        <w:t> </w:t>
      </w:r>
      <w:r>
        <w:rPr/>
        <w:t>Jørgensen J B. (2011): IPNV with high and low virulence: host immune responses and viral mutations during infection. J Virol. 8.</w:t>
      </w:r>
      <w:r>
        <w:rPr>
          <w:spacing w:val="-12"/>
        </w:rPr>
        <w:t> </w:t>
      </w:r>
      <w:r>
        <w:rPr/>
        <w:t>396-410.</w:t>
      </w:r>
    </w:p>
    <w:p>
      <w:pPr>
        <w:pStyle w:val="BodyText"/>
        <w:spacing w:line="360" w:lineRule="auto" w:before="4"/>
        <w:ind w:left="863" w:right="110" w:hanging="711"/>
        <w:jc w:val="both"/>
      </w:pPr>
      <w:r>
        <w:rPr/>
        <w:t>Skjesol A, Hansen T, Shi CY, Thim HL, Jørgensen JB. (2010): Structural and functional studies of STAT1 from Atlantic salmon (</w:t>
      </w:r>
      <w:r>
        <w:rPr>
          <w:i/>
        </w:rPr>
        <w:t>Salmo salar</w:t>
      </w:r>
      <w:r>
        <w:rPr/>
        <w:t>). BMC immunology. 11:1-17.</w:t>
      </w:r>
    </w:p>
    <w:p>
      <w:pPr>
        <w:pStyle w:val="BodyText"/>
        <w:spacing w:line="360" w:lineRule="auto" w:before="4"/>
        <w:ind w:left="863" w:right="111" w:hanging="711"/>
        <w:jc w:val="both"/>
      </w:pPr>
      <w:r>
        <w:rPr/>
        <w:t>Skjesol</w:t>
      </w:r>
      <w:r>
        <w:rPr>
          <w:spacing w:val="-20"/>
        </w:rPr>
        <w:t> </w:t>
      </w:r>
      <w:r>
        <w:rPr>
          <w:spacing w:val="-3"/>
        </w:rPr>
        <w:t>A,</w:t>
      </w:r>
      <w:r>
        <w:rPr>
          <w:spacing w:val="-10"/>
        </w:rPr>
        <w:t> </w:t>
      </w:r>
      <w:r>
        <w:rPr>
          <w:spacing w:val="-4"/>
        </w:rPr>
        <w:t>Aamo</w:t>
      </w:r>
      <w:r>
        <w:rPr>
          <w:spacing w:val="-7"/>
        </w:rPr>
        <w:t> </w:t>
      </w:r>
      <w:r>
        <w:rPr/>
        <w:t>T,</w:t>
      </w:r>
      <w:r>
        <w:rPr>
          <w:spacing w:val="-13"/>
        </w:rPr>
        <w:t> </w:t>
      </w:r>
      <w:r>
        <w:rPr/>
        <w:t>Hegseth</w:t>
      </w:r>
      <w:r>
        <w:rPr>
          <w:spacing w:val="-15"/>
        </w:rPr>
        <w:t> </w:t>
      </w:r>
      <w:r>
        <w:rPr/>
        <w:t>MN,</w:t>
      </w:r>
      <w:r>
        <w:rPr>
          <w:spacing w:val="-14"/>
        </w:rPr>
        <w:t> </w:t>
      </w:r>
      <w:r>
        <w:rPr/>
        <w:t>Robertsen</w:t>
      </w:r>
      <w:r>
        <w:rPr>
          <w:spacing w:val="-15"/>
        </w:rPr>
        <w:t> </w:t>
      </w:r>
      <w:r>
        <w:rPr/>
        <w:t>B,</w:t>
      </w:r>
      <w:r>
        <w:rPr>
          <w:spacing w:val="36"/>
        </w:rPr>
        <w:t> </w:t>
      </w:r>
      <w:r>
        <w:rPr/>
        <w:t>Jørgensen</w:t>
      </w:r>
      <w:r>
        <w:rPr>
          <w:spacing w:val="-15"/>
        </w:rPr>
        <w:t> </w:t>
      </w:r>
      <w:r>
        <w:rPr/>
        <w:t>JB.</w:t>
      </w:r>
      <w:r>
        <w:rPr>
          <w:spacing w:val="-10"/>
        </w:rPr>
        <w:t> </w:t>
      </w:r>
      <w:r>
        <w:rPr/>
        <w:t>(2009):</w:t>
      </w:r>
      <w:r>
        <w:rPr>
          <w:spacing w:val="-15"/>
        </w:rPr>
        <w:t> </w:t>
      </w:r>
      <w:r>
        <w:rPr/>
        <w:t>The</w:t>
      </w:r>
      <w:r>
        <w:rPr>
          <w:spacing w:val="-12"/>
        </w:rPr>
        <w:t> </w:t>
      </w:r>
      <w:r>
        <w:rPr/>
        <w:t>interplay</w:t>
      </w:r>
      <w:r>
        <w:rPr>
          <w:spacing w:val="-15"/>
        </w:rPr>
        <w:t> </w:t>
      </w:r>
      <w:r>
        <w:rPr/>
        <w:t>between infectious pancreatic necrosis virus (IPNV) and the IFN system: IFN signaling </w:t>
      </w:r>
      <w:r>
        <w:rPr>
          <w:spacing w:val="-3"/>
        </w:rPr>
        <w:t>is </w:t>
      </w:r>
      <w:r>
        <w:rPr/>
        <w:t>inhibited by IPNV infection. Virus research. 143:</w:t>
      </w:r>
      <w:r>
        <w:rPr>
          <w:spacing w:val="-13"/>
        </w:rPr>
        <w:t> </w:t>
      </w:r>
      <w:r>
        <w:rPr/>
        <w:t>53-60.</w:t>
      </w:r>
    </w:p>
    <w:p>
      <w:pPr>
        <w:pStyle w:val="BodyText"/>
        <w:spacing w:line="360" w:lineRule="auto" w:before="4"/>
        <w:ind w:left="863" w:right="106" w:hanging="711"/>
        <w:jc w:val="both"/>
      </w:pPr>
      <w:r>
        <w:rPr/>
        <w:t>Skjesol,</w:t>
      </w:r>
      <w:r>
        <w:rPr>
          <w:spacing w:val="-8"/>
        </w:rPr>
        <w:t> </w:t>
      </w:r>
      <w:r>
        <w:rPr/>
        <w:t>A.,</w:t>
      </w:r>
      <w:r>
        <w:rPr>
          <w:spacing w:val="-8"/>
        </w:rPr>
        <w:t> </w:t>
      </w:r>
      <w:r>
        <w:rPr/>
        <w:t>Skjæveland,</w:t>
      </w:r>
      <w:r>
        <w:rPr>
          <w:spacing w:val="-8"/>
        </w:rPr>
        <w:t> </w:t>
      </w:r>
      <w:r>
        <w:rPr/>
        <w:t>I.,</w:t>
      </w:r>
      <w:r>
        <w:rPr>
          <w:spacing w:val="-12"/>
        </w:rPr>
        <w:t> </w:t>
      </w:r>
      <w:r>
        <w:rPr/>
        <w:t>Elnæs,</w:t>
      </w:r>
      <w:r>
        <w:rPr>
          <w:spacing w:val="-8"/>
        </w:rPr>
        <w:t> </w:t>
      </w:r>
      <w:r>
        <w:rPr/>
        <w:t>M.,</w:t>
      </w:r>
      <w:r>
        <w:rPr>
          <w:spacing w:val="-12"/>
        </w:rPr>
        <w:t> </w:t>
      </w:r>
      <w:r>
        <w:rPr/>
        <w:t>Timmerhaus,</w:t>
      </w:r>
      <w:r>
        <w:rPr>
          <w:spacing w:val="-8"/>
        </w:rPr>
        <w:t> </w:t>
      </w:r>
      <w:r>
        <w:rPr/>
        <w:t>G.,</w:t>
      </w:r>
      <w:r>
        <w:rPr>
          <w:spacing w:val="-8"/>
        </w:rPr>
        <w:t> </w:t>
      </w:r>
      <w:r>
        <w:rPr/>
        <w:t>Fredriksen,</w:t>
      </w:r>
      <w:r>
        <w:rPr>
          <w:spacing w:val="-8"/>
        </w:rPr>
        <w:t> </w:t>
      </w:r>
      <w:r>
        <w:rPr/>
        <w:t>B.</w:t>
      </w:r>
      <w:r>
        <w:rPr>
          <w:spacing w:val="-8"/>
        </w:rPr>
        <w:t> </w:t>
      </w:r>
      <w:r>
        <w:rPr/>
        <w:t>N.,</w:t>
      </w:r>
      <w:r>
        <w:rPr>
          <w:spacing w:val="-8"/>
        </w:rPr>
        <w:t> </w:t>
      </w:r>
      <w:r>
        <w:rPr/>
        <w:t>Jørgensen,</w:t>
      </w:r>
      <w:r>
        <w:rPr>
          <w:spacing w:val="-8"/>
        </w:rPr>
        <w:t> </w:t>
      </w:r>
      <w:r>
        <w:rPr/>
        <w:t>S.</w:t>
      </w:r>
      <w:r>
        <w:rPr>
          <w:spacing w:val="-12"/>
        </w:rPr>
        <w:t> </w:t>
      </w:r>
      <w:r>
        <w:rPr/>
        <w:t>M., &amp;</w:t>
      </w:r>
      <w:r>
        <w:rPr>
          <w:spacing w:val="-16"/>
        </w:rPr>
        <w:t> </w:t>
      </w:r>
      <w:r>
        <w:rPr/>
        <w:t>Jørgensen,</w:t>
      </w:r>
      <w:r>
        <w:rPr>
          <w:spacing w:val="-11"/>
        </w:rPr>
        <w:t> </w:t>
      </w:r>
      <w:r>
        <w:rPr/>
        <w:t>J.</w:t>
      </w:r>
      <w:r>
        <w:rPr>
          <w:spacing w:val="-11"/>
        </w:rPr>
        <w:t> </w:t>
      </w:r>
      <w:r>
        <w:rPr/>
        <w:t>B.</w:t>
      </w:r>
      <w:r>
        <w:rPr>
          <w:spacing w:val="-14"/>
        </w:rPr>
        <w:t> </w:t>
      </w:r>
      <w:r>
        <w:rPr/>
        <w:t>(2011).</w:t>
      </w:r>
      <w:r>
        <w:rPr>
          <w:spacing w:val="-14"/>
        </w:rPr>
        <w:t> </w:t>
      </w:r>
      <w:r>
        <w:rPr/>
        <w:t>IPNV</w:t>
      </w:r>
      <w:r>
        <w:rPr>
          <w:spacing w:val="-13"/>
        </w:rPr>
        <w:t> </w:t>
      </w:r>
      <w:r>
        <w:rPr/>
        <w:t>with</w:t>
      </w:r>
      <w:r>
        <w:rPr>
          <w:spacing w:val="-16"/>
        </w:rPr>
        <w:t> </w:t>
      </w:r>
      <w:r>
        <w:rPr/>
        <w:t>high</w:t>
      </w:r>
      <w:r>
        <w:rPr>
          <w:spacing w:val="-16"/>
        </w:rPr>
        <w:t> </w:t>
      </w:r>
      <w:r>
        <w:rPr/>
        <w:t>and</w:t>
      </w:r>
      <w:r>
        <w:rPr>
          <w:spacing w:val="-8"/>
        </w:rPr>
        <w:t> </w:t>
      </w:r>
      <w:r>
        <w:rPr/>
        <w:t>low</w:t>
      </w:r>
      <w:r>
        <w:rPr>
          <w:spacing w:val="-12"/>
        </w:rPr>
        <w:t> </w:t>
      </w:r>
      <w:r>
        <w:rPr/>
        <w:t>virulence:</w:t>
      </w:r>
      <w:r>
        <w:rPr>
          <w:spacing w:val="-11"/>
        </w:rPr>
        <w:t> </w:t>
      </w:r>
      <w:r>
        <w:rPr/>
        <w:t>host</w:t>
      </w:r>
      <w:r>
        <w:rPr>
          <w:spacing w:val="-8"/>
        </w:rPr>
        <w:t> </w:t>
      </w:r>
      <w:r>
        <w:rPr/>
        <w:t>immune</w:t>
      </w:r>
      <w:r>
        <w:rPr>
          <w:spacing w:val="-13"/>
        </w:rPr>
        <w:t> </w:t>
      </w:r>
      <w:r>
        <w:rPr/>
        <w:t>responses and viral mutations during infection. Virol J. 8.</w:t>
      </w:r>
      <w:r>
        <w:rPr>
          <w:spacing w:val="-16"/>
        </w:rPr>
        <w:t> </w:t>
      </w:r>
      <w:r>
        <w:rPr/>
        <w:t>396.</w:t>
      </w:r>
    </w:p>
    <w:p>
      <w:pPr>
        <w:spacing w:after="0" w:line="360" w:lineRule="auto"/>
        <w:jc w:val="both"/>
        <w:sectPr>
          <w:pgSz w:w="12240" w:h="15840"/>
          <w:pgMar w:header="0" w:footer="1382" w:top="1500" w:bottom="1580" w:left="1720" w:right="1420"/>
        </w:sectPr>
      </w:pPr>
    </w:p>
    <w:p>
      <w:pPr>
        <w:pStyle w:val="BodyText"/>
        <w:spacing w:before="7"/>
        <w:rPr>
          <w:sz w:val="25"/>
        </w:rPr>
      </w:pPr>
    </w:p>
    <w:p>
      <w:pPr>
        <w:pStyle w:val="BodyText"/>
        <w:spacing w:line="360" w:lineRule="auto" w:before="70"/>
        <w:ind w:left="863" w:right="100" w:hanging="711"/>
        <w:jc w:val="both"/>
      </w:pPr>
      <w:r>
        <w:rPr/>
        <w:t>Smail DA, McFarlane L A, Bruno D W, McVicar AH. (1995): The pathology of an IPN-Sp sub-type (Sh) in farmed Atlantic salmon, </w:t>
      </w:r>
      <w:r>
        <w:rPr>
          <w:i/>
        </w:rPr>
        <w:t>Salmo salar </w:t>
      </w:r>
      <w:r>
        <w:rPr/>
        <w:t>L, post-smolts in the Shetland Isles, Scotland. J. Fish. Dis. 18: 631-638.</w:t>
      </w:r>
    </w:p>
    <w:p>
      <w:pPr>
        <w:pStyle w:val="BodyText"/>
        <w:spacing w:line="360" w:lineRule="auto" w:before="8"/>
        <w:ind w:left="863" w:right="102" w:hanging="711"/>
        <w:jc w:val="both"/>
      </w:pPr>
      <w:r>
        <w:rPr/>
        <w:t>Snieszko</w:t>
      </w:r>
      <w:r>
        <w:rPr>
          <w:spacing w:val="-6"/>
        </w:rPr>
        <w:t> </w:t>
      </w:r>
      <w:r>
        <w:rPr/>
        <w:t>SF,</w:t>
      </w:r>
      <w:r>
        <w:rPr>
          <w:spacing w:val="-9"/>
        </w:rPr>
        <w:t> </w:t>
      </w:r>
      <w:r>
        <w:rPr/>
        <w:t>Wolf</w:t>
      </w:r>
      <w:r>
        <w:rPr>
          <w:spacing w:val="-15"/>
        </w:rPr>
        <w:t> </w:t>
      </w:r>
      <w:r>
        <w:rPr>
          <w:spacing w:val="-3"/>
        </w:rPr>
        <w:t>K.</w:t>
      </w:r>
      <w:r>
        <w:rPr>
          <w:spacing w:val="-9"/>
        </w:rPr>
        <w:t> </w:t>
      </w:r>
      <w:r>
        <w:rPr/>
        <w:t>(1958):</w:t>
      </w:r>
      <w:r>
        <w:rPr>
          <w:spacing w:val="-10"/>
        </w:rPr>
        <w:t> </w:t>
      </w:r>
      <w:r>
        <w:rPr/>
        <w:t>Infectious</w:t>
      </w:r>
      <w:r>
        <w:rPr>
          <w:spacing w:val="-13"/>
        </w:rPr>
        <w:t> </w:t>
      </w:r>
      <w:r>
        <w:rPr/>
        <w:t>pancreatic</w:t>
      </w:r>
      <w:r>
        <w:rPr>
          <w:spacing w:val="-7"/>
        </w:rPr>
        <w:t> </w:t>
      </w:r>
      <w:r>
        <w:rPr/>
        <w:t>necrosis</w:t>
      </w:r>
      <w:r>
        <w:rPr>
          <w:spacing w:val="-13"/>
        </w:rPr>
        <w:t> </w:t>
      </w:r>
      <w:r>
        <w:rPr>
          <w:spacing w:val="4"/>
        </w:rPr>
        <w:t>of</w:t>
      </w:r>
      <w:r>
        <w:rPr>
          <w:spacing w:val="-18"/>
        </w:rPr>
        <w:t> </w:t>
      </w:r>
      <w:r>
        <w:rPr/>
        <w:t>salmonid</w:t>
      </w:r>
      <w:r>
        <w:rPr>
          <w:spacing w:val="-6"/>
        </w:rPr>
        <w:t> </w:t>
      </w:r>
      <w:r>
        <w:rPr/>
        <w:t>fish</w:t>
      </w:r>
      <w:r>
        <w:rPr>
          <w:spacing w:val="-16"/>
        </w:rPr>
        <w:t> </w:t>
      </w:r>
      <w:r>
        <w:rPr/>
        <w:t>(acute</w:t>
      </w:r>
      <w:r>
        <w:rPr>
          <w:spacing w:val="-12"/>
        </w:rPr>
        <w:t> </w:t>
      </w:r>
      <w:r>
        <w:rPr/>
        <w:t>catarrhal enteritis). J Virology. 8:</w:t>
      </w:r>
      <w:r>
        <w:rPr>
          <w:spacing w:val="-8"/>
        </w:rPr>
        <w:t> </w:t>
      </w:r>
      <w:r>
        <w:rPr/>
        <w:t>525-533.</w:t>
      </w:r>
    </w:p>
    <w:p>
      <w:pPr>
        <w:pStyle w:val="BodyText"/>
        <w:spacing w:line="360" w:lineRule="auto" w:before="4"/>
        <w:ind w:left="863" w:right="111" w:hanging="711"/>
        <w:jc w:val="both"/>
      </w:pPr>
      <w:r>
        <w:rPr/>
        <w:t>Somogyi, P, Dobos, P. (1980): Virus specific RNA synthesis in cells infected by infectious pancreatic necrosis virus. J of Virology. 33: 129-139.</w:t>
      </w:r>
    </w:p>
    <w:p>
      <w:pPr>
        <w:pStyle w:val="BodyText"/>
        <w:spacing w:line="360" w:lineRule="auto" w:before="4"/>
        <w:ind w:left="863" w:right="109" w:hanging="711"/>
        <w:jc w:val="both"/>
      </w:pPr>
      <w:r>
        <w:rPr/>
        <w:t>Song MM, Shuai </w:t>
      </w:r>
      <w:r>
        <w:rPr>
          <w:spacing w:val="-3"/>
        </w:rPr>
        <w:t>K. </w:t>
      </w:r>
      <w:r>
        <w:rPr/>
        <w:t>(1998): The suppressor of</w:t>
      </w:r>
      <w:r>
        <w:rPr>
          <w:spacing w:val="-44"/>
        </w:rPr>
        <w:t> </w:t>
      </w:r>
      <w:r>
        <w:rPr/>
        <w:t>cytokine signaling (SOCS) 1 and SOCS3 </w:t>
      </w:r>
      <w:r>
        <w:rPr>
          <w:spacing w:val="-4"/>
        </w:rPr>
        <w:t>but </w:t>
      </w:r>
      <w:r>
        <w:rPr/>
        <w:t>not SOCS2 proteins </w:t>
      </w:r>
      <w:r>
        <w:rPr>
          <w:spacing w:val="-3"/>
        </w:rPr>
        <w:t>inhibit </w:t>
      </w:r>
      <w:r>
        <w:rPr/>
        <w:t>interferon-mediated antiviral and antiproliferative activities. J Biol Chem.</w:t>
      </w:r>
      <w:r>
        <w:rPr>
          <w:spacing w:val="-12"/>
        </w:rPr>
        <w:t> </w:t>
      </w:r>
      <w:r>
        <w:rPr/>
        <w:t>273:35056-35062.</w:t>
      </w:r>
    </w:p>
    <w:p>
      <w:pPr>
        <w:pStyle w:val="BodyText"/>
        <w:spacing w:line="360" w:lineRule="auto" w:before="4"/>
        <w:ind w:left="863" w:right="101" w:hanging="711"/>
        <w:jc w:val="both"/>
      </w:pPr>
      <w:r>
        <w:rPr/>
        <w:t>Song H, Santi N, Evensen O, Vakharia VN. (2005): Molecular determinants of infectious pancreatic</w:t>
      </w:r>
      <w:r>
        <w:rPr>
          <w:spacing w:val="-8"/>
        </w:rPr>
        <w:t> </w:t>
      </w:r>
      <w:r>
        <w:rPr/>
        <w:t>necrosis</w:t>
      </w:r>
      <w:r>
        <w:rPr>
          <w:spacing w:val="-14"/>
        </w:rPr>
        <w:t> </w:t>
      </w:r>
      <w:r>
        <w:rPr/>
        <w:t>virus</w:t>
      </w:r>
      <w:r>
        <w:rPr>
          <w:spacing w:val="-9"/>
        </w:rPr>
        <w:t> </w:t>
      </w:r>
      <w:r>
        <w:rPr/>
        <w:t>virulence</w:t>
      </w:r>
      <w:r>
        <w:rPr>
          <w:spacing w:val="-13"/>
        </w:rPr>
        <w:t> </w:t>
      </w:r>
      <w:r>
        <w:rPr/>
        <w:t>and</w:t>
      </w:r>
      <w:r>
        <w:rPr>
          <w:spacing w:val="-12"/>
        </w:rPr>
        <w:t> </w:t>
      </w:r>
      <w:r>
        <w:rPr/>
        <w:t>cell</w:t>
      </w:r>
      <w:r>
        <w:rPr>
          <w:spacing w:val="-16"/>
        </w:rPr>
        <w:t> </w:t>
      </w:r>
      <w:r>
        <w:rPr/>
        <w:t>culture</w:t>
      </w:r>
      <w:r>
        <w:rPr>
          <w:spacing w:val="-13"/>
        </w:rPr>
        <w:t> </w:t>
      </w:r>
      <w:r>
        <w:rPr/>
        <w:t>adaptation.</w:t>
      </w:r>
      <w:r>
        <w:rPr>
          <w:spacing w:val="-10"/>
        </w:rPr>
        <w:t> </w:t>
      </w:r>
      <w:r>
        <w:rPr/>
        <w:t>J</w:t>
      </w:r>
      <w:r>
        <w:rPr>
          <w:spacing w:val="-14"/>
        </w:rPr>
        <w:t> </w:t>
      </w:r>
      <w:r>
        <w:rPr/>
        <w:t>Virology.</w:t>
      </w:r>
      <w:r>
        <w:rPr>
          <w:spacing w:val="-10"/>
        </w:rPr>
        <w:t> </w:t>
      </w:r>
      <w:r>
        <w:rPr/>
        <w:t>79:</w:t>
      </w:r>
      <w:r>
        <w:rPr>
          <w:spacing w:val="-11"/>
        </w:rPr>
        <w:t> </w:t>
      </w:r>
      <w:r>
        <w:rPr/>
        <w:t>10289- 10299.</w:t>
      </w:r>
    </w:p>
    <w:p>
      <w:pPr>
        <w:pStyle w:val="BodyText"/>
        <w:spacing w:line="360" w:lineRule="auto" w:before="4"/>
        <w:ind w:left="863" w:right="112" w:hanging="711"/>
        <w:jc w:val="both"/>
      </w:pPr>
      <w:r>
        <w:rPr/>
        <w:t>Sorimachi M, Hara T. (1985): Characteristics and pathogenicity of a virus isolated froyellowtail fingerlings showing ascites. Fish Pathol. 19:231-238.</w:t>
      </w:r>
    </w:p>
    <w:p>
      <w:pPr>
        <w:pStyle w:val="BodyText"/>
        <w:spacing w:line="360" w:lineRule="auto" w:before="4"/>
        <w:ind w:left="863" w:right="110" w:hanging="711"/>
        <w:jc w:val="both"/>
      </w:pPr>
      <w:r>
        <w:rPr/>
        <w:t>Staeheli</w:t>
      </w:r>
      <w:r>
        <w:rPr>
          <w:spacing w:val="-10"/>
        </w:rPr>
        <w:t> </w:t>
      </w:r>
      <w:r>
        <w:rPr/>
        <w:t>P, Haller</w:t>
      </w:r>
      <w:r>
        <w:rPr>
          <w:spacing w:val="-1"/>
        </w:rPr>
        <w:t> </w:t>
      </w:r>
      <w:r>
        <w:rPr/>
        <w:t>O,</w:t>
      </w:r>
      <w:r>
        <w:rPr>
          <w:spacing w:val="-5"/>
        </w:rPr>
        <w:t> </w:t>
      </w:r>
      <w:r>
        <w:rPr/>
        <w:t>Boll</w:t>
      </w:r>
      <w:r>
        <w:rPr>
          <w:spacing w:val="-7"/>
        </w:rPr>
        <w:t> </w:t>
      </w:r>
      <w:r>
        <w:rPr>
          <w:spacing w:val="-3"/>
        </w:rPr>
        <w:t>W,</w:t>
      </w:r>
      <w:r>
        <w:rPr/>
        <w:t> Lindenmann</w:t>
      </w:r>
      <w:r>
        <w:rPr>
          <w:spacing w:val="-7"/>
        </w:rPr>
        <w:t> </w:t>
      </w:r>
      <w:r>
        <w:rPr/>
        <w:t>J, Weissmann</w:t>
      </w:r>
      <w:r>
        <w:rPr>
          <w:spacing w:val="-7"/>
        </w:rPr>
        <w:t> </w:t>
      </w:r>
      <w:r>
        <w:rPr/>
        <w:t>C.</w:t>
      </w:r>
      <w:r>
        <w:rPr>
          <w:spacing w:val="-5"/>
        </w:rPr>
        <w:t> </w:t>
      </w:r>
      <w:r>
        <w:rPr/>
        <w:t>(1986):</w:t>
      </w:r>
      <w:r>
        <w:rPr>
          <w:spacing w:val="-7"/>
        </w:rPr>
        <w:t> </w:t>
      </w:r>
      <w:r>
        <w:rPr/>
        <w:t>Mx</w:t>
      </w:r>
      <w:r>
        <w:rPr>
          <w:spacing w:val="-7"/>
        </w:rPr>
        <w:t> </w:t>
      </w:r>
      <w:r>
        <w:rPr/>
        <w:t>Protein-constitutive expression </w:t>
      </w:r>
      <w:r>
        <w:rPr>
          <w:spacing w:val="-3"/>
        </w:rPr>
        <w:t>in </w:t>
      </w:r>
      <w:r>
        <w:rPr/>
        <w:t>t-cells transformed with cloned Mx cDNA confers selective resistance to influenza-virus. Cell 44:</w:t>
      </w:r>
      <w:r>
        <w:rPr>
          <w:spacing w:val="-10"/>
        </w:rPr>
        <w:t> </w:t>
      </w:r>
      <w:r>
        <w:rPr/>
        <w:t>147-158.</w:t>
      </w:r>
    </w:p>
    <w:p>
      <w:pPr>
        <w:pStyle w:val="BodyText"/>
        <w:spacing w:line="360" w:lineRule="auto" w:before="4"/>
        <w:ind w:left="863" w:right="113" w:hanging="711"/>
        <w:jc w:val="both"/>
      </w:pPr>
      <w:r>
        <w:rPr/>
        <w:t>Stark</w:t>
      </w:r>
      <w:r>
        <w:rPr>
          <w:spacing w:val="-16"/>
        </w:rPr>
        <w:t> </w:t>
      </w:r>
      <w:r>
        <w:rPr/>
        <w:t>GR,</w:t>
      </w:r>
      <w:r>
        <w:rPr>
          <w:spacing w:val="-14"/>
        </w:rPr>
        <w:t> </w:t>
      </w:r>
      <w:r>
        <w:rPr/>
        <w:t>Kerr</w:t>
      </w:r>
      <w:r>
        <w:rPr>
          <w:spacing w:val="-11"/>
        </w:rPr>
        <w:t> </w:t>
      </w:r>
      <w:r>
        <w:rPr/>
        <w:t>IM,</w:t>
      </w:r>
      <w:r>
        <w:rPr>
          <w:spacing w:val="-14"/>
        </w:rPr>
        <w:t> </w:t>
      </w:r>
      <w:r>
        <w:rPr/>
        <w:t>Williams</w:t>
      </w:r>
      <w:r>
        <w:rPr>
          <w:spacing w:val="-14"/>
        </w:rPr>
        <w:t> </w:t>
      </w:r>
      <w:r>
        <w:rPr/>
        <w:t>BRG,</w:t>
      </w:r>
      <w:r>
        <w:rPr>
          <w:spacing w:val="-11"/>
        </w:rPr>
        <w:t> </w:t>
      </w:r>
      <w:r>
        <w:rPr/>
        <w:t>Silverman</w:t>
      </w:r>
      <w:r>
        <w:rPr>
          <w:spacing w:val="-16"/>
        </w:rPr>
        <w:t> </w:t>
      </w:r>
      <w:r>
        <w:rPr/>
        <w:t>RH,</w:t>
      </w:r>
      <w:r>
        <w:rPr>
          <w:spacing w:val="-11"/>
        </w:rPr>
        <w:t> </w:t>
      </w:r>
      <w:r>
        <w:rPr/>
        <w:t>Schreiber</w:t>
      </w:r>
      <w:r>
        <w:rPr>
          <w:spacing w:val="-11"/>
        </w:rPr>
        <w:t> </w:t>
      </w:r>
      <w:r>
        <w:rPr/>
        <w:t>RD.</w:t>
      </w:r>
      <w:r>
        <w:rPr>
          <w:spacing w:val="-11"/>
        </w:rPr>
        <w:t> </w:t>
      </w:r>
      <w:r>
        <w:rPr/>
        <w:t>(1998):</w:t>
      </w:r>
      <w:r>
        <w:rPr>
          <w:spacing w:val="-12"/>
        </w:rPr>
        <w:t> </w:t>
      </w:r>
      <w:r>
        <w:rPr/>
        <w:t>How</w:t>
      </w:r>
      <w:r>
        <w:rPr>
          <w:spacing w:val="-17"/>
        </w:rPr>
        <w:t> </w:t>
      </w:r>
      <w:r>
        <w:rPr/>
        <w:t>cells</w:t>
      </w:r>
      <w:r>
        <w:rPr>
          <w:spacing w:val="-14"/>
        </w:rPr>
        <w:t> </w:t>
      </w:r>
      <w:r>
        <w:rPr/>
        <w:t>respond to interferons. Ann Rev Biochem. 67:</w:t>
      </w:r>
      <w:r>
        <w:rPr>
          <w:spacing w:val="-9"/>
        </w:rPr>
        <w:t> </w:t>
      </w:r>
      <w:r>
        <w:rPr/>
        <w:t>227-264.</w:t>
      </w:r>
    </w:p>
    <w:p>
      <w:pPr>
        <w:pStyle w:val="BodyText"/>
        <w:spacing w:line="360" w:lineRule="auto" w:before="8"/>
        <w:ind w:left="863" w:right="107" w:hanging="711"/>
        <w:jc w:val="both"/>
      </w:pPr>
      <w:r>
        <w:rPr/>
        <w:t>Starr R, Hilton DJ. (1998): SOCS: suppressors of cytokine signalling. The international journal of biochemistry y cell biology. 30: 1081-1085.</w:t>
      </w:r>
    </w:p>
    <w:p>
      <w:pPr>
        <w:pStyle w:val="BodyText"/>
        <w:spacing w:line="360" w:lineRule="auto" w:before="4"/>
        <w:ind w:left="863" w:right="115" w:hanging="711"/>
        <w:jc w:val="both"/>
      </w:pPr>
      <w:r>
        <w:rPr/>
        <w:t>Stein C, Caccamo M, Laird G, Leptin M. (2007). Conservation, divergence of gene</w:t>
      </w:r>
      <w:r>
        <w:rPr>
          <w:spacing w:val="-30"/>
        </w:rPr>
        <w:t> </w:t>
      </w:r>
      <w:r>
        <w:rPr/>
        <w:t>families encoding</w:t>
      </w:r>
      <w:r>
        <w:rPr>
          <w:spacing w:val="-12"/>
        </w:rPr>
        <w:t> </w:t>
      </w:r>
      <w:r>
        <w:rPr/>
        <w:t>components</w:t>
      </w:r>
      <w:r>
        <w:rPr>
          <w:spacing w:val="-14"/>
        </w:rPr>
        <w:t> </w:t>
      </w:r>
      <w:r>
        <w:rPr/>
        <w:t>of</w:t>
      </w:r>
      <w:r>
        <w:rPr>
          <w:spacing w:val="-15"/>
        </w:rPr>
        <w:t> </w:t>
      </w:r>
      <w:r>
        <w:rPr/>
        <w:t>innate</w:t>
      </w:r>
      <w:r>
        <w:rPr>
          <w:spacing w:val="-8"/>
        </w:rPr>
        <w:t> </w:t>
      </w:r>
      <w:r>
        <w:rPr>
          <w:spacing w:val="-3"/>
        </w:rPr>
        <w:t>immune</w:t>
      </w:r>
      <w:r>
        <w:rPr>
          <w:spacing w:val="-13"/>
        </w:rPr>
        <w:t> </w:t>
      </w:r>
      <w:r>
        <w:rPr/>
        <w:t>response</w:t>
      </w:r>
      <w:r>
        <w:rPr>
          <w:spacing w:val="-13"/>
        </w:rPr>
        <w:t> </w:t>
      </w:r>
      <w:r>
        <w:rPr/>
        <w:t>systems</w:t>
      </w:r>
      <w:r>
        <w:rPr>
          <w:spacing w:val="-9"/>
        </w:rPr>
        <w:t> </w:t>
      </w:r>
      <w:r>
        <w:rPr>
          <w:spacing w:val="-3"/>
        </w:rPr>
        <w:t>in</w:t>
      </w:r>
      <w:r>
        <w:rPr>
          <w:spacing w:val="-16"/>
        </w:rPr>
        <w:t> </w:t>
      </w:r>
      <w:r>
        <w:rPr/>
        <w:t>zebrafish.</w:t>
      </w:r>
      <w:r>
        <w:rPr>
          <w:spacing w:val="-10"/>
        </w:rPr>
        <w:t> </w:t>
      </w:r>
      <w:r>
        <w:rPr/>
        <w:t>Genome</w:t>
      </w:r>
      <w:r>
        <w:rPr>
          <w:spacing w:val="-13"/>
        </w:rPr>
        <w:t> </w:t>
      </w:r>
      <w:r>
        <w:rPr/>
        <w:t>Biol. 8:</w:t>
      </w:r>
      <w:r>
        <w:rPr>
          <w:spacing w:val="3"/>
        </w:rPr>
        <w:t> </w:t>
      </w:r>
      <w:r>
        <w:rPr/>
        <w:t>251-255.</w:t>
      </w:r>
    </w:p>
    <w:p>
      <w:pPr>
        <w:pStyle w:val="BodyText"/>
        <w:spacing w:line="360" w:lineRule="auto" w:before="4"/>
        <w:ind w:left="863" w:right="108" w:hanging="711"/>
        <w:jc w:val="both"/>
      </w:pPr>
      <w:r>
        <w:rPr/>
        <w:t>Stephens</w:t>
      </w:r>
      <w:r>
        <w:rPr>
          <w:spacing w:val="-16"/>
        </w:rPr>
        <w:t> </w:t>
      </w:r>
      <w:r>
        <w:rPr/>
        <w:t>EB,</w:t>
      </w:r>
      <w:r>
        <w:rPr>
          <w:spacing w:val="-11"/>
        </w:rPr>
        <w:t> </w:t>
      </w:r>
      <w:r>
        <w:rPr/>
        <w:t>Newman</w:t>
      </w:r>
      <w:r>
        <w:rPr>
          <w:spacing w:val="-18"/>
        </w:rPr>
        <w:t> </w:t>
      </w:r>
      <w:r>
        <w:rPr/>
        <w:t>NW,</w:t>
      </w:r>
      <w:r>
        <w:rPr>
          <w:spacing w:val="-11"/>
        </w:rPr>
        <w:t> </w:t>
      </w:r>
      <w:r>
        <w:rPr/>
        <w:t>Zachary</w:t>
      </w:r>
      <w:r>
        <w:rPr>
          <w:spacing w:val="-13"/>
        </w:rPr>
        <w:t> </w:t>
      </w:r>
      <w:r>
        <w:rPr>
          <w:spacing w:val="-3"/>
        </w:rPr>
        <w:t>AL,</w:t>
      </w:r>
      <w:r>
        <w:rPr>
          <w:spacing w:val="-11"/>
        </w:rPr>
        <w:t> </w:t>
      </w:r>
      <w:r>
        <w:rPr/>
        <w:t>Hetrick</w:t>
      </w:r>
      <w:r>
        <w:rPr>
          <w:spacing w:val="-9"/>
        </w:rPr>
        <w:t> </w:t>
      </w:r>
      <w:r>
        <w:rPr/>
        <w:t>FM.</w:t>
      </w:r>
      <w:r>
        <w:rPr>
          <w:spacing w:val="-11"/>
        </w:rPr>
        <w:t> </w:t>
      </w:r>
      <w:r>
        <w:rPr/>
        <w:t>(1980):</w:t>
      </w:r>
      <w:r>
        <w:rPr>
          <w:spacing w:val="-13"/>
        </w:rPr>
        <w:t> </w:t>
      </w:r>
      <w:r>
        <w:rPr/>
        <w:t>A</w:t>
      </w:r>
      <w:r>
        <w:rPr>
          <w:spacing w:val="-19"/>
        </w:rPr>
        <w:t> </w:t>
      </w:r>
      <w:r>
        <w:rPr/>
        <w:t>viral</w:t>
      </w:r>
      <w:r>
        <w:rPr>
          <w:spacing w:val="-18"/>
        </w:rPr>
        <w:t> </w:t>
      </w:r>
      <w:r>
        <w:rPr/>
        <w:t>etiology</w:t>
      </w:r>
      <w:r>
        <w:rPr>
          <w:spacing w:val="-18"/>
        </w:rPr>
        <w:t> </w:t>
      </w:r>
      <w:r>
        <w:rPr/>
        <w:t>for</w:t>
      </w:r>
      <w:r>
        <w:rPr>
          <w:spacing w:val="-12"/>
        </w:rPr>
        <w:t> </w:t>
      </w:r>
      <w:r>
        <w:rPr/>
        <w:t>the</w:t>
      </w:r>
      <w:r>
        <w:rPr>
          <w:spacing w:val="-14"/>
        </w:rPr>
        <w:t> </w:t>
      </w:r>
      <w:r>
        <w:rPr/>
        <w:t>annual spring epizootics of Atlantic menhadem Brevortia tyrannus L, </w:t>
      </w:r>
      <w:r>
        <w:rPr>
          <w:spacing w:val="-3"/>
        </w:rPr>
        <w:t>in </w:t>
      </w:r>
      <w:r>
        <w:rPr/>
        <w:t>Chesapeake Bay. J. Fish Dis.</w:t>
      </w:r>
      <w:r>
        <w:rPr>
          <w:spacing w:val="-3"/>
        </w:rPr>
        <w:t> </w:t>
      </w:r>
      <w:r>
        <w:rPr/>
        <w:t>3:387-398.</w:t>
      </w:r>
    </w:p>
    <w:p>
      <w:pPr>
        <w:spacing w:after="0" w:line="360" w:lineRule="auto"/>
        <w:jc w:val="both"/>
        <w:sectPr>
          <w:pgSz w:w="12240" w:h="15840"/>
          <w:pgMar w:header="0" w:footer="1382" w:top="1500" w:bottom="1580" w:left="1720" w:right="1420"/>
        </w:sectPr>
      </w:pPr>
    </w:p>
    <w:p>
      <w:pPr>
        <w:pStyle w:val="BodyText"/>
        <w:spacing w:before="7"/>
        <w:rPr>
          <w:sz w:val="25"/>
        </w:rPr>
      </w:pPr>
    </w:p>
    <w:p>
      <w:pPr>
        <w:pStyle w:val="BodyText"/>
        <w:spacing w:line="360" w:lineRule="auto" w:before="70"/>
        <w:ind w:left="863" w:right="104" w:hanging="711"/>
        <w:jc w:val="both"/>
      </w:pPr>
      <w:r>
        <w:rPr/>
        <w:t>Sun B, Robertsen B, Wang Z, Liu B. (2009): Identification of an Atlantic salmon IFN multigene cluster encoding three IFN subtypes with very different expression properties. Develop &amp; Comparative Immunology 2009. 33:547-558.</w:t>
      </w:r>
    </w:p>
    <w:p>
      <w:pPr>
        <w:pStyle w:val="BodyText"/>
        <w:spacing w:line="360" w:lineRule="auto" w:before="8"/>
        <w:ind w:left="863" w:right="111" w:hanging="711"/>
        <w:jc w:val="both"/>
      </w:pPr>
      <w:r>
        <w:rPr/>
        <w:t>Suzuki Y, Otaka T, Sato S, Hou YY, </w:t>
      </w:r>
      <w:r>
        <w:rPr>
          <w:spacing w:val="-3"/>
        </w:rPr>
        <w:t>Aida K. </w:t>
      </w:r>
      <w:r>
        <w:rPr/>
        <w:t>(1997): Reproduction related</w:t>
      </w:r>
      <w:r>
        <w:rPr>
          <w:spacing w:val="-34"/>
        </w:rPr>
        <w:t> </w:t>
      </w:r>
      <w:r>
        <w:rPr/>
        <w:t>immunoglobulin changes </w:t>
      </w:r>
      <w:r>
        <w:rPr>
          <w:spacing w:val="-3"/>
        </w:rPr>
        <w:t>in </w:t>
      </w:r>
      <w:r>
        <w:rPr/>
        <w:t>rainbow trout. Fish Physiology and Biochemistry. 17:</w:t>
      </w:r>
      <w:r>
        <w:rPr>
          <w:spacing w:val="-8"/>
        </w:rPr>
        <w:t> </w:t>
      </w:r>
      <w:r>
        <w:rPr/>
        <w:t>415-421.</w:t>
      </w:r>
    </w:p>
    <w:p>
      <w:pPr>
        <w:pStyle w:val="BodyText"/>
        <w:spacing w:line="360" w:lineRule="auto" w:before="4"/>
        <w:ind w:left="863" w:right="108" w:hanging="711"/>
        <w:jc w:val="both"/>
      </w:pPr>
      <w:r>
        <w:rPr/>
        <w:t>Swanson</w:t>
      </w:r>
      <w:r>
        <w:rPr>
          <w:spacing w:val="-11"/>
        </w:rPr>
        <w:t> </w:t>
      </w:r>
      <w:r>
        <w:rPr/>
        <w:t>RN,</w:t>
      </w:r>
      <w:r>
        <w:rPr>
          <w:spacing w:val="-5"/>
        </w:rPr>
        <w:t> </w:t>
      </w:r>
      <w:r>
        <w:rPr/>
        <w:t>Gillespie</w:t>
      </w:r>
      <w:r>
        <w:rPr>
          <w:spacing w:val="-6"/>
        </w:rPr>
        <w:t> </w:t>
      </w:r>
      <w:r>
        <w:rPr/>
        <w:t>JH.</w:t>
      </w:r>
      <w:r>
        <w:rPr>
          <w:spacing w:val="-5"/>
        </w:rPr>
        <w:t> </w:t>
      </w:r>
      <w:r>
        <w:rPr/>
        <w:t>(1982):</w:t>
      </w:r>
      <w:r>
        <w:rPr>
          <w:spacing w:val="-6"/>
        </w:rPr>
        <w:t> </w:t>
      </w:r>
      <w:r>
        <w:rPr/>
        <w:t>Isolation</w:t>
      </w:r>
      <w:r>
        <w:rPr>
          <w:spacing w:val="-11"/>
        </w:rPr>
        <w:t> </w:t>
      </w:r>
      <w:r>
        <w:rPr>
          <w:spacing w:val="4"/>
        </w:rPr>
        <w:t>of</w:t>
      </w:r>
      <w:r>
        <w:rPr>
          <w:spacing w:val="-10"/>
        </w:rPr>
        <w:t> </w:t>
      </w:r>
      <w:r>
        <w:rPr/>
        <w:t>infectious</w:t>
      </w:r>
      <w:r>
        <w:rPr>
          <w:spacing w:val="-8"/>
        </w:rPr>
        <w:t> </w:t>
      </w:r>
      <w:r>
        <w:rPr/>
        <w:t>pancreatic</w:t>
      </w:r>
      <w:r>
        <w:rPr>
          <w:spacing w:val="-2"/>
        </w:rPr>
        <w:t> </w:t>
      </w:r>
      <w:r>
        <w:rPr/>
        <w:t>necrosis</w:t>
      </w:r>
      <w:r>
        <w:rPr>
          <w:spacing w:val="-3"/>
        </w:rPr>
        <w:t> </w:t>
      </w:r>
      <w:r>
        <w:rPr/>
        <w:t>virus</w:t>
      </w:r>
      <w:r>
        <w:rPr>
          <w:spacing w:val="-4"/>
        </w:rPr>
        <w:t> </w:t>
      </w:r>
      <w:r>
        <w:rPr/>
        <w:t>from</w:t>
      </w:r>
      <w:r>
        <w:rPr>
          <w:spacing w:val="-14"/>
        </w:rPr>
        <w:t> </w:t>
      </w:r>
      <w:r>
        <w:rPr/>
        <w:t>the blood</w:t>
      </w:r>
      <w:r>
        <w:rPr>
          <w:spacing w:val="-10"/>
        </w:rPr>
        <w:t> </w:t>
      </w:r>
      <w:r>
        <w:rPr/>
        <w:t>and</w:t>
      </w:r>
      <w:r>
        <w:rPr>
          <w:spacing w:val="-11"/>
        </w:rPr>
        <w:t> </w:t>
      </w:r>
      <w:r>
        <w:rPr/>
        <w:t>blood</w:t>
      </w:r>
      <w:r>
        <w:rPr>
          <w:spacing w:val="-14"/>
        </w:rPr>
        <w:t> </w:t>
      </w:r>
      <w:r>
        <w:rPr/>
        <w:t>components</w:t>
      </w:r>
      <w:r>
        <w:rPr>
          <w:spacing w:val="-16"/>
        </w:rPr>
        <w:t> </w:t>
      </w:r>
      <w:r>
        <w:rPr/>
        <w:t>of</w:t>
      </w:r>
      <w:r>
        <w:rPr>
          <w:spacing w:val="-19"/>
        </w:rPr>
        <w:t> </w:t>
      </w:r>
      <w:r>
        <w:rPr/>
        <w:t>experimentally</w:t>
      </w:r>
      <w:r>
        <w:rPr>
          <w:spacing w:val="-14"/>
        </w:rPr>
        <w:t> </w:t>
      </w:r>
      <w:r>
        <w:rPr/>
        <w:t>infected</w:t>
      </w:r>
      <w:r>
        <w:rPr>
          <w:spacing w:val="-19"/>
        </w:rPr>
        <w:t> </w:t>
      </w:r>
      <w:r>
        <w:rPr/>
        <w:t>trout.</w:t>
      </w:r>
      <w:r>
        <w:rPr>
          <w:spacing w:val="-8"/>
        </w:rPr>
        <w:t> </w:t>
      </w:r>
      <w:r>
        <w:rPr/>
        <w:t>Canadian</w:t>
      </w:r>
      <w:r>
        <w:rPr>
          <w:spacing w:val="-15"/>
        </w:rPr>
        <w:t> </w:t>
      </w:r>
      <w:r>
        <w:rPr/>
        <w:t>J</w:t>
      </w:r>
      <w:r>
        <w:rPr>
          <w:spacing w:val="-13"/>
        </w:rPr>
        <w:t> </w:t>
      </w:r>
      <w:r>
        <w:rPr/>
        <w:t>of</w:t>
      </w:r>
      <w:r>
        <w:rPr>
          <w:spacing w:val="-19"/>
        </w:rPr>
        <w:t> </w:t>
      </w:r>
      <w:r>
        <w:rPr/>
        <w:t>Fisheries and Aquatic Sciences. 39:</w:t>
      </w:r>
      <w:r>
        <w:rPr>
          <w:spacing w:val="-7"/>
        </w:rPr>
        <w:t> </w:t>
      </w:r>
      <w:r>
        <w:rPr/>
        <w:t>225-228.</w:t>
      </w:r>
    </w:p>
    <w:p>
      <w:pPr>
        <w:pStyle w:val="BodyText"/>
        <w:spacing w:line="360" w:lineRule="auto" w:before="8"/>
        <w:ind w:left="863" w:right="100" w:hanging="711"/>
        <w:jc w:val="both"/>
      </w:pPr>
      <w:r>
        <w:rPr/>
        <w:t>Swanson RN, Gillespie JH. (1981): </w:t>
      </w:r>
      <w:r>
        <w:rPr>
          <w:spacing w:val="-3"/>
        </w:rPr>
        <w:t>An </w:t>
      </w:r>
      <w:r>
        <w:rPr/>
        <w:t>indirect fluorescent antibody test for the rapid detection</w:t>
      </w:r>
      <w:r>
        <w:rPr>
          <w:spacing w:val="-20"/>
        </w:rPr>
        <w:t> </w:t>
      </w:r>
      <w:r>
        <w:rPr>
          <w:spacing w:val="4"/>
        </w:rPr>
        <w:t>of</w:t>
      </w:r>
      <w:r>
        <w:rPr>
          <w:spacing w:val="-20"/>
        </w:rPr>
        <w:t> </w:t>
      </w:r>
      <w:r>
        <w:rPr/>
        <w:t>infectious</w:t>
      </w:r>
      <w:r>
        <w:rPr>
          <w:spacing w:val="-18"/>
        </w:rPr>
        <w:t> </w:t>
      </w:r>
      <w:r>
        <w:rPr/>
        <w:t>pancreatic</w:t>
      </w:r>
      <w:r>
        <w:rPr>
          <w:spacing w:val="-12"/>
        </w:rPr>
        <w:t> </w:t>
      </w:r>
      <w:r>
        <w:rPr/>
        <w:t>necrosis</w:t>
      </w:r>
      <w:r>
        <w:rPr>
          <w:spacing w:val="-13"/>
        </w:rPr>
        <w:t> </w:t>
      </w:r>
      <w:r>
        <w:rPr/>
        <w:t>virus</w:t>
      </w:r>
      <w:r>
        <w:rPr>
          <w:spacing w:val="-13"/>
        </w:rPr>
        <w:t> </w:t>
      </w:r>
      <w:r>
        <w:rPr>
          <w:spacing w:val="-3"/>
        </w:rPr>
        <w:t>in</w:t>
      </w:r>
      <w:r>
        <w:rPr>
          <w:spacing w:val="-20"/>
        </w:rPr>
        <w:t> </w:t>
      </w:r>
      <w:r>
        <w:rPr/>
        <w:t>tissues.</w:t>
      </w:r>
      <w:r>
        <w:rPr>
          <w:spacing w:val="-13"/>
        </w:rPr>
        <w:t> </w:t>
      </w:r>
      <w:r>
        <w:rPr/>
        <w:t>Journal</w:t>
      </w:r>
      <w:r>
        <w:rPr>
          <w:spacing w:val="-23"/>
        </w:rPr>
        <w:t> </w:t>
      </w:r>
      <w:r>
        <w:rPr>
          <w:spacing w:val="4"/>
        </w:rPr>
        <w:t>of</w:t>
      </w:r>
      <w:r>
        <w:rPr>
          <w:spacing w:val="-20"/>
        </w:rPr>
        <w:t> </w:t>
      </w:r>
      <w:r>
        <w:rPr/>
        <w:t>Fish</w:t>
      </w:r>
      <w:r>
        <w:rPr>
          <w:spacing w:val="-20"/>
        </w:rPr>
        <w:t> </w:t>
      </w:r>
      <w:r>
        <w:rPr/>
        <w:t>Diseases.</w:t>
      </w:r>
      <w:r>
        <w:rPr>
          <w:spacing w:val="-13"/>
        </w:rPr>
        <w:t> </w:t>
      </w:r>
      <w:r>
        <w:rPr/>
        <w:t>4: 309-315.</w:t>
      </w:r>
    </w:p>
    <w:p>
      <w:pPr>
        <w:pStyle w:val="BodyText"/>
        <w:spacing w:line="360" w:lineRule="auto" w:before="4"/>
        <w:ind w:left="863" w:right="108" w:hanging="711"/>
        <w:jc w:val="both"/>
      </w:pPr>
      <w:r>
        <w:rPr/>
        <w:t>Tacken</w:t>
      </w:r>
      <w:r>
        <w:rPr>
          <w:spacing w:val="-11"/>
        </w:rPr>
        <w:t> </w:t>
      </w:r>
      <w:r>
        <w:rPr/>
        <w:t>MG,</w:t>
      </w:r>
      <w:r>
        <w:rPr>
          <w:spacing w:val="-4"/>
        </w:rPr>
        <w:t> </w:t>
      </w:r>
      <w:r>
        <w:rPr/>
        <w:t>Peeter</w:t>
      </w:r>
      <w:r>
        <w:rPr>
          <w:spacing w:val="-4"/>
        </w:rPr>
        <w:t> </w:t>
      </w:r>
      <w:r>
        <w:rPr/>
        <w:t>BP,</w:t>
      </w:r>
      <w:r>
        <w:rPr>
          <w:spacing w:val="-8"/>
        </w:rPr>
        <w:t> </w:t>
      </w:r>
      <w:r>
        <w:rPr/>
        <w:t>Thomas</w:t>
      </w:r>
      <w:r>
        <w:rPr>
          <w:spacing w:val="-3"/>
        </w:rPr>
        <w:t> </w:t>
      </w:r>
      <w:r>
        <w:rPr/>
        <w:t>A</w:t>
      </w:r>
      <w:r>
        <w:rPr>
          <w:spacing w:val="-7"/>
        </w:rPr>
        <w:t> </w:t>
      </w:r>
      <w:r>
        <w:rPr>
          <w:spacing w:val="-3"/>
        </w:rPr>
        <w:t>A,</w:t>
      </w:r>
      <w:r>
        <w:rPr>
          <w:spacing w:val="-4"/>
        </w:rPr>
        <w:t> </w:t>
      </w:r>
      <w:r>
        <w:rPr/>
        <w:t>Rottier</w:t>
      </w:r>
      <w:r>
        <w:rPr>
          <w:spacing w:val="-4"/>
        </w:rPr>
        <w:t> </w:t>
      </w:r>
      <w:r>
        <w:rPr/>
        <w:t>PJ,</w:t>
      </w:r>
      <w:r>
        <w:rPr>
          <w:spacing w:val="-4"/>
        </w:rPr>
        <w:t> </w:t>
      </w:r>
      <w:r>
        <w:rPr/>
        <w:t>Boot</w:t>
      </w:r>
      <w:r>
        <w:rPr>
          <w:spacing w:val="-1"/>
        </w:rPr>
        <w:t> </w:t>
      </w:r>
      <w:r>
        <w:rPr/>
        <w:t>H</w:t>
      </w:r>
      <w:r>
        <w:rPr>
          <w:spacing w:val="-6"/>
        </w:rPr>
        <w:t> </w:t>
      </w:r>
      <w:r>
        <w:rPr/>
        <w:t>J.</w:t>
      </w:r>
      <w:r>
        <w:rPr>
          <w:spacing w:val="-4"/>
        </w:rPr>
        <w:t> </w:t>
      </w:r>
      <w:r>
        <w:rPr/>
        <w:t>(2002):</w:t>
      </w:r>
      <w:r>
        <w:rPr>
          <w:spacing w:val="-5"/>
        </w:rPr>
        <w:t> </w:t>
      </w:r>
      <w:r>
        <w:rPr/>
        <w:t>Infectious</w:t>
      </w:r>
      <w:r>
        <w:rPr>
          <w:spacing w:val="-8"/>
        </w:rPr>
        <w:t> </w:t>
      </w:r>
      <w:r>
        <w:rPr/>
        <w:t>bursal</w:t>
      </w:r>
      <w:r>
        <w:rPr>
          <w:spacing w:val="-10"/>
        </w:rPr>
        <w:t> </w:t>
      </w:r>
      <w:r>
        <w:rPr/>
        <w:t>disease virus capsid protein VP3 interacts with VP1, the RNAdepend RNA polymerase, and with viral double-stranded RNA. J. Virol.</w:t>
      </w:r>
      <w:r>
        <w:rPr>
          <w:spacing w:val="-15"/>
        </w:rPr>
        <w:t> </w:t>
      </w:r>
      <w:r>
        <w:rPr/>
        <w:t>76:11301-11311.</w:t>
      </w:r>
    </w:p>
    <w:p>
      <w:pPr>
        <w:pStyle w:val="BodyText"/>
        <w:spacing w:line="360" w:lineRule="auto" w:before="4"/>
        <w:ind w:left="863" w:right="101" w:hanging="711"/>
        <w:jc w:val="both"/>
      </w:pPr>
      <w:r>
        <w:rPr/>
        <w:t>Tafalla C, Chico V, Perez L, Coll JM, Estepa </w:t>
      </w:r>
      <w:r>
        <w:rPr>
          <w:spacing w:val="-3"/>
        </w:rPr>
        <w:t>A. </w:t>
      </w:r>
      <w:r>
        <w:rPr/>
        <w:t>(2007): In </w:t>
      </w:r>
      <w:r>
        <w:rPr>
          <w:i/>
        </w:rPr>
        <w:t>vitro </w:t>
      </w:r>
      <w:r>
        <w:rPr/>
        <w:t>and </w:t>
      </w:r>
      <w:r>
        <w:rPr>
          <w:spacing w:val="-3"/>
        </w:rPr>
        <w:t>in </w:t>
      </w:r>
      <w:r>
        <w:rPr>
          <w:i/>
        </w:rPr>
        <w:t>vivo </w:t>
      </w:r>
      <w:r>
        <w:rPr/>
        <w:t>differential expression of rainbow trout (</w:t>
      </w:r>
      <w:r>
        <w:rPr>
          <w:i/>
        </w:rPr>
        <w:t>Oncorhynchus mykiss</w:t>
      </w:r>
      <w:r>
        <w:rPr/>
        <w:t>) Mx isoforms </w:t>
      </w:r>
      <w:r>
        <w:rPr>
          <w:spacing w:val="-3"/>
        </w:rPr>
        <w:t>in </w:t>
      </w:r>
      <w:r>
        <w:rPr/>
        <w:t>response to</w:t>
      </w:r>
      <w:r>
        <w:rPr>
          <w:spacing w:val="-34"/>
        </w:rPr>
        <w:t> </w:t>
      </w:r>
      <w:r>
        <w:rPr/>
        <w:t>viral haemorrhagic septicaemia virus (VHSV) G gene, poly I: C and VHSV. Fish &amp; shellfish immunology. 23:</w:t>
      </w:r>
      <w:r>
        <w:rPr>
          <w:spacing w:val="-10"/>
        </w:rPr>
        <w:t> </w:t>
      </w:r>
      <w:r>
        <w:rPr/>
        <w:t>210-221.</w:t>
      </w:r>
    </w:p>
    <w:p>
      <w:pPr>
        <w:pStyle w:val="BodyText"/>
        <w:spacing w:line="360" w:lineRule="auto" w:before="4"/>
        <w:ind w:left="863" w:right="109" w:hanging="711"/>
        <w:jc w:val="both"/>
      </w:pPr>
      <w:r>
        <w:rPr/>
        <w:t>Ten Hoeve, J., de Jesus Ibarra-Sanchez, M., Fu, Y., Zhu, W., Tremblay, M., David, M., &amp; Shuai, </w:t>
      </w:r>
      <w:r>
        <w:rPr>
          <w:spacing w:val="-3"/>
        </w:rPr>
        <w:t>K.  </w:t>
      </w:r>
      <w:r>
        <w:rPr/>
        <w:t>(2002).  Identification  of  a  nuclear  Stat1  protein  tyrosine  phosphatase. Molecular and cellular biology. 22:</w:t>
      </w:r>
      <w:r>
        <w:rPr>
          <w:spacing w:val="-18"/>
        </w:rPr>
        <w:t> </w:t>
      </w:r>
      <w:r>
        <w:rPr/>
        <w:t>5662-5668.</w:t>
      </w:r>
    </w:p>
    <w:p>
      <w:pPr>
        <w:pStyle w:val="BodyText"/>
        <w:spacing w:line="360" w:lineRule="auto" w:before="4"/>
        <w:ind w:left="863" w:right="110" w:hanging="711"/>
        <w:jc w:val="both"/>
      </w:pPr>
      <w:r>
        <w:rPr/>
        <w:t>Thomas,</w:t>
      </w:r>
      <w:r>
        <w:rPr>
          <w:spacing w:val="-2"/>
        </w:rPr>
        <w:t> </w:t>
      </w:r>
      <w:r>
        <w:rPr/>
        <w:t>M.,</w:t>
      </w:r>
      <w:r>
        <w:rPr>
          <w:spacing w:val="-7"/>
        </w:rPr>
        <w:t> </w:t>
      </w:r>
      <w:r>
        <w:rPr/>
        <w:t>Finnegan,</w:t>
      </w:r>
      <w:r>
        <w:rPr>
          <w:spacing w:val="-2"/>
        </w:rPr>
        <w:t> </w:t>
      </w:r>
      <w:r>
        <w:rPr/>
        <w:t>C.</w:t>
      </w:r>
      <w:r>
        <w:rPr>
          <w:spacing w:val="-7"/>
        </w:rPr>
        <w:t> </w:t>
      </w:r>
      <w:r>
        <w:rPr/>
        <w:t>E.,</w:t>
      </w:r>
      <w:r>
        <w:rPr>
          <w:spacing w:val="-7"/>
        </w:rPr>
        <w:t> </w:t>
      </w:r>
      <w:r>
        <w:rPr/>
        <w:t>Rogers,</w:t>
      </w:r>
      <w:r>
        <w:rPr>
          <w:spacing w:val="-7"/>
        </w:rPr>
        <w:t> </w:t>
      </w:r>
      <w:r>
        <w:rPr>
          <w:spacing w:val="-3"/>
        </w:rPr>
        <w:t>K.</w:t>
      </w:r>
      <w:r>
        <w:rPr>
          <w:spacing w:val="-2"/>
        </w:rPr>
        <w:t> </w:t>
      </w:r>
      <w:r>
        <w:rPr/>
        <w:t>M.</w:t>
      </w:r>
      <w:r>
        <w:rPr>
          <w:spacing w:val="-7"/>
        </w:rPr>
        <w:t> </w:t>
      </w:r>
      <w:r>
        <w:rPr/>
        <w:t>A.,</w:t>
      </w:r>
      <w:r>
        <w:rPr>
          <w:spacing w:val="-7"/>
        </w:rPr>
        <w:t> </w:t>
      </w:r>
      <w:r>
        <w:rPr/>
        <w:t>Purcell,</w:t>
      </w:r>
      <w:r>
        <w:rPr>
          <w:spacing w:val="-2"/>
        </w:rPr>
        <w:t> </w:t>
      </w:r>
      <w:r>
        <w:rPr/>
        <w:t>J.</w:t>
      </w:r>
      <w:r>
        <w:rPr>
          <w:spacing w:val="-2"/>
        </w:rPr>
        <w:t> </w:t>
      </w:r>
      <w:r>
        <w:rPr/>
        <w:t>W.,</w:t>
      </w:r>
      <w:r>
        <w:rPr>
          <w:spacing w:val="-7"/>
        </w:rPr>
        <w:t> </w:t>
      </w:r>
      <w:r>
        <w:rPr/>
        <w:t>Trimble,</w:t>
      </w:r>
      <w:r>
        <w:rPr>
          <w:spacing w:val="-2"/>
        </w:rPr>
        <w:t> </w:t>
      </w:r>
      <w:r>
        <w:rPr/>
        <w:t>A.,</w:t>
      </w:r>
      <w:r>
        <w:rPr>
          <w:spacing w:val="-2"/>
        </w:rPr>
        <w:t> </w:t>
      </w:r>
      <w:r>
        <w:rPr/>
        <w:t>Johnston,</w:t>
      </w:r>
      <w:r>
        <w:rPr>
          <w:spacing w:val="-7"/>
        </w:rPr>
        <w:t> </w:t>
      </w:r>
      <w:r>
        <w:rPr/>
        <w:t>P.</w:t>
      </w:r>
      <w:r>
        <w:rPr>
          <w:spacing w:val="-7"/>
        </w:rPr>
        <w:t> </w:t>
      </w:r>
      <w:r>
        <w:rPr/>
        <w:t>G., &amp; Boland, M. P. (2004). STAT1 A Modulator  of  Chemotherapy-induced Apoptosis. Cancer research. 64:</w:t>
      </w:r>
      <w:r>
        <w:rPr>
          <w:spacing w:val="-8"/>
        </w:rPr>
        <w:t> </w:t>
      </w:r>
      <w:r>
        <w:rPr/>
        <w:t>8357-8364.</w:t>
      </w:r>
    </w:p>
    <w:p>
      <w:pPr>
        <w:pStyle w:val="BodyText"/>
        <w:spacing w:line="360" w:lineRule="auto" w:before="8"/>
        <w:ind w:left="863" w:right="120" w:hanging="711"/>
        <w:jc w:val="both"/>
      </w:pPr>
      <w:r>
        <w:rPr/>
        <w:t>Toranzo A, Hetrick FM. (1983): Comparative stability of two salmonid viruses and poliovirus in fresh, estuarine and marine waters. J. Fish. Dis. 5: 223-231.</w:t>
      </w:r>
    </w:p>
    <w:p>
      <w:pPr>
        <w:pStyle w:val="BodyText"/>
        <w:spacing w:line="360" w:lineRule="auto" w:before="4"/>
        <w:ind w:left="863" w:right="103" w:hanging="711"/>
        <w:jc w:val="both"/>
      </w:pPr>
      <w:r>
        <w:rPr/>
        <w:t>Tort L, Balasch JC, MacKenzie S. (2004): Fish health challenge after stress. Indicators of immunocompetence. Contributions to Science. 2: 443-454.</w:t>
      </w:r>
    </w:p>
    <w:p>
      <w:pPr>
        <w:spacing w:after="0" w:line="360" w:lineRule="auto"/>
        <w:jc w:val="both"/>
        <w:sectPr>
          <w:pgSz w:w="12240" w:h="15840"/>
          <w:pgMar w:header="0" w:footer="1382" w:top="1500" w:bottom="1580" w:left="1720" w:right="1420"/>
        </w:sectPr>
      </w:pPr>
    </w:p>
    <w:p>
      <w:pPr>
        <w:pStyle w:val="BodyText"/>
        <w:spacing w:before="7"/>
        <w:rPr>
          <w:sz w:val="25"/>
        </w:rPr>
      </w:pPr>
    </w:p>
    <w:p>
      <w:pPr>
        <w:pStyle w:val="BodyText"/>
        <w:spacing w:line="360" w:lineRule="auto" w:before="70"/>
        <w:ind w:left="863" w:right="130" w:hanging="711"/>
        <w:jc w:val="both"/>
      </w:pPr>
      <w:r>
        <w:rPr/>
        <w:t>Townsend, P. A., Scarabelli, T. M., Davidson, S. M., Knight, R. A., Latchman, D. S., &amp; Stephanou, A. (2004): STAT-1 interacts with p53 to enhance DNA damage-induced apoptosis. Journal of Biological Chemistry. 279: 5811-5820.</w:t>
      </w:r>
    </w:p>
    <w:p>
      <w:pPr>
        <w:pStyle w:val="BodyText"/>
        <w:spacing w:line="360" w:lineRule="auto" w:before="8"/>
        <w:ind w:left="863" w:right="142" w:hanging="711"/>
        <w:jc w:val="both"/>
      </w:pPr>
      <w:r>
        <w:rPr/>
        <w:t>Tsujimoto M, Vilcek J. (1986): Tumor necrosis factor receptors in HeLa cells and their regulation by interferon- γ. J Biol Chem. 261:5384-5388.</w:t>
      </w:r>
    </w:p>
    <w:p>
      <w:pPr>
        <w:pStyle w:val="BodyText"/>
        <w:spacing w:line="360" w:lineRule="auto" w:before="4"/>
        <w:ind w:left="863" w:right="129" w:hanging="711"/>
        <w:jc w:val="both"/>
      </w:pPr>
      <w:r>
        <w:rPr/>
        <w:t>Verrier E R, Langevin C, Benmansour A, Boudinot P. (2011): Early antiviral response and virus-induced genes in fish. Develop &amp; Comparative Immunology. 3: 1204-1214.</w:t>
      </w:r>
    </w:p>
    <w:p>
      <w:pPr>
        <w:pStyle w:val="BodyText"/>
        <w:spacing w:before="4"/>
        <w:ind w:left="152"/>
      </w:pPr>
      <w:r>
        <w:rPr/>
        <w:t>Versteeg GA, A Garcia-Sastre. (2010): Viral tricks to grid-lock the type I interferon system.</w:t>
      </w:r>
    </w:p>
    <w:p>
      <w:pPr>
        <w:pStyle w:val="BodyText"/>
        <w:spacing w:before="141"/>
        <w:ind w:left="863"/>
      </w:pPr>
      <w:r>
        <w:rPr/>
        <w:t>Curr Opin Microbiol 13:508-516.</w:t>
      </w:r>
    </w:p>
    <w:p>
      <w:pPr>
        <w:pStyle w:val="BodyText"/>
        <w:spacing w:line="360" w:lineRule="auto" w:before="137"/>
        <w:ind w:left="863" w:right="134" w:hanging="711"/>
        <w:jc w:val="both"/>
      </w:pPr>
      <w:r>
        <w:rPr/>
        <w:t>Vilcek J, Sen G (1996): Interferons and other cytokines. In Fields Virology, 3rd ed. Edited by B. N. Fields, D. M. Knipe &amp; P.M. Howley. Philadelphia: LippincottRaven. Pp. 375-399.</w:t>
      </w:r>
    </w:p>
    <w:p>
      <w:pPr>
        <w:pStyle w:val="BodyText"/>
        <w:spacing w:line="360" w:lineRule="auto" w:before="8"/>
        <w:ind w:left="863" w:right="117" w:hanging="711"/>
        <w:jc w:val="both"/>
      </w:pPr>
      <w:r>
        <w:rPr/>
        <w:t>Villanueva RA, Galaz JL, Valdés JA, Jashés MM, Sandino AM. (2004): Genome assembly and particle maturation of the birnavirus infectious pancreatic necrosis virus. J of virology. 78: 13829-13838.</w:t>
      </w:r>
    </w:p>
    <w:p>
      <w:pPr>
        <w:pStyle w:val="BodyText"/>
        <w:spacing w:line="360" w:lineRule="auto" w:before="4"/>
        <w:ind w:left="863" w:right="121" w:hanging="711"/>
        <w:jc w:val="both"/>
      </w:pPr>
      <w:r>
        <w:rPr/>
        <w:t>Williams K, Blake S, Sweeney A, Singer JT, Nicholson BL.(1999): Multiplex reverse transcriptase PCR assay for simultaneous detection of three fish viruses. J clinical microbiology. 37: 4139-4141.</w:t>
      </w:r>
    </w:p>
    <w:p>
      <w:pPr>
        <w:pStyle w:val="BodyText"/>
        <w:spacing w:line="360" w:lineRule="auto" w:before="4"/>
        <w:ind w:left="863" w:right="133" w:hanging="711"/>
        <w:jc w:val="both"/>
      </w:pPr>
      <w:r>
        <w:rPr/>
        <w:t>Weber S, Fichtner D, Mettenleiter TC, Mundt E. (2001): Expression of VP5 of infectious pancreatic necrosis virus strain VR299 is initiated at the second inframe start codon. J. Gen. Virol. 82: 805-812.</w:t>
      </w:r>
    </w:p>
    <w:p>
      <w:pPr>
        <w:pStyle w:val="BodyText"/>
        <w:spacing w:line="360" w:lineRule="auto" w:before="4"/>
        <w:ind w:left="863" w:right="137" w:hanging="711"/>
        <w:jc w:val="both"/>
      </w:pPr>
      <w:r>
        <w:rPr/>
        <w:t>Winton J R. (1991): Recent advances in detection and control of infectious hematopoietic necrosis virus in aquaculture. Annual Rev. Fish Diseases.4: 83-93.</w:t>
      </w:r>
    </w:p>
    <w:p>
      <w:pPr>
        <w:pStyle w:val="BodyText"/>
        <w:spacing w:before="4"/>
        <w:ind w:left="152"/>
      </w:pPr>
      <w:r>
        <w:rPr/>
        <w:t>Wolf  EM, Sniezko S F, Yatsutake WT. (1955): Infectious pancreatic necrosis in brook trout.</w:t>
      </w:r>
    </w:p>
    <w:p>
      <w:pPr>
        <w:pStyle w:val="BodyText"/>
        <w:spacing w:before="141"/>
        <w:ind w:left="863"/>
      </w:pPr>
      <w:r>
        <w:rPr/>
        <w:t>American Medical Association Archives of  Pathology. 60:26-28.</w:t>
      </w:r>
    </w:p>
    <w:p>
      <w:pPr>
        <w:pStyle w:val="BodyText"/>
        <w:spacing w:line="360" w:lineRule="auto" w:before="137"/>
        <w:ind w:left="863" w:right="129" w:hanging="711"/>
        <w:jc w:val="both"/>
      </w:pPr>
      <w:r>
        <w:rPr/>
        <w:t>Wolf,</w:t>
      </w:r>
      <w:r>
        <w:rPr>
          <w:spacing w:val="-6"/>
        </w:rPr>
        <w:t> </w:t>
      </w:r>
      <w:r>
        <w:rPr>
          <w:spacing w:val="-3"/>
        </w:rPr>
        <w:t>K.</w:t>
      </w:r>
      <w:r>
        <w:rPr>
          <w:spacing w:val="-10"/>
        </w:rPr>
        <w:t> </w:t>
      </w:r>
      <w:r>
        <w:rPr/>
        <w:t>(1988):</w:t>
      </w:r>
      <w:r>
        <w:rPr>
          <w:spacing w:val="-12"/>
        </w:rPr>
        <w:t> </w:t>
      </w:r>
      <w:r>
        <w:rPr/>
        <w:t>Fish</w:t>
      </w:r>
      <w:r>
        <w:rPr>
          <w:spacing w:val="-13"/>
        </w:rPr>
        <w:t> </w:t>
      </w:r>
      <w:r>
        <w:rPr/>
        <w:t>viruses</w:t>
      </w:r>
      <w:r>
        <w:rPr>
          <w:spacing w:val="-15"/>
        </w:rPr>
        <w:t> </w:t>
      </w:r>
      <w:r>
        <w:rPr/>
        <w:t>and</w:t>
      </w:r>
      <w:r>
        <w:rPr>
          <w:spacing w:val="-9"/>
        </w:rPr>
        <w:t> </w:t>
      </w:r>
      <w:r>
        <w:rPr/>
        <w:t>fish</w:t>
      </w:r>
      <w:r>
        <w:rPr>
          <w:spacing w:val="-13"/>
        </w:rPr>
        <w:t> </w:t>
      </w:r>
      <w:r>
        <w:rPr/>
        <w:t>viral</w:t>
      </w:r>
      <w:r>
        <w:rPr>
          <w:spacing w:val="-17"/>
        </w:rPr>
        <w:t> </w:t>
      </w:r>
      <w:r>
        <w:rPr/>
        <w:t>diseases.</w:t>
      </w:r>
      <w:r>
        <w:rPr>
          <w:spacing w:val="-11"/>
        </w:rPr>
        <w:t> </w:t>
      </w:r>
      <w:r>
        <w:rPr/>
        <w:t>Canstock</w:t>
      </w:r>
      <w:r>
        <w:rPr>
          <w:spacing w:val="-13"/>
        </w:rPr>
        <w:t> </w:t>
      </w:r>
      <w:r>
        <w:rPr/>
        <w:t>publishing</w:t>
      </w:r>
      <w:r>
        <w:rPr>
          <w:spacing w:val="-13"/>
        </w:rPr>
        <w:t> </w:t>
      </w:r>
      <w:r>
        <w:rPr/>
        <w:t>associates,</w:t>
      </w:r>
      <w:r>
        <w:rPr>
          <w:spacing w:val="-11"/>
        </w:rPr>
        <w:t> </w:t>
      </w:r>
      <w:r>
        <w:rPr/>
        <w:t>Cornell University press, Ithaca,</w:t>
      </w:r>
      <w:r>
        <w:rPr>
          <w:spacing w:val="-5"/>
        </w:rPr>
        <w:t> </w:t>
      </w:r>
      <w:r>
        <w:rPr/>
        <w:t>N.Y.</w:t>
      </w:r>
    </w:p>
    <w:p>
      <w:pPr>
        <w:pStyle w:val="BodyText"/>
        <w:spacing w:before="4"/>
        <w:ind w:left="152"/>
      </w:pPr>
      <w:r>
        <w:rPr/>
        <w:t>Wolf K. (1966): Infectious pancreatic necrosis (IPN) of salmonid fishes. J Fish. 1: 1- 8.</w:t>
      </w:r>
    </w:p>
    <w:p>
      <w:pPr>
        <w:spacing w:after="0"/>
        <w:sectPr>
          <w:pgSz w:w="12240" w:h="15840"/>
          <w:pgMar w:header="0" w:footer="1382" w:top="1500" w:bottom="1580" w:left="1720" w:right="1400"/>
        </w:sectPr>
      </w:pPr>
    </w:p>
    <w:p>
      <w:pPr>
        <w:pStyle w:val="BodyText"/>
        <w:spacing w:before="7"/>
        <w:rPr>
          <w:sz w:val="25"/>
        </w:rPr>
      </w:pPr>
    </w:p>
    <w:p>
      <w:pPr>
        <w:pStyle w:val="BodyText"/>
        <w:spacing w:line="360" w:lineRule="auto" w:before="70"/>
        <w:ind w:left="863" w:right="106" w:hanging="711"/>
        <w:jc w:val="both"/>
      </w:pPr>
      <w:r>
        <w:rPr/>
        <w:t>Wolf </w:t>
      </w:r>
      <w:r>
        <w:rPr>
          <w:spacing w:val="-3"/>
        </w:rPr>
        <w:t>K, </w:t>
      </w:r>
      <w:r>
        <w:rPr/>
        <w:t>M Quimby, E </w:t>
      </w:r>
      <w:r>
        <w:rPr>
          <w:spacing w:val="-3"/>
        </w:rPr>
        <w:t>Pyle, </w:t>
      </w:r>
      <w:r>
        <w:rPr/>
        <w:t>Dexter RP. (1960): Preparation of monolayer cell cultures</w:t>
      </w:r>
      <w:r>
        <w:rPr>
          <w:spacing w:val="-38"/>
        </w:rPr>
        <w:t> </w:t>
      </w:r>
      <w:r>
        <w:rPr/>
        <w:t>from tissues of some lower vertebrates. Science. 132:</w:t>
      </w:r>
      <w:r>
        <w:rPr>
          <w:spacing w:val="-15"/>
        </w:rPr>
        <w:t> </w:t>
      </w:r>
      <w:r>
        <w:rPr/>
        <w:t>1890-1891.</w:t>
      </w:r>
    </w:p>
    <w:p>
      <w:pPr>
        <w:pStyle w:val="BodyText"/>
        <w:spacing w:line="362" w:lineRule="auto" w:before="4"/>
        <w:ind w:left="863" w:right="109" w:hanging="711"/>
        <w:jc w:val="both"/>
      </w:pPr>
      <w:r>
        <w:rPr/>
        <w:t>Wolf K, Snieszko S F, Dunbar C E, Pyle E. (1960): Virus nature of infectious pancreatic necrosis in trout. Experimental Biology and Medicine 104: 105-108.</w:t>
      </w:r>
    </w:p>
    <w:p>
      <w:pPr>
        <w:pStyle w:val="BodyText"/>
        <w:spacing w:line="360" w:lineRule="auto" w:before="1"/>
        <w:ind w:left="863" w:right="113" w:hanging="711"/>
        <w:jc w:val="both"/>
      </w:pPr>
      <w:r>
        <w:rPr>
          <w:spacing w:val="-3"/>
        </w:rPr>
        <w:t>Wu </w:t>
      </w:r>
      <w:r>
        <w:rPr/>
        <w:t>YC, Lu YF, Chi SC. (2010): Anti-viral mechanism </w:t>
      </w:r>
      <w:r>
        <w:rPr>
          <w:spacing w:val="4"/>
        </w:rPr>
        <w:t>of </w:t>
      </w:r>
      <w:r>
        <w:rPr/>
        <w:t>barramundi Mx against betanodavirus</w:t>
      </w:r>
      <w:r>
        <w:rPr>
          <w:spacing w:val="-4"/>
        </w:rPr>
        <w:t> </w:t>
      </w:r>
      <w:r>
        <w:rPr/>
        <w:t>involves</w:t>
      </w:r>
      <w:r>
        <w:rPr>
          <w:spacing w:val="-9"/>
        </w:rPr>
        <w:t> </w:t>
      </w:r>
      <w:r>
        <w:rPr/>
        <w:t>the</w:t>
      </w:r>
      <w:r>
        <w:rPr>
          <w:spacing w:val="-8"/>
        </w:rPr>
        <w:t> </w:t>
      </w:r>
      <w:r>
        <w:rPr/>
        <w:t>inhibition</w:t>
      </w:r>
      <w:r>
        <w:rPr>
          <w:spacing w:val="-12"/>
        </w:rPr>
        <w:t> </w:t>
      </w:r>
      <w:r>
        <w:rPr/>
        <w:t>of</w:t>
      </w:r>
      <w:r>
        <w:rPr>
          <w:spacing w:val="-15"/>
        </w:rPr>
        <w:t> </w:t>
      </w:r>
      <w:r>
        <w:rPr/>
        <w:t>viral</w:t>
      </w:r>
      <w:r>
        <w:rPr>
          <w:spacing w:val="-16"/>
        </w:rPr>
        <w:t> </w:t>
      </w:r>
      <w:r>
        <w:rPr/>
        <w:t>RNA</w:t>
      </w:r>
      <w:r>
        <w:rPr>
          <w:spacing w:val="-8"/>
        </w:rPr>
        <w:t> </w:t>
      </w:r>
      <w:r>
        <w:rPr/>
        <w:t>synthesis</w:t>
      </w:r>
      <w:r>
        <w:rPr>
          <w:spacing w:val="-9"/>
        </w:rPr>
        <w:t> </w:t>
      </w:r>
      <w:r>
        <w:rPr/>
        <w:t>through</w:t>
      </w:r>
      <w:r>
        <w:rPr>
          <w:spacing w:val="-16"/>
        </w:rPr>
        <w:t> </w:t>
      </w:r>
      <w:r>
        <w:rPr/>
        <w:t>the</w:t>
      </w:r>
      <w:r>
        <w:rPr>
          <w:spacing w:val="-8"/>
        </w:rPr>
        <w:t> </w:t>
      </w:r>
      <w:r>
        <w:rPr/>
        <w:t>interference of RdRp. Fish &amp; shellfish immunology. 28:</w:t>
      </w:r>
      <w:r>
        <w:rPr>
          <w:spacing w:val="-16"/>
        </w:rPr>
        <w:t> </w:t>
      </w:r>
      <w:r>
        <w:rPr/>
        <w:t>467-475.</w:t>
      </w:r>
    </w:p>
    <w:p>
      <w:pPr>
        <w:pStyle w:val="BodyText"/>
        <w:spacing w:line="362" w:lineRule="auto" w:before="4"/>
        <w:ind w:left="863" w:right="115" w:hanging="711"/>
        <w:jc w:val="both"/>
      </w:pPr>
      <w:r>
        <w:rPr/>
        <w:t>Xu LG, Wang YY, Han KJ, Li LY, Zhai Z, Shu HB. (2005): VISA is an adapter protein required for virus-triggered IFN-β signaling. Molecular cell. 19: 727-740.</w:t>
      </w:r>
    </w:p>
    <w:p>
      <w:pPr>
        <w:pStyle w:val="BodyText"/>
        <w:spacing w:line="360" w:lineRule="auto" w:before="1"/>
        <w:ind w:left="863" w:right="105" w:hanging="711"/>
        <w:jc w:val="both"/>
      </w:pPr>
      <w:r>
        <w:rPr/>
        <w:t>Xu X, Fu XY, Plate J. (1998). IFN-γ induces cell growth inhibition by Fas-mediated apoptosis: requirement of STAT1 protein for up-regulation of Fas and FasL expression. Cancer Res.58:2832-2837.</w:t>
      </w:r>
    </w:p>
    <w:p>
      <w:pPr>
        <w:pStyle w:val="BodyText"/>
        <w:spacing w:line="360" w:lineRule="auto" w:before="8"/>
        <w:ind w:left="863" w:right="117" w:hanging="711"/>
        <w:jc w:val="both"/>
      </w:pPr>
      <w:r>
        <w:rPr/>
        <w:t>Yao</w:t>
      </w:r>
      <w:r>
        <w:rPr>
          <w:spacing w:val="-11"/>
        </w:rPr>
        <w:t> </w:t>
      </w:r>
      <w:r>
        <w:rPr>
          <w:spacing w:val="-3"/>
        </w:rPr>
        <w:t>K,</w:t>
      </w:r>
      <w:r>
        <w:rPr>
          <w:spacing w:val="-13"/>
        </w:rPr>
        <w:t> </w:t>
      </w:r>
      <w:r>
        <w:rPr/>
        <w:t>Goodwin</w:t>
      </w:r>
      <w:r>
        <w:rPr>
          <w:spacing w:val="-15"/>
        </w:rPr>
        <w:t> </w:t>
      </w:r>
      <w:r>
        <w:rPr/>
        <w:t>MA,</w:t>
      </w:r>
      <w:r>
        <w:rPr>
          <w:spacing w:val="-13"/>
        </w:rPr>
        <w:t> </w:t>
      </w:r>
      <w:r>
        <w:rPr/>
        <w:t>Vakharia</w:t>
      </w:r>
      <w:r>
        <w:rPr>
          <w:spacing w:val="-16"/>
        </w:rPr>
        <w:t> </w:t>
      </w:r>
      <w:r>
        <w:rPr/>
        <w:t>VN.</w:t>
      </w:r>
      <w:r>
        <w:rPr>
          <w:spacing w:val="-13"/>
        </w:rPr>
        <w:t> </w:t>
      </w:r>
      <w:r>
        <w:rPr/>
        <w:t>(1998):</w:t>
      </w:r>
      <w:r>
        <w:rPr>
          <w:spacing w:val="-15"/>
        </w:rPr>
        <w:t> </w:t>
      </w:r>
      <w:r>
        <w:rPr/>
        <w:t>Generation</w:t>
      </w:r>
      <w:r>
        <w:rPr>
          <w:spacing w:val="-20"/>
        </w:rPr>
        <w:t> </w:t>
      </w:r>
      <w:r>
        <w:rPr/>
        <w:t>of</w:t>
      </w:r>
      <w:r>
        <w:rPr>
          <w:spacing w:val="-23"/>
        </w:rPr>
        <w:t> </w:t>
      </w:r>
      <w:r>
        <w:rPr/>
        <w:t>a</w:t>
      </w:r>
      <w:r>
        <w:rPr>
          <w:spacing w:val="-12"/>
        </w:rPr>
        <w:t> </w:t>
      </w:r>
      <w:r>
        <w:rPr/>
        <w:t>mutant</w:t>
      </w:r>
      <w:r>
        <w:rPr>
          <w:spacing w:val="-10"/>
        </w:rPr>
        <w:t> </w:t>
      </w:r>
      <w:r>
        <w:rPr/>
        <w:t>infectious</w:t>
      </w:r>
      <w:r>
        <w:rPr>
          <w:spacing w:val="-18"/>
        </w:rPr>
        <w:t> </w:t>
      </w:r>
      <w:r>
        <w:rPr/>
        <w:t>bursal</w:t>
      </w:r>
      <w:r>
        <w:rPr>
          <w:spacing w:val="-25"/>
        </w:rPr>
        <w:t> </w:t>
      </w:r>
      <w:r>
        <w:rPr/>
        <w:t>disease virus that does not cause bursal lesions. J. </w:t>
      </w:r>
      <w:r>
        <w:rPr>
          <w:spacing w:val="-3"/>
        </w:rPr>
        <w:t>Virol. </w:t>
      </w:r>
      <w:r>
        <w:rPr/>
        <w:t>72:</w:t>
      </w:r>
      <w:r>
        <w:rPr>
          <w:spacing w:val="8"/>
        </w:rPr>
        <w:t> </w:t>
      </w:r>
      <w:r>
        <w:rPr/>
        <w:t>2647-54.</w:t>
      </w:r>
    </w:p>
    <w:p>
      <w:pPr>
        <w:pStyle w:val="BodyText"/>
        <w:spacing w:line="360" w:lineRule="auto" w:before="4"/>
        <w:ind w:left="863" w:right="111" w:hanging="711"/>
        <w:jc w:val="both"/>
      </w:pPr>
      <w:r>
        <w:rPr/>
        <w:t>Zhou Z, Hamming OJ, Ank N, Paludan SR, Nielsen AL, Hartmann R. (2007): Type III interferon (IFN) induces a type I IFN-like response in a restricted subset of cells through signaling pathways involving both the Jak-STAT pathway and the mitogen- activated protein kinases. J virology. 81: 7749-7758.</w:t>
      </w:r>
    </w:p>
    <w:p>
      <w:pPr>
        <w:pStyle w:val="BodyText"/>
        <w:spacing w:line="360" w:lineRule="auto" w:before="4"/>
        <w:ind w:left="863" w:right="102" w:hanging="711"/>
        <w:jc w:val="both"/>
      </w:pPr>
      <w:r>
        <w:rPr/>
        <w:t>Zou J, Tafalla C, Trukle J, Secombes CJ. (2007): Identication of a second group of type I IFNs </w:t>
      </w:r>
      <w:r>
        <w:rPr>
          <w:spacing w:val="-3"/>
        </w:rPr>
        <w:t>in </w:t>
      </w:r>
      <w:r>
        <w:rPr/>
        <w:t>fish sheds </w:t>
      </w:r>
      <w:r>
        <w:rPr>
          <w:spacing w:val="-3"/>
        </w:rPr>
        <w:t>light </w:t>
      </w:r>
      <w:r>
        <w:rPr/>
        <w:t>on IFN evolution </w:t>
      </w:r>
      <w:r>
        <w:rPr>
          <w:spacing w:val="-3"/>
        </w:rPr>
        <w:t>in </w:t>
      </w:r>
      <w:r>
        <w:rPr/>
        <w:t>vertebrates. J. Inmunol. 179: 3859-3871.</w:t>
      </w:r>
    </w:p>
    <w:p>
      <w:pPr>
        <w:spacing w:after="0" w:line="360" w:lineRule="auto"/>
        <w:jc w:val="both"/>
        <w:sectPr>
          <w:pgSz w:w="12240" w:h="15840"/>
          <w:pgMar w:header="0" w:footer="1382" w:top="1500" w:bottom="1580" w:left="1720" w:right="1420"/>
        </w:sectPr>
      </w:pPr>
    </w:p>
    <w:p>
      <w:pPr>
        <w:pStyle w:val="BodyText"/>
        <w:spacing w:before="1"/>
        <w:rPr>
          <w:sz w:val="26"/>
        </w:rPr>
      </w:pPr>
    </w:p>
    <w:p>
      <w:pPr>
        <w:pStyle w:val="Heading1"/>
        <w:numPr>
          <w:ilvl w:val="0"/>
          <w:numId w:val="9"/>
        </w:numPr>
        <w:tabs>
          <w:tab w:pos="4268" w:val="left" w:leader="none"/>
        </w:tabs>
        <w:spacing w:line="240" w:lineRule="auto" w:before="69" w:after="0"/>
        <w:ind w:left="4267" w:right="0" w:hanging="388"/>
        <w:jc w:val="left"/>
      </w:pPr>
      <w:bookmarkStart w:name="_bookmark47" w:id="88"/>
      <w:bookmarkEnd w:id="88"/>
      <w:r>
        <w:rPr>
          <w:b w:val="0"/>
        </w:rPr>
      </w:r>
      <w:bookmarkStart w:name="_bookmark47" w:id="89"/>
      <w:bookmarkEnd w:id="89"/>
      <w:r>
        <w:rPr/>
        <w:t>A</w:t>
      </w:r>
      <w:r>
        <w:rPr/>
        <w:t>NEXOS</w:t>
      </w:r>
    </w:p>
    <w:p>
      <w:pPr>
        <w:pStyle w:val="BodyText"/>
        <w:rPr>
          <w:b/>
        </w:rPr>
      </w:pPr>
    </w:p>
    <w:p>
      <w:pPr>
        <w:pStyle w:val="BodyText"/>
        <w:spacing w:before="6"/>
        <w:rPr>
          <w:b/>
          <w:sz w:val="35"/>
        </w:rPr>
      </w:pPr>
    </w:p>
    <w:p>
      <w:pPr>
        <w:pStyle w:val="BodyText"/>
        <w:spacing w:line="360" w:lineRule="auto"/>
        <w:ind w:left="152" w:right="763"/>
      </w:pPr>
      <w:r>
        <w:rPr/>
        <w:t>Anexo 1. Extracción de RNA a partir de tejido utilizando “Total RNA Kit I” E.Z.NA (Omega Bio-tek).</w:t>
      </w:r>
    </w:p>
    <w:p>
      <w:pPr>
        <w:pStyle w:val="BodyText"/>
        <w:spacing w:line="360" w:lineRule="auto" w:before="8"/>
        <w:ind w:left="152" w:right="105"/>
        <w:jc w:val="both"/>
      </w:pPr>
      <w:r>
        <w:rPr/>
        <w:t>1.- Homogenizar el tejido con vástago y agregar (350 - 700 µl) de buffer de lisis TRK por muestra.</w:t>
      </w:r>
    </w:p>
    <w:p>
      <w:pPr>
        <w:pStyle w:val="BodyText"/>
        <w:tabs>
          <w:tab w:pos="929" w:val="left" w:leader="none"/>
        </w:tabs>
        <w:spacing w:line="360" w:lineRule="auto" w:before="4"/>
        <w:ind w:left="863" w:right="4293" w:hanging="711"/>
      </w:pPr>
      <w:r>
        <w:rPr/>
        <w:t>Nota:</w:t>
        <w:tab/>
        <w:tab/>
        <w:t>≤ 15 </w:t>
      </w:r>
      <w:r>
        <w:rPr>
          <w:spacing w:val="-5"/>
        </w:rPr>
        <w:t>mg </w:t>
      </w:r>
      <w:r>
        <w:rPr/>
        <w:t>agregar 350 µL de</w:t>
      </w:r>
      <w:r>
        <w:rPr>
          <w:spacing w:val="1"/>
        </w:rPr>
        <w:t> </w:t>
      </w:r>
      <w:r>
        <w:rPr/>
        <w:t>buffer</w:t>
      </w:r>
      <w:r>
        <w:rPr>
          <w:spacing w:val="1"/>
        </w:rPr>
        <w:t> </w:t>
      </w:r>
      <w:r>
        <w:rPr/>
        <w:t>TRK</w:t>
      </w:r>
      <w:r>
        <w:rPr>
          <w:w w:val="99"/>
        </w:rPr>
        <w:t> </w:t>
      </w:r>
      <w:r>
        <w:rPr/>
        <w:t>20-30 </w:t>
      </w:r>
      <w:r>
        <w:rPr>
          <w:spacing w:val="-5"/>
        </w:rPr>
        <w:t>mg </w:t>
      </w:r>
      <w:r>
        <w:rPr/>
        <w:t>agregar 700 µL de </w:t>
      </w:r>
      <w:r>
        <w:rPr>
          <w:spacing w:val="-3"/>
        </w:rPr>
        <w:t>buffer</w:t>
      </w:r>
      <w:r>
        <w:rPr>
          <w:spacing w:val="20"/>
        </w:rPr>
        <w:t> </w:t>
      </w:r>
      <w:r>
        <w:rPr/>
        <w:t>TRK</w:t>
      </w:r>
    </w:p>
    <w:p>
      <w:pPr>
        <w:pStyle w:val="BodyText"/>
        <w:spacing w:line="364" w:lineRule="auto" w:before="4"/>
        <w:ind w:left="152" w:right="110"/>
        <w:jc w:val="both"/>
      </w:pPr>
      <w:r>
        <w:rPr/>
        <w:t>2.- centrifugar a máxima velocidad (≥13000xg) por 5 minutos. Transferir el sobrenadante a un tubo de 1,5 mL.</w:t>
      </w:r>
    </w:p>
    <w:p>
      <w:pPr>
        <w:pStyle w:val="BodyText"/>
        <w:spacing w:line="360" w:lineRule="auto"/>
        <w:ind w:left="152" w:right="113"/>
        <w:jc w:val="both"/>
      </w:pPr>
      <w:r>
        <w:rPr/>
        <w:t>3.- Agregar un volumen igual (350 µL - 700 µL) de etanol al 70 % par lisar y mezclar por pipeteo “</w:t>
      </w:r>
      <w:r>
        <w:rPr>
          <w:i/>
        </w:rPr>
        <w:t>up down</w:t>
      </w:r>
      <w:r>
        <w:rPr/>
        <w:t>” 3 -5 veces. No centrifugar.</w:t>
      </w:r>
    </w:p>
    <w:p>
      <w:pPr>
        <w:pStyle w:val="BodyText"/>
        <w:spacing w:line="362" w:lineRule="auto" w:before="4"/>
        <w:ind w:left="152" w:firstLine="710"/>
      </w:pPr>
      <w:r>
        <w:rPr/>
        <w:t>Nota: Puede formarse un precipitado después de agregar el etanol en ciertas preparaciones. Este no afecta el procedimiento.</w:t>
      </w:r>
    </w:p>
    <w:p>
      <w:pPr>
        <w:pStyle w:val="BodyText"/>
        <w:spacing w:line="360" w:lineRule="auto" w:before="1"/>
        <w:ind w:left="152" w:right="110"/>
        <w:jc w:val="both"/>
      </w:pPr>
      <w:r>
        <w:rPr/>
        <w:t>4.-</w:t>
      </w:r>
      <w:r>
        <w:rPr>
          <w:spacing w:val="-5"/>
        </w:rPr>
        <w:t> </w:t>
      </w:r>
      <w:r>
        <w:rPr/>
        <w:t>Agregar</w:t>
      </w:r>
      <w:r>
        <w:rPr>
          <w:spacing w:val="-1"/>
        </w:rPr>
        <w:t> </w:t>
      </w:r>
      <w:r>
        <w:rPr>
          <w:spacing w:val="-5"/>
        </w:rPr>
        <w:t>la</w:t>
      </w:r>
      <w:r>
        <w:rPr>
          <w:spacing w:val="-3"/>
        </w:rPr>
        <w:t> </w:t>
      </w:r>
      <w:r>
        <w:rPr/>
        <w:t>muestra</w:t>
      </w:r>
      <w:r>
        <w:rPr>
          <w:spacing w:val="-8"/>
        </w:rPr>
        <w:t> </w:t>
      </w:r>
      <w:r>
        <w:rPr/>
        <w:t>(incluyendo</w:t>
      </w:r>
      <w:r>
        <w:rPr>
          <w:spacing w:val="-2"/>
        </w:rPr>
        <w:t> </w:t>
      </w:r>
      <w:r>
        <w:rPr/>
        <w:t>cualquier</w:t>
      </w:r>
      <w:r>
        <w:rPr>
          <w:spacing w:val="-5"/>
        </w:rPr>
        <w:t> </w:t>
      </w:r>
      <w:r>
        <w:rPr/>
        <w:t>precipitado</w:t>
      </w:r>
      <w:r>
        <w:rPr>
          <w:spacing w:val="-2"/>
        </w:rPr>
        <w:t> </w:t>
      </w:r>
      <w:r>
        <w:rPr/>
        <w:t>que</w:t>
      </w:r>
      <w:r>
        <w:rPr>
          <w:spacing w:val="-8"/>
        </w:rPr>
        <w:t> </w:t>
      </w:r>
      <w:r>
        <w:rPr/>
        <w:t>se</w:t>
      </w:r>
      <w:r>
        <w:rPr>
          <w:spacing w:val="-8"/>
        </w:rPr>
        <w:t> </w:t>
      </w:r>
      <w:r>
        <w:rPr/>
        <w:t>haya</w:t>
      </w:r>
      <w:r>
        <w:rPr>
          <w:spacing w:val="-3"/>
        </w:rPr>
        <w:t> </w:t>
      </w:r>
      <w:r>
        <w:rPr/>
        <w:t>formado)</w:t>
      </w:r>
      <w:r>
        <w:rPr>
          <w:spacing w:val="-5"/>
        </w:rPr>
        <w:t> </w:t>
      </w:r>
      <w:r>
        <w:rPr/>
        <w:t>a</w:t>
      </w:r>
      <w:r>
        <w:rPr>
          <w:spacing w:val="-3"/>
        </w:rPr>
        <w:t> </w:t>
      </w:r>
      <w:r>
        <w:rPr>
          <w:spacing w:val="-5"/>
        </w:rPr>
        <w:t>la</w:t>
      </w:r>
      <w:r>
        <w:rPr>
          <w:spacing w:val="-8"/>
        </w:rPr>
        <w:t> </w:t>
      </w:r>
      <w:r>
        <w:rPr/>
        <w:t>columna con su tubo colector. Centrifugar a 10000xg por 60 segundos a temperatura ambiente. Descartar el</w:t>
      </w:r>
      <w:r>
        <w:rPr>
          <w:spacing w:val="-5"/>
        </w:rPr>
        <w:t> </w:t>
      </w:r>
      <w:r>
        <w:rPr/>
        <w:t>eluido.</w:t>
      </w:r>
    </w:p>
    <w:p>
      <w:pPr>
        <w:pStyle w:val="BodyText"/>
        <w:spacing w:line="360" w:lineRule="auto" w:before="9"/>
        <w:ind w:left="152" w:right="101"/>
        <w:jc w:val="both"/>
      </w:pPr>
      <w:r>
        <w:rPr/>
        <w:t>5.- Agregar 500 µL de buffer de lavado de RNA I a la columna. Centrifugar a 10000xg por 30 segundos. Descartar el eluido.</w:t>
      </w:r>
    </w:p>
    <w:p>
      <w:pPr>
        <w:pStyle w:val="BodyText"/>
        <w:spacing w:line="360" w:lineRule="auto" w:before="4"/>
        <w:ind w:left="152" w:right="104"/>
        <w:jc w:val="both"/>
      </w:pPr>
      <w:r>
        <w:rPr/>
        <w:t>6.- Agregar 500 µL de buffer de lavado de RNA II a la columna. Centrifugar a 10000xg por 30 segundos a temperatura ambiente. Descartar el eluido.</w:t>
      </w:r>
    </w:p>
    <w:p>
      <w:pPr>
        <w:pStyle w:val="BodyText"/>
        <w:spacing w:before="9"/>
        <w:ind w:left="863"/>
      </w:pPr>
      <w:r>
        <w:rPr/>
        <w:t>Nota: El buffer de RNA II se diluye en etanol absoluto antes de usar.</w:t>
      </w:r>
    </w:p>
    <w:p>
      <w:pPr>
        <w:pStyle w:val="BodyText"/>
        <w:spacing w:line="360" w:lineRule="auto" w:before="137"/>
        <w:ind w:left="152" w:right="113"/>
        <w:jc w:val="both"/>
      </w:pPr>
      <w:r>
        <w:rPr/>
        <w:t>7.-</w:t>
      </w:r>
      <w:r>
        <w:rPr>
          <w:spacing w:val="-13"/>
        </w:rPr>
        <w:t> </w:t>
      </w:r>
      <w:r>
        <w:rPr/>
        <w:t>Agregar</w:t>
      </w:r>
      <w:r>
        <w:rPr>
          <w:spacing w:val="-13"/>
        </w:rPr>
        <w:t> </w:t>
      </w:r>
      <w:r>
        <w:rPr/>
        <w:t>500</w:t>
      </w:r>
      <w:r>
        <w:rPr>
          <w:spacing w:val="-19"/>
        </w:rPr>
        <w:t> </w:t>
      </w:r>
      <w:r>
        <w:rPr/>
        <w:t>µL</w:t>
      </w:r>
      <w:r>
        <w:rPr>
          <w:spacing w:val="-17"/>
        </w:rPr>
        <w:t> </w:t>
      </w:r>
      <w:r>
        <w:rPr/>
        <w:t>de</w:t>
      </w:r>
      <w:r>
        <w:rPr>
          <w:spacing w:val="-15"/>
        </w:rPr>
        <w:t> </w:t>
      </w:r>
      <w:r>
        <w:rPr>
          <w:spacing w:val="-3"/>
        </w:rPr>
        <w:t>buffer</w:t>
      </w:r>
      <w:r>
        <w:rPr>
          <w:spacing w:val="-13"/>
        </w:rPr>
        <w:t> </w:t>
      </w:r>
      <w:r>
        <w:rPr/>
        <w:t>de</w:t>
      </w:r>
      <w:r>
        <w:rPr>
          <w:spacing w:val="-15"/>
        </w:rPr>
        <w:t> </w:t>
      </w:r>
      <w:r>
        <w:rPr/>
        <w:t>RNA</w:t>
      </w:r>
      <w:r>
        <w:rPr>
          <w:spacing w:val="-20"/>
        </w:rPr>
        <w:t> </w:t>
      </w:r>
      <w:r>
        <w:rPr/>
        <w:t>II</w:t>
      </w:r>
      <w:r>
        <w:rPr>
          <w:spacing w:val="-13"/>
        </w:rPr>
        <w:t> </w:t>
      </w:r>
      <w:r>
        <w:rPr/>
        <w:t>a</w:t>
      </w:r>
      <w:r>
        <w:rPr>
          <w:spacing w:val="-15"/>
        </w:rPr>
        <w:t> </w:t>
      </w:r>
      <w:r>
        <w:rPr>
          <w:spacing w:val="-5"/>
        </w:rPr>
        <w:t>la</w:t>
      </w:r>
      <w:r>
        <w:rPr>
          <w:spacing w:val="-15"/>
        </w:rPr>
        <w:t> </w:t>
      </w:r>
      <w:r>
        <w:rPr/>
        <w:t>columna.</w:t>
      </w:r>
      <w:r>
        <w:rPr>
          <w:spacing w:val="-12"/>
        </w:rPr>
        <w:t> </w:t>
      </w:r>
      <w:r>
        <w:rPr/>
        <w:t>Centrifugar</w:t>
      </w:r>
      <w:r>
        <w:rPr>
          <w:spacing w:val="-13"/>
        </w:rPr>
        <w:t> </w:t>
      </w:r>
      <w:r>
        <w:rPr/>
        <w:t>a</w:t>
      </w:r>
      <w:r>
        <w:rPr>
          <w:spacing w:val="-15"/>
        </w:rPr>
        <w:t> </w:t>
      </w:r>
      <w:r>
        <w:rPr/>
        <w:t>10000xg</w:t>
      </w:r>
      <w:r>
        <w:rPr>
          <w:spacing w:val="-14"/>
        </w:rPr>
        <w:t> </w:t>
      </w:r>
      <w:r>
        <w:rPr/>
        <w:t>por</w:t>
      </w:r>
      <w:r>
        <w:rPr>
          <w:spacing w:val="-18"/>
        </w:rPr>
        <w:t> </w:t>
      </w:r>
      <w:r>
        <w:rPr/>
        <w:t>30</w:t>
      </w:r>
      <w:r>
        <w:rPr>
          <w:spacing w:val="-19"/>
        </w:rPr>
        <w:t> </w:t>
      </w:r>
      <w:r>
        <w:rPr/>
        <w:t>segundos a temperatura ambiente. Descartar el</w:t>
      </w:r>
      <w:r>
        <w:rPr>
          <w:spacing w:val="-11"/>
        </w:rPr>
        <w:t> </w:t>
      </w:r>
      <w:r>
        <w:rPr/>
        <w:t>eluido.</w:t>
      </w:r>
    </w:p>
    <w:p>
      <w:pPr>
        <w:pStyle w:val="BodyText"/>
        <w:spacing w:before="4"/>
        <w:ind w:left="152"/>
        <w:jc w:val="both"/>
      </w:pPr>
      <w:r>
        <w:rPr/>
        <w:t>8.- Centrifugar a máxima velocidad (13000xg) para secar la columna.</w:t>
      </w:r>
    </w:p>
    <w:p>
      <w:pPr>
        <w:pStyle w:val="BodyText"/>
        <w:spacing w:line="360" w:lineRule="auto" w:before="142"/>
        <w:ind w:left="152" w:right="103"/>
        <w:jc w:val="both"/>
      </w:pPr>
      <w:r>
        <w:rPr/>
        <w:t>9.- Transferir la columna a un tubo de 1,5 mL estéril para eluir el RNA con 40 -70 µL de agua estéril. Centrifugar a máxima velocidad (13000xg) por 2 minutos. Se puede eluir dos veces para aumentar el rendimiento.</w:t>
      </w:r>
    </w:p>
    <w:p>
      <w:pPr>
        <w:pStyle w:val="BodyText"/>
        <w:spacing w:before="4"/>
        <w:ind w:left="152"/>
        <w:jc w:val="both"/>
      </w:pPr>
      <w:r>
        <w:rPr/>
        <w:t>10.- Guardar el RNA a -80°C.</w:t>
      </w:r>
    </w:p>
    <w:p>
      <w:pPr>
        <w:spacing w:after="0"/>
        <w:jc w:val="both"/>
        <w:sectPr>
          <w:pgSz w:w="12240" w:h="15840"/>
          <w:pgMar w:header="0" w:footer="1382" w:top="1500" w:bottom="1580" w:left="1720" w:right="1420"/>
        </w:sectPr>
      </w:pPr>
    </w:p>
    <w:p>
      <w:pPr>
        <w:pStyle w:val="BodyText"/>
        <w:spacing w:before="7"/>
        <w:rPr>
          <w:sz w:val="25"/>
        </w:rPr>
      </w:pPr>
    </w:p>
    <w:p>
      <w:pPr>
        <w:pStyle w:val="BodyText"/>
        <w:spacing w:line="717" w:lineRule="auto" w:before="70"/>
        <w:ind w:left="873" w:right="549" w:hanging="721"/>
      </w:pPr>
      <w:r>
        <w:rPr/>
        <w:t>Anexo 2. Tratamiento al RNA extraído con DNAsa antes de un RT-PCR (PROMEGA) Condición de reacción (V final: 11 μL).</w:t>
      </w:r>
    </w:p>
    <w:p>
      <w:pPr>
        <w:pStyle w:val="ListParagraph"/>
        <w:numPr>
          <w:ilvl w:val="0"/>
          <w:numId w:val="15"/>
        </w:numPr>
        <w:tabs>
          <w:tab w:pos="935" w:val="left" w:leader="none"/>
          <w:tab w:pos="936" w:val="left" w:leader="none"/>
          <w:tab w:pos="5866" w:val="left" w:leader="none"/>
        </w:tabs>
        <w:spacing w:line="240" w:lineRule="auto" w:before="25" w:after="0"/>
        <w:ind w:left="935" w:right="0" w:hanging="422"/>
        <w:jc w:val="left"/>
        <w:rPr>
          <w:sz w:val="24"/>
        </w:rPr>
      </w:pPr>
      <w:r>
        <w:rPr>
          <w:sz w:val="24"/>
        </w:rPr>
        <w:t>RNA  extraído en agua o</w:t>
      </w:r>
      <w:r>
        <w:rPr>
          <w:spacing w:val="-1"/>
          <w:sz w:val="24"/>
        </w:rPr>
        <w:t> </w:t>
      </w:r>
      <w:r>
        <w:rPr>
          <w:i/>
          <w:sz w:val="24"/>
        </w:rPr>
        <w:t>TE</w:t>
      </w:r>
      <w:r>
        <w:rPr>
          <w:i/>
          <w:spacing w:val="-3"/>
          <w:sz w:val="24"/>
        </w:rPr>
        <w:t> </w:t>
      </w:r>
      <w:r>
        <w:rPr>
          <w:i/>
          <w:sz w:val="24"/>
        </w:rPr>
        <w:t>buffer</w:t>
        <w:tab/>
      </w:r>
      <w:r>
        <w:rPr>
          <w:sz w:val="24"/>
        </w:rPr>
        <w:t>(8</w:t>
      </w:r>
      <w:r>
        <w:rPr>
          <w:spacing w:val="-4"/>
          <w:sz w:val="24"/>
        </w:rPr>
        <w:t> </w:t>
      </w:r>
      <w:r>
        <w:rPr>
          <w:sz w:val="24"/>
        </w:rPr>
        <w:t>μL)</w:t>
      </w:r>
    </w:p>
    <w:p>
      <w:pPr>
        <w:pStyle w:val="ListParagraph"/>
        <w:numPr>
          <w:ilvl w:val="0"/>
          <w:numId w:val="15"/>
        </w:numPr>
        <w:tabs>
          <w:tab w:pos="935" w:val="left" w:leader="none"/>
          <w:tab w:pos="936" w:val="left" w:leader="none"/>
          <w:tab w:pos="5828" w:val="left" w:leader="none"/>
        </w:tabs>
        <w:spacing w:line="240" w:lineRule="auto" w:before="137" w:after="0"/>
        <w:ind w:left="935" w:right="0" w:hanging="422"/>
        <w:jc w:val="left"/>
        <w:rPr>
          <w:sz w:val="24"/>
        </w:rPr>
      </w:pPr>
      <w:r>
        <w:rPr>
          <w:i/>
          <w:sz w:val="24"/>
        </w:rPr>
        <w:t>RQ1 RNase-Free  DNase 10x</w:t>
      </w:r>
      <w:r>
        <w:rPr>
          <w:i/>
          <w:spacing w:val="-9"/>
          <w:sz w:val="24"/>
        </w:rPr>
        <w:t> </w:t>
      </w:r>
      <w:r>
        <w:rPr>
          <w:i/>
          <w:sz w:val="24"/>
        </w:rPr>
        <w:t>Reaction</w:t>
      </w:r>
      <w:r>
        <w:rPr>
          <w:i/>
          <w:spacing w:val="-1"/>
          <w:sz w:val="24"/>
        </w:rPr>
        <w:t> </w:t>
      </w:r>
      <w:r>
        <w:rPr>
          <w:i/>
          <w:sz w:val="24"/>
        </w:rPr>
        <w:t>Buffer</w:t>
        <w:tab/>
      </w:r>
      <w:r>
        <w:rPr>
          <w:sz w:val="24"/>
        </w:rPr>
        <w:t>(1</w:t>
      </w:r>
      <w:r>
        <w:rPr>
          <w:spacing w:val="-4"/>
          <w:sz w:val="24"/>
        </w:rPr>
        <w:t> </w:t>
      </w:r>
      <w:r>
        <w:rPr>
          <w:sz w:val="24"/>
        </w:rPr>
        <w:t>μL)</w:t>
      </w:r>
    </w:p>
    <w:p>
      <w:pPr>
        <w:pStyle w:val="ListParagraph"/>
        <w:numPr>
          <w:ilvl w:val="0"/>
          <w:numId w:val="15"/>
        </w:numPr>
        <w:tabs>
          <w:tab w:pos="935" w:val="left" w:leader="none"/>
          <w:tab w:pos="936" w:val="left" w:leader="none"/>
          <w:tab w:pos="5847" w:val="left" w:leader="none"/>
        </w:tabs>
        <w:spacing w:line="240" w:lineRule="auto" w:before="137" w:after="0"/>
        <w:ind w:left="935" w:right="0" w:hanging="422"/>
        <w:jc w:val="left"/>
        <w:rPr>
          <w:sz w:val="24"/>
        </w:rPr>
      </w:pPr>
      <w:r>
        <w:rPr>
          <w:i/>
          <w:sz w:val="24"/>
        </w:rPr>
        <w:t>RQ1 RNase-Free</w:t>
      </w:r>
      <w:r>
        <w:rPr>
          <w:i/>
          <w:spacing w:val="51"/>
          <w:sz w:val="24"/>
        </w:rPr>
        <w:t> </w:t>
      </w:r>
      <w:r>
        <w:rPr>
          <w:i/>
          <w:sz w:val="24"/>
        </w:rPr>
        <w:t>DNase</w:t>
      </w:r>
      <w:r>
        <w:rPr>
          <w:i/>
          <w:spacing w:val="-1"/>
          <w:sz w:val="24"/>
        </w:rPr>
        <w:t> </w:t>
      </w:r>
      <w:r>
        <w:rPr>
          <w:i/>
          <w:sz w:val="24"/>
        </w:rPr>
        <w:t>(Promega)</w:t>
        <w:tab/>
      </w:r>
      <w:r>
        <w:rPr>
          <w:sz w:val="24"/>
        </w:rPr>
        <w:t>(1</w:t>
      </w:r>
      <w:r>
        <w:rPr>
          <w:spacing w:val="-13"/>
          <w:sz w:val="24"/>
        </w:rPr>
        <w:t> </w:t>
      </w:r>
      <w:r>
        <w:rPr>
          <w:sz w:val="24"/>
        </w:rPr>
        <w:t>μL/RNA)</w:t>
      </w:r>
    </w:p>
    <w:p>
      <w:pPr>
        <w:pStyle w:val="Heading2"/>
        <w:spacing w:line="360" w:lineRule="auto" w:before="141"/>
        <w:ind w:left="873" w:firstLine="0"/>
        <w:jc w:val="left"/>
        <w:rPr>
          <w:b w:val="0"/>
          <w:i w:val="0"/>
        </w:rPr>
      </w:pPr>
      <w:r>
        <w:rPr>
          <w:i/>
        </w:rPr>
        <w:t>Nota: Use un 1 unidad de RQ1 RNase-Free DNase por microgramo de RNA.</w:t>
      </w:r>
      <w:r>
        <w:rPr>
          <w:i/>
          <w:spacing w:val="-40"/>
        </w:rPr>
        <w:t> </w:t>
      </w:r>
      <w:r>
        <w:rPr>
          <w:i/>
        </w:rPr>
        <w:t>Para </w:t>
      </w:r>
      <w:r>
        <w:rPr/>
        <w:t>menores</w:t>
      </w:r>
      <w:r>
        <w:rPr>
          <w:spacing w:val="-17"/>
        </w:rPr>
        <w:t> </w:t>
      </w:r>
      <w:r>
        <w:rPr/>
        <w:t>cantidades</w:t>
      </w:r>
      <w:r>
        <w:rPr>
          <w:spacing w:val="-17"/>
        </w:rPr>
        <w:t> </w:t>
      </w:r>
      <w:r>
        <w:rPr/>
        <w:t>de</w:t>
      </w:r>
      <w:r>
        <w:rPr>
          <w:spacing w:val="-15"/>
        </w:rPr>
        <w:t> </w:t>
      </w:r>
      <w:r>
        <w:rPr/>
        <w:t>RNA</w:t>
      </w:r>
      <w:r>
        <w:rPr>
          <w:spacing w:val="-14"/>
        </w:rPr>
        <w:t> </w:t>
      </w:r>
      <w:r>
        <w:rPr/>
        <w:t>use</w:t>
      </w:r>
      <w:r>
        <w:rPr>
          <w:spacing w:val="-15"/>
        </w:rPr>
        <w:t> </w:t>
      </w:r>
      <w:r>
        <w:rPr/>
        <w:t>1</w:t>
      </w:r>
      <w:r>
        <w:rPr>
          <w:spacing w:val="-14"/>
        </w:rPr>
        <w:t> </w:t>
      </w:r>
      <w:r>
        <w:rPr/>
        <w:t>unidad</w:t>
      </w:r>
      <w:r>
        <w:rPr>
          <w:spacing w:val="-14"/>
        </w:rPr>
        <w:t> </w:t>
      </w:r>
      <w:r>
        <w:rPr/>
        <w:t>de</w:t>
      </w:r>
      <w:r>
        <w:rPr>
          <w:spacing w:val="-14"/>
        </w:rPr>
        <w:t> </w:t>
      </w:r>
      <w:r>
        <w:rPr/>
        <w:t>RQ1</w:t>
      </w:r>
      <w:r>
        <w:rPr>
          <w:spacing w:val="-15"/>
        </w:rPr>
        <w:t> </w:t>
      </w:r>
      <w:r>
        <w:rPr/>
        <w:t>RNase-Free</w:t>
      </w:r>
      <w:r>
        <w:rPr>
          <w:spacing w:val="-15"/>
        </w:rPr>
        <w:t> </w:t>
      </w:r>
      <w:r>
        <w:rPr/>
        <w:t>DNase</w:t>
      </w:r>
      <w:r>
        <w:rPr>
          <w:spacing w:val="-15"/>
        </w:rPr>
        <w:t> </w:t>
      </w:r>
      <w:r>
        <w:rPr/>
        <w:t>por</w:t>
      </w:r>
      <w:r>
        <w:rPr>
          <w:spacing w:val="-17"/>
        </w:rPr>
        <w:t> </w:t>
      </w:r>
      <w:r>
        <w:rPr/>
        <w:t>reacción</w:t>
      </w:r>
      <w:r>
        <w:rPr>
          <w:b w:val="0"/>
          <w:i w:val="0"/>
        </w:rPr>
        <w:t>.</w:t>
      </w:r>
    </w:p>
    <w:p>
      <w:pPr>
        <w:pStyle w:val="ListParagraph"/>
        <w:numPr>
          <w:ilvl w:val="0"/>
          <w:numId w:val="15"/>
        </w:numPr>
        <w:tabs>
          <w:tab w:pos="873" w:val="left" w:leader="none"/>
        </w:tabs>
        <w:spacing w:line="240" w:lineRule="auto" w:before="4" w:after="0"/>
        <w:ind w:left="873" w:right="0" w:hanging="360"/>
        <w:jc w:val="left"/>
        <w:rPr>
          <w:sz w:val="24"/>
        </w:rPr>
      </w:pPr>
      <w:r>
        <w:rPr>
          <w:sz w:val="24"/>
        </w:rPr>
        <w:t>Incubar a 30 minutos a 37</w:t>
      </w:r>
      <w:r>
        <w:rPr>
          <w:spacing w:val="-3"/>
          <w:sz w:val="24"/>
        </w:rPr>
        <w:t> °C.</w:t>
      </w:r>
    </w:p>
    <w:p>
      <w:pPr>
        <w:pStyle w:val="ListParagraph"/>
        <w:numPr>
          <w:ilvl w:val="0"/>
          <w:numId w:val="15"/>
        </w:numPr>
        <w:tabs>
          <w:tab w:pos="873" w:val="left" w:leader="none"/>
        </w:tabs>
        <w:spacing w:line="240" w:lineRule="auto" w:before="137" w:after="0"/>
        <w:ind w:left="873" w:right="0" w:hanging="360"/>
        <w:jc w:val="left"/>
        <w:rPr>
          <w:sz w:val="24"/>
        </w:rPr>
      </w:pPr>
      <w:r>
        <w:rPr>
          <w:sz w:val="24"/>
        </w:rPr>
        <w:t>Agregar 1 μL de </w:t>
      </w:r>
      <w:r>
        <w:rPr>
          <w:i/>
          <w:sz w:val="24"/>
        </w:rPr>
        <w:t>DNase Stop Solution </w:t>
      </w:r>
      <w:r>
        <w:rPr>
          <w:sz w:val="24"/>
        </w:rPr>
        <w:t>para terminar </w:t>
      </w:r>
      <w:r>
        <w:rPr>
          <w:spacing w:val="-5"/>
          <w:sz w:val="24"/>
        </w:rPr>
        <w:t>la</w:t>
      </w:r>
      <w:r>
        <w:rPr>
          <w:spacing w:val="-11"/>
          <w:sz w:val="24"/>
        </w:rPr>
        <w:t> </w:t>
      </w:r>
      <w:r>
        <w:rPr>
          <w:sz w:val="24"/>
        </w:rPr>
        <w:t>reacción</w:t>
      </w:r>
    </w:p>
    <w:p>
      <w:pPr>
        <w:pStyle w:val="ListParagraph"/>
        <w:numPr>
          <w:ilvl w:val="0"/>
          <w:numId w:val="15"/>
        </w:numPr>
        <w:tabs>
          <w:tab w:pos="873" w:val="left" w:leader="none"/>
        </w:tabs>
        <w:spacing w:line="240" w:lineRule="auto" w:before="137" w:after="0"/>
        <w:ind w:left="873" w:right="0" w:hanging="360"/>
        <w:jc w:val="left"/>
        <w:rPr>
          <w:sz w:val="24"/>
        </w:rPr>
      </w:pPr>
      <w:r>
        <w:rPr>
          <w:sz w:val="24"/>
        </w:rPr>
        <w:t>Incubar 10 minutos a 65</w:t>
      </w:r>
      <w:r>
        <w:rPr>
          <w:spacing w:val="-5"/>
          <w:sz w:val="24"/>
        </w:rPr>
        <w:t> </w:t>
      </w:r>
      <w:r>
        <w:rPr>
          <w:spacing w:val="-3"/>
          <w:sz w:val="24"/>
        </w:rPr>
        <w:t>°C.</w:t>
      </w:r>
    </w:p>
    <w:p>
      <w:pPr>
        <w:pStyle w:val="ListParagraph"/>
        <w:numPr>
          <w:ilvl w:val="0"/>
          <w:numId w:val="15"/>
        </w:numPr>
        <w:tabs>
          <w:tab w:pos="873" w:val="left" w:leader="none"/>
        </w:tabs>
        <w:spacing w:line="240" w:lineRule="auto" w:before="141" w:after="0"/>
        <w:ind w:left="873" w:right="0" w:hanging="360"/>
        <w:jc w:val="left"/>
        <w:rPr>
          <w:sz w:val="24"/>
        </w:rPr>
      </w:pPr>
      <w:r>
        <w:rPr>
          <w:sz w:val="24"/>
        </w:rPr>
        <w:t>Agregar todo o una porción del RNA tratado al</w:t>
      </w:r>
      <w:r>
        <w:rPr>
          <w:spacing w:val="-16"/>
          <w:sz w:val="24"/>
        </w:rPr>
        <w:t> </w:t>
      </w:r>
      <w:r>
        <w:rPr>
          <w:sz w:val="24"/>
        </w:rPr>
        <w:t>RT-PCR.</w:t>
      </w:r>
    </w:p>
    <w:p>
      <w:pPr>
        <w:spacing w:after="0" w:line="240" w:lineRule="auto"/>
        <w:jc w:val="left"/>
        <w:rPr>
          <w:sz w:val="24"/>
        </w:rPr>
        <w:sectPr>
          <w:pgSz w:w="12240" w:h="15840"/>
          <w:pgMar w:header="0" w:footer="1382" w:top="1500" w:bottom="1580" w:left="1720" w:right="1420"/>
        </w:sectPr>
      </w:pPr>
    </w:p>
    <w:p>
      <w:pPr>
        <w:pStyle w:val="BodyText"/>
        <w:spacing w:before="7"/>
        <w:rPr>
          <w:sz w:val="25"/>
        </w:rPr>
      </w:pPr>
    </w:p>
    <w:p>
      <w:pPr>
        <w:pStyle w:val="BodyText"/>
        <w:spacing w:before="70"/>
        <w:ind w:left="152"/>
      </w:pPr>
      <w:r>
        <w:rPr/>
        <w:t>Anexo 3. Extracción de proteínas totales y preparación de buffer de extracción (RIPA)</w:t>
      </w:r>
    </w:p>
    <w:p>
      <w:pPr>
        <w:pStyle w:val="BodyText"/>
      </w:pPr>
    </w:p>
    <w:p>
      <w:pPr>
        <w:pStyle w:val="BodyText"/>
        <w:rPr>
          <w:sz w:val="23"/>
        </w:rPr>
      </w:pPr>
    </w:p>
    <w:p>
      <w:pPr>
        <w:pStyle w:val="BodyText"/>
        <w:ind w:left="152"/>
      </w:pPr>
      <w:r>
        <w:rPr/>
        <w:t>1.- Trabajar siempre en Hielo</w:t>
      </w:r>
    </w:p>
    <w:p>
      <w:pPr>
        <w:pStyle w:val="BodyText"/>
        <w:spacing w:before="137"/>
        <w:ind w:left="152"/>
      </w:pPr>
      <w:r>
        <w:rPr/>
        <w:t>2.- Preparar en un eppendorf de 1,5 mL lo siguiente:</w:t>
      </w:r>
    </w:p>
    <w:p>
      <w:pPr>
        <w:pStyle w:val="ListParagraph"/>
        <w:numPr>
          <w:ilvl w:val="0"/>
          <w:numId w:val="16"/>
        </w:numPr>
        <w:tabs>
          <w:tab w:pos="657" w:val="left" w:leader="none"/>
        </w:tabs>
        <w:spacing w:line="240" w:lineRule="auto" w:before="121" w:after="0"/>
        <w:ind w:left="657" w:right="6142" w:hanging="140"/>
        <w:jc w:val="center"/>
        <w:rPr>
          <w:sz w:val="16"/>
        </w:rPr>
      </w:pPr>
      <w:r>
        <w:rPr>
          <w:sz w:val="24"/>
        </w:rPr>
        <w:t>938 µL de</w:t>
      </w:r>
      <w:r>
        <w:rPr>
          <w:spacing w:val="-8"/>
          <w:sz w:val="24"/>
        </w:rPr>
        <w:t> </w:t>
      </w:r>
      <w:r>
        <w:rPr>
          <w:sz w:val="24"/>
        </w:rPr>
        <w:t>RIPA</w:t>
      </w:r>
      <w:r>
        <w:rPr>
          <w:position w:val="9"/>
          <w:sz w:val="16"/>
        </w:rPr>
        <w:t>(1)</w:t>
      </w:r>
    </w:p>
    <w:p>
      <w:pPr>
        <w:pStyle w:val="ListParagraph"/>
        <w:numPr>
          <w:ilvl w:val="0"/>
          <w:numId w:val="16"/>
        </w:numPr>
        <w:tabs>
          <w:tab w:pos="648" w:val="left" w:leader="none"/>
        </w:tabs>
        <w:spacing w:line="240" w:lineRule="auto" w:before="142" w:after="0"/>
        <w:ind w:left="647" w:right="0" w:hanging="139"/>
        <w:jc w:val="left"/>
        <w:rPr>
          <w:sz w:val="24"/>
        </w:rPr>
      </w:pPr>
      <w:r>
        <w:rPr>
          <w:sz w:val="24"/>
        </w:rPr>
        <w:t>2 µL de Tritón X100 al</w:t>
      </w:r>
      <w:r>
        <w:rPr>
          <w:spacing w:val="-17"/>
          <w:sz w:val="24"/>
        </w:rPr>
        <w:t> </w:t>
      </w:r>
      <w:r>
        <w:rPr>
          <w:sz w:val="24"/>
        </w:rPr>
        <w:t>10%</w:t>
      </w:r>
    </w:p>
    <w:p>
      <w:pPr>
        <w:pStyle w:val="ListParagraph"/>
        <w:numPr>
          <w:ilvl w:val="0"/>
          <w:numId w:val="16"/>
        </w:numPr>
        <w:tabs>
          <w:tab w:pos="657" w:val="left" w:leader="none"/>
        </w:tabs>
        <w:spacing w:line="240" w:lineRule="auto" w:before="137" w:after="0"/>
        <w:ind w:left="657" w:right="0" w:hanging="140"/>
        <w:jc w:val="left"/>
        <w:rPr>
          <w:sz w:val="24"/>
        </w:rPr>
      </w:pPr>
      <w:r>
        <w:rPr>
          <w:sz w:val="24"/>
        </w:rPr>
        <w:t>50 µL de </w:t>
      </w:r>
      <w:r>
        <w:rPr>
          <w:spacing w:val="-4"/>
          <w:sz w:val="24"/>
        </w:rPr>
        <w:t>mix </w:t>
      </w:r>
      <w:r>
        <w:rPr>
          <w:sz w:val="24"/>
        </w:rPr>
        <w:t>de inhibidor de</w:t>
      </w:r>
      <w:r>
        <w:rPr>
          <w:spacing w:val="-3"/>
          <w:sz w:val="24"/>
        </w:rPr>
        <w:t> </w:t>
      </w:r>
      <w:r>
        <w:rPr>
          <w:sz w:val="24"/>
        </w:rPr>
        <w:t>proteasas</w:t>
      </w:r>
    </w:p>
    <w:p>
      <w:pPr>
        <w:pStyle w:val="ListParagraph"/>
        <w:numPr>
          <w:ilvl w:val="0"/>
          <w:numId w:val="16"/>
        </w:numPr>
        <w:tabs>
          <w:tab w:pos="657" w:val="left" w:leader="none"/>
        </w:tabs>
        <w:spacing w:line="240" w:lineRule="auto" w:before="137" w:after="0"/>
        <w:ind w:left="657" w:right="0" w:hanging="140"/>
        <w:jc w:val="left"/>
        <w:rPr>
          <w:sz w:val="24"/>
        </w:rPr>
      </w:pPr>
      <w:r>
        <w:rPr>
          <w:sz w:val="24"/>
        </w:rPr>
        <w:t>10 µL de</w:t>
      </w:r>
      <w:r>
        <w:rPr>
          <w:spacing w:val="-6"/>
          <w:sz w:val="24"/>
        </w:rPr>
        <w:t> </w:t>
      </w:r>
      <w:r>
        <w:rPr>
          <w:sz w:val="24"/>
        </w:rPr>
        <w:t>PMSF</w:t>
      </w:r>
    </w:p>
    <w:p>
      <w:pPr>
        <w:pStyle w:val="BodyText"/>
        <w:spacing w:line="362" w:lineRule="auto" w:before="137"/>
        <w:ind w:left="152" w:right="2730"/>
      </w:pPr>
      <w:r>
        <w:rPr/>
        <w:t>3.- Agregar la solución recién preparada a la muestra de tejido 4.- Incubar 20 minutos en Hielo</w:t>
      </w:r>
    </w:p>
    <w:p>
      <w:pPr>
        <w:pStyle w:val="BodyText"/>
        <w:spacing w:line="360" w:lineRule="auto" w:before="2"/>
        <w:ind w:left="152"/>
      </w:pPr>
      <w:r>
        <w:rPr/>
        <w:t>5.- Sonicar 3 veces de 5 a 10 segundos en potencia media (10), introducir el tubo en hielo entre cada sonicada.</w:t>
      </w:r>
    </w:p>
    <w:p>
      <w:pPr>
        <w:pStyle w:val="BodyText"/>
        <w:spacing w:line="362" w:lineRule="auto" w:before="4"/>
        <w:ind w:left="152" w:right="4293"/>
      </w:pPr>
      <w:r>
        <w:rPr/>
        <w:t>6.- Centrifugar a 4000xg por 10 minutos a 4 °C 7.- Recuperar el sobrenadante y alicuotar.</w:t>
      </w:r>
    </w:p>
    <w:p>
      <w:pPr>
        <w:pStyle w:val="BodyText"/>
        <w:spacing w:before="1"/>
        <w:ind w:left="152"/>
      </w:pPr>
      <w:r>
        <w:rPr/>
        <w:t>8.- Dejar una pequeña alícuota para cuantificar.</w:t>
      </w:r>
    </w:p>
    <w:p>
      <w:pPr>
        <w:pStyle w:val="BodyText"/>
      </w:pPr>
    </w:p>
    <w:p>
      <w:pPr>
        <w:pStyle w:val="BodyText"/>
        <w:spacing w:before="5"/>
        <w:rPr>
          <w:sz w:val="22"/>
        </w:rPr>
      </w:pPr>
    </w:p>
    <w:p>
      <w:pPr>
        <w:pStyle w:val="BodyText"/>
        <w:ind w:left="152"/>
      </w:pPr>
      <w:r>
        <w:rPr/>
        <w:pict>
          <v:line style="position:absolute;mso-position-horizontal-relative:page;mso-position-vertical-relative:paragraph;z-index:-57832" from="93.648003pt,13.40876pt" to="228.338003pt,13.40876pt" stroked="true" strokeweight=".47998pt" strokecolor="#000000">
            <w10:wrap type="none"/>
          </v:line>
        </w:pict>
      </w:r>
      <w:r>
        <w:rPr>
          <w:position w:val="9"/>
          <w:sz w:val="16"/>
        </w:rPr>
        <w:t>(1)</w:t>
      </w:r>
      <w:r>
        <w:rPr/>
        <w:t>Preparación Buffer RIPA:</w:t>
      </w:r>
    </w:p>
    <w:p>
      <w:pPr>
        <w:pStyle w:val="ListParagraph"/>
        <w:numPr>
          <w:ilvl w:val="0"/>
          <w:numId w:val="17"/>
        </w:numPr>
        <w:tabs>
          <w:tab w:pos="297" w:val="left" w:leader="none"/>
        </w:tabs>
        <w:spacing w:line="240" w:lineRule="auto" w:before="141" w:after="0"/>
        <w:ind w:left="297" w:right="0" w:hanging="145"/>
        <w:jc w:val="left"/>
        <w:rPr>
          <w:sz w:val="24"/>
        </w:rPr>
      </w:pPr>
      <w:r>
        <w:rPr>
          <w:sz w:val="24"/>
        </w:rPr>
        <w:t>0,6 g Tris (pH 7,5 con</w:t>
      </w:r>
      <w:r>
        <w:rPr>
          <w:spacing w:val="-16"/>
          <w:sz w:val="24"/>
        </w:rPr>
        <w:t> </w:t>
      </w:r>
      <w:r>
        <w:rPr>
          <w:sz w:val="24"/>
        </w:rPr>
        <w:t>HCl)</w:t>
      </w:r>
    </w:p>
    <w:p>
      <w:pPr>
        <w:pStyle w:val="ListParagraph"/>
        <w:numPr>
          <w:ilvl w:val="0"/>
          <w:numId w:val="17"/>
        </w:numPr>
        <w:tabs>
          <w:tab w:pos="297" w:val="left" w:leader="none"/>
        </w:tabs>
        <w:spacing w:line="240" w:lineRule="auto" w:before="137" w:after="0"/>
        <w:ind w:left="297" w:right="0" w:hanging="145"/>
        <w:jc w:val="left"/>
        <w:rPr>
          <w:sz w:val="24"/>
        </w:rPr>
      </w:pPr>
      <w:r>
        <w:rPr>
          <w:sz w:val="24"/>
        </w:rPr>
        <w:t>0,876 g</w:t>
      </w:r>
      <w:r>
        <w:rPr>
          <w:spacing w:val="-4"/>
          <w:sz w:val="24"/>
        </w:rPr>
        <w:t> </w:t>
      </w:r>
      <w:r>
        <w:rPr>
          <w:sz w:val="24"/>
        </w:rPr>
        <w:t>NaCl</w:t>
      </w:r>
    </w:p>
    <w:p>
      <w:pPr>
        <w:pStyle w:val="ListParagraph"/>
        <w:numPr>
          <w:ilvl w:val="0"/>
          <w:numId w:val="17"/>
        </w:numPr>
        <w:tabs>
          <w:tab w:pos="297" w:val="left" w:leader="none"/>
        </w:tabs>
        <w:spacing w:line="240" w:lineRule="auto" w:before="137" w:after="0"/>
        <w:ind w:left="297" w:right="0" w:hanging="145"/>
        <w:jc w:val="left"/>
        <w:rPr>
          <w:sz w:val="24"/>
        </w:rPr>
      </w:pPr>
      <w:r>
        <w:rPr>
          <w:sz w:val="24"/>
        </w:rPr>
        <w:t>1 </w:t>
      </w:r>
      <w:r>
        <w:rPr>
          <w:spacing w:val="-5"/>
          <w:sz w:val="24"/>
        </w:rPr>
        <w:t>mL </w:t>
      </w:r>
      <w:r>
        <w:rPr>
          <w:sz w:val="24"/>
        </w:rPr>
        <w:t>NP</w:t>
      </w:r>
      <w:r>
        <w:rPr>
          <w:spacing w:val="7"/>
          <w:sz w:val="24"/>
        </w:rPr>
        <w:t> </w:t>
      </w:r>
      <w:r>
        <w:rPr>
          <w:sz w:val="24"/>
        </w:rPr>
        <w:t>40</w:t>
      </w:r>
    </w:p>
    <w:p>
      <w:pPr>
        <w:pStyle w:val="ListParagraph"/>
        <w:numPr>
          <w:ilvl w:val="0"/>
          <w:numId w:val="17"/>
        </w:numPr>
        <w:tabs>
          <w:tab w:pos="297" w:val="left" w:leader="none"/>
        </w:tabs>
        <w:spacing w:line="240" w:lineRule="auto" w:before="137" w:after="0"/>
        <w:ind w:left="297" w:right="0" w:hanging="145"/>
        <w:jc w:val="left"/>
        <w:rPr>
          <w:sz w:val="24"/>
        </w:rPr>
      </w:pPr>
      <w:r>
        <w:rPr>
          <w:sz w:val="24"/>
        </w:rPr>
        <w:t>0,5 g Oxicolato de</w:t>
      </w:r>
      <w:r>
        <w:rPr>
          <w:spacing w:val="-13"/>
          <w:sz w:val="24"/>
        </w:rPr>
        <w:t> </w:t>
      </w:r>
      <w:r>
        <w:rPr>
          <w:sz w:val="24"/>
        </w:rPr>
        <w:t>Sodio</w:t>
      </w:r>
    </w:p>
    <w:p>
      <w:pPr>
        <w:pStyle w:val="ListParagraph"/>
        <w:numPr>
          <w:ilvl w:val="0"/>
          <w:numId w:val="17"/>
        </w:numPr>
        <w:tabs>
          <w:tab w:pos="297" w:val="left" w:leader="none"/>
        </w:tabs>
        <w:spacing w:line="240" w:lineRule="auto" w:before="141" w:after="0"/>
        <w:ind w:left="297" w:right="0" w:hanging="145"/>
        <w:jc w:val="left"/>
        <w:rPr>
          <w:sz w:val="24"/>
        </w:rPr>
      </w:pPr>
      <w:r>
        <w:rPr>
          <w:sz w:val="24"/>
        </w:rPr>
        <w:t>0,1 g SDS o 1 </w:t>
      </w:r>
      <w:r>
        <w:rPr>
          <w:spacing w:val="-5"/>
          <w:sz w:val="24"/>
        </w:rPr>
        <w:t>mL </w:t>
      </w:r>
      <w:r>
        <w:rPr>
          <w:sz w:val="24"/>
        </w:rPr>
        <w:t>de solución SDS</w:t>
      </w:r>
      <w:r>
        <w:rPr>
          <w:spacing w:val="-1"/>
          <w:sz w:val="24"/>
        </w:rPr>
        <w:t> </w:t>
      </w:r>
      <w:r>
        <w:rPr>
          <w:sz w:val="24"/>
        </w:rPr>
        <w:t>10%</w:t>
      </w:r>
    </w:p>
    <w:p>
      <w:pPr>
        <w:pStyle w:val="ListParagraph"/>
        <w:numPr>
          <w:ilvl w:val="0"/>
          <w:numId w:val="17"/>
        </w:numPr>
        <w:tabs>
          <w:tab w:pos="297" w:val="left" w:leader="none"/>
        </w:tabs>
        <w:spacing w:line="240" w:lineRule="auto" w:before="137" w:after="0"/>
        <w:ind w:left="297" w:right="0" w:hanging="145"/>
        <w:jc w:val="left"/>
        <w:rPr>
          <w:sz w:val="24"/>
        </w:rPr>
      </w:pPr>
      <w:r>
        <w:rPr>
          <w:sz w:val="24"/>
        </w:rPr>
        <w:t>1 </w:t>
      </w:r>
      <w:r>
        <w:rPr>
          <w:spacing w:val="-5"/>
          <w:sz w:val="24"/>
        </w:rPr>
        <w:t>mL </w:t>
      </w:r>
      <w:r>
        <w:rPr>
          <w:sz w:val="24"/>
        </w:rPr>
        <w:t>EDTA 0,5</w:t>
      </w:r>
      <w:r>
        <w:rPr>
          <w:spacing w:val="7"/>
          <w:sz w:val="24"/>
        </w:rPr>
        <w:t> </w:t>
      </w:r>
      <w:r>
        <w:rPr>
          <w:sz w:val="24"/>
        </w:rPr>
        <w:t>M</w:t>
      </w:r>
    </w:p>
    <w:p>
      <w:pPr>
        <w:pStyle w:val="ListParagraph"/>
        <w:numPr>
          <w:ilvl w:val="0"/>
          <w:numId w:val="17"/>
        </w:numPr>
        <w:tabs>
          <w:tab w:pos="297" w:val="left" w:leader="none"/>
        </w:tabs>
        <w:spacing w:line="240" w:lineRule="auto" w:before="137" w:after="0"/>
        <w:ind w:left="297" w:right="0" w:hanging="145"/>
        <w:jc w:val="left"/>
        <w:rPr>
          <w:sz w:val="24"/>
        </w:rPr>
      </w:pPr>
      <w:r>
        <w:rPr>
          <w:sz w:val="24"/>
        </w:rPr>
        <w:t>Aforar a 100</w:t>
      </w:r>
      <w:r>
        <w:rPr>
          <w:spacing w:val="-5"/>
          <w:sz w:val="24"/>
        </w:rPr>
        <w:t> mL</w:t>
      </w:r>
    </w:p>
    <w:p>
      <w:pPr>
        <w:spacing w:after="0" w:line="240" w:lineRule="auto"/>
        <w:jc w:val="left"/>
        <w:rPr>
          <w:sz w:val="24"/>
        </w:rPr>
        <w:sectPr>
          <w:pgSz w:w="12240" w:h="15840"/>
          <w:pgMar w:header="0" w:footer="1382" w:top="1500" w:bottom="1580" w:left="1720" w:right="1420"/>
        </w:sectPr>
      </w:pPr>
    </w:p>
    <w:p>
      <w:pPr>
        <w:pStyle w:val="BodyText"/>
        <w:spacing w:before="7"/>
        <w:rPr>
          <w:sz w:val="25"/>
        </w:rPr>
      </w:pPr>
    </w:p>
    <w:p>
      <w:pPr>
        <w:pStyle w:val="BodyText"/>
        <w:spacing w:line="360" w:lineRule="auto" w:before="70"/>
        <w:ind w:left="152" w:right="2730"/>
      </w:pPr>
      <w:r>
        <w:rPr/>
        <w:t>Anexo 4. Protocolo para la técnica de Westernblot PREPARACIÓN DE MUESTRAS</w:t>
      </w:r>
    </w:p>
    <w:p>
      <w:pPr>
        <w:pStyle w:val="BodyText"/>
        <w:spacing w:before="4"/>
        <w:ind w:left="215"/>
      </w:pPr>
      <w:r>
        <w:rPr/>
        <w:t>Mantener siempre las muestras en hielo, hasta que éstas sean cargadas en el gel. Agregar 1</w:t>
      </w:r>
    </w:p>
    <w:p>
      <w:pPr>
        <w:spacing w:line="362" w:lineRule="auto" w:before="141"/>
        <w:ind w:left="152" w:right="0" w:firstLine="0"/>
        <w:jc w:val="left"/>
        <w:rPr>
          <w:b/>
          <w:sz w:val="24"/>
        </w:rPr>
      </w:pPr>
      <w:r>
        <w:rPr>
          <w:sz w:val="24"/>
        </w:rPr>
        <w:t>µl de SDS 20% a cada una de las muestras + 1µl de B-mercaptoetanol en campana </w:t>
      </w:r>
      <w:r>
        <w:rPr>
          <w:b/>
          <w:sz w:val="24"/>
          <w:u w:val="thick"/>
        </w:rPr>
        <w:t>si es que el buffer de carga no lo contiene</w:t>
      </w:r>
    </w:p>
    <w:p>
      <w:pPr>
        <w:pStyle w:val="BodyText"/>
        <w:spacing w:before="7"/>
        <w:rPr>
          <w:b/>
          <w:sz w:val="29"/>
        </w:rPr>
      </w:pPr>
    </w:p>
    <w:p>
      <w:pPr>
        <w:pStyle w:val="BodyText"/>
        <w:spacing w:before="69"/>
        <w:ind w:left="152"/>
        <w:jc w:val="both"/>
      </w:pPr>
      <w:r>
        <w:rPr/>
        <w:t>ELECTROFORESIS</w:t>
      </w:r>
    </w:p>
    <w:p>
      <w:pPr>
        <w:pStyle w:val="BodyText"/>
      </w:pPr>
    </w:p>
    <w:p>
      <w:pPr>
        <w:pStyle w:val="BodyText"/>
        <w:spacing w:before="2"/>
      </w:pPr>
    </w:p>
    <w:p>
      <w:pPr>
        <w:pStyle w:val="BodyText"/>
        <w:spacing w:line="360" w:lineRule="auto"/>
        <w:ind w:left="152" w:right="110"/>
        <w:jc w:val="both"/>
      </w:pPr>
      <w:r>
        <w:rPr/>
        <w:t>Realizar </w:t>
      </w:r>
      <w:r>
        <w:rPr>
          <w:spacing w:val="-5"/>
        </w:rPr>
        <w:t>la </w:t>
      </w:r>
      <w:r>
        <w:rPr/>
        <w:t>corrida a voltaje constante, inicialmente a 80 </w:t>
      </w:r>
      <w:r>
        <w:rPr>
          <w:spacing w:val="-3"/>
        </w:rPr>
        <w:t>volt </w:t>
      </w:r>
      <w:r>
        <w:rPr/>
        <w:t>x 15 </w:t>
      </w:r>
      <w:r>
        <w:rPr>
          <w:spacing w:val="-4"/>
        </w:rPr>
        <w:t>min </w:t>
      </w:r>
      <w:r>
        <w:rPr/>
        <w:t>aprox (mientras están en el gel espaciador), posteriormente se puede incrementar </w:t>
      </w:r>
      <w:r>
        <w:rPr>
          <w:spacing w:val="-3"/>
        </w:rPr>
        <w:t>la </w:t>
      </w:r>
      <w:r>
        <w:rPr/>
        <w:t>corrida a 100 o 110 volt, verificando que el amperaje para cada uno de los geles </w:t>
      </w:r>
      <w:r>
        <w:rPr>
          <w:spacing w:val="-3"/>
        </w:rPr>
        <w:t>no </w:t>
      </w:r>
      <w:r>
        <w:rPr/>
        <w:t>sea superior a 25 </w:t>
      </w:r>
      <w:r>
        <w:rPr>
          <w:spacing w:val="-4"/>
        </w:rPr>
        <w:t>mA. </w:t>
      </w:r>
      <w:r>
        <w:rPr/>
        <w:t>Correr por dos horas o hasta que el buffer de carga llegue al final del gel.</w:t>
      </w:r>
    </w:p>
    <w:p>
      <w:pPr>
        <w:pStyle w:val="BodyText"/>
      </w:pPr>
    </w:p>
    <w:p>
      <w:pPr>
        <w:pStyle w:val="BodyText"/>
        <w:spacing w:before="145"/>
        <w:ind w:left="152"/>
        <w:jc w:val="both"/>
      </w:pPr>
      <w:r>
        <w:rPr/>
        <w:t>SISTEMA DE TRANSFERENCIA.</w:t>
      </w:r>
    </w:p>
    <w:p>
      <w:pPr>
        <w:pStyle w:val="BodyText"/>
      </w:pPr>
    </w:p>
    <w:p>
      <w:pPr>
        <w:pStyle w:val="BodyText"/>
        <w:spacing w:before="9"/>
        <w:rPr>
          <w:sz w:val="23"/>
        </w:rPr>
      </w:pPr>
    </w:p>
    <w:p>
      <w:pPr>
        <w:pStyle w:val="BodyText"/>
        <w:spacing w:line="360" w:lineRule="auto"/>
        <w:ind w:left="152" w:right="103"/>
        <w:jc w:val="both"/>
      </w:pPr>
      <w:r>
        <w:rPr/>
        <w:t>Armar el “sándwich”, ubicando el soporte con la zona negra sumergida en una cubeta con buffer de transferencia, sobre él se ubican en orden: esponja, papel filtro, gel, membrana de nitrocelulosa, papel filtro, esponja. Mientras se hace esto se debe mantener presionado el sándwich y mantenerlo sumergido en la cubeta, esto evitara la formación de burbujas.</w:t>
      </w:r>
    </w:p>
    <w:p>
      <w:pPr>
        <w:pStyle w:val="BodyText"/>
      </w:pPr>
    </w:p>
    <w:p>
      <w:pPr>
        <w:pStyle w:val="ListParagraph"/>
        <w:numPr>
          <w:ilvl w:val="1"/>
          <w:numId w:val="17"/>
        </w:numPr>
        <w:tabs>
          <w:tab w:pos="872" w:val="left" w:leader="none"/>
          <w:tab w:pos="873" w:val="left" w:leader="none"/>
        </w:tabs>
        <w:spacing w:line="240" w:lineRule="auto" w:before="142" w:after="0"/>
        <w:ind w:left="873" w:right="0" w:hanging="360"/>
        <w:jc w:val="left"/>
        <w:rPr>
          <w:sz w:val="24"/>
        </w:rPr>
      </w:pPr>
      <w:r>
        <w:rPr>
          <w:sz w:val="24"/>
        </w:rPr>
        <w:t>La transferencia se hace por dos horas a un amperaje constante de 200</w:t>
      </w:r>
      <w:r>
        <w:rPr>
          <w:spacing w:val="-10"/>
          <w:sz w:val="24"/>
        </w:rPr>
        <w:t> </w:t>
      </w:r>
      <w:r>
        <w:rPr>
          <w:spacing w:val="-4"/>
          <w:sz w:val="24"/>
        </w:rPr>
        <w:t>mA.</w:t>
      </w:r>
    </w:p>
    <w:p>
      <w:pPr>
        <w:pStyle w:val="BodyText"/>
      </w:pPr>
    </w:p>
    <w:p>
      <w:pPr>
        <w:pStyle w:val="BodyText"/>
        <w:spacing w:before="10"/>
        <w:rPr>
          <w:sz w:val="23"/>
        </w:rPr>
      </w:pPr>
    </w:p>
    <w:p>
      <w:pPr>
        <w:pStyle w:val="ListParagraph"/>
        <w:numPr>
          <w:ilvl w:val="1"/>
          <w:numId w:val="17"/>
        </w:numPr>
        <w:tabs>
          <w:tab w:pos="873" w:val="left" w:leader="none"/>
        </w:tabs>
        <w:spacing w:line="357" w:lineRule="auto" w:before="1" w:after="0"/>
        <w:ind w:left="873" w:right="109" w:hanging="360"/>
        <w:jc w:val="both"/>
        <w:rPr>
          <w:sz w:val="24"/>
        </w:rPr>
      </w:pPr>
      <w:r>
        <w:rPr>
          <w:sz w:val="24"/>
        </w:rPr>
        <w:t>Se lleva </w:t>
      </w:r>
      <w:r>
        <w:rPr>
          <w:spacing w:val="-5"/>
          <w:sz w:val="24"/>
        </w:rPr>
        <w:t>la </w:t>
      </w:r>
      <w:r>
        <w:rPr>
          <w:sz w:val="24"/>
        </w:rPr>
        <w:t>membrana de nitrocelulosa a un recipiente plástico pequeño con </w:t>
      </w:r>
      <w:r>
        <w:rPr>
          <w:spacing w:val="3"/>
          <w:sz w:val="24"/>
        </w:rPr>
        <w:t>tapa </w:t>
      </w:r>
      <w:r>
        <w:rPr>
          <w:sz w:val="24"/>
        </w:rPr>
        <w:t>y</w:t>
      </w:r>
      <w:r>
        <w:rPr>
          <w:spacing w:val="-28"/>
          <w:sz w:val="24"/>
        </w:rPr>
        <w:t> </w:t>
      </w:r>
      <w:r>
        <w:rPr>
          <w:sz w:val="24"/>
        </w:rPr>
        <w:t>se bloquea </w:t>
      </w:r>
      <w:r>
        <w:rPr>
          <w:spacing w:val="-3"/>
          <w:sz w:val="24"/>
        </w:rPr>
        <w:t>la </w:t>
      </w:r>
      <w:r>
        <w:rPr>
          <w:sz w:val="24"/>
        </w:rPr>
        <w:t>membrana utilizando 5ml de solución de bloqueo y manteniendo en agitación constante a temperatura ambiente por 1-2</w:t>
      </w:r>
      <w:r>
        <w:rPr>
          <w:spacing w:val="-18"/>
          <w:sz w:val="24"/>
        </w:rPr>
        <w:t> </w:t>
      </w:r>
      <w:r>
        <w:rPr>
          <w:sz w:val="24"/>
        </w:rPr>
        <w:t>horas.</w:t>
      </w:r>
    </w:p>
    <w:p>
      <w:pPr>
        <w:pStyle w:val="BodyText"/>
      </w:pPr>
    </w:p>
    <w:p>
      <w:pPr>
        <w:pStyle w:val="ListParagraph"/>
        <w:numPr>
          <w:ilvl w:val="1"/>
          <w:numId w:val="17"/>
        </w:numPr>
        <w:tabs>
          <w:tab w:pos="873" w:val="left" w:leader="none"/>
        </w:tabs>
        <w:spacing w:line="355" w:lineRule="auto" w:before="141" w:after="0"/>
        <w:ind w:left="873" w:right="110" w:hanging="360"/>
        <w:jc w:val="both"/>
        <w:rPr>
          <w:sz w:val="24"/>
        </w:rPr>
      </w:pPr>
      <w:r>
        <w:rPr>
          <w:sz w:val="24"/>
        </w:rPr>
        <w:t>Inmediatamente</w:t>
      </w:r>
      <w:r>
        <w:rPr>
          <w:spacing w:val="-8"/>
          <w:sz w:val="24"/>
        </w:rPr>
        <w:t> </w:t>
      </w:r>
      <w:r>
        <w:rPr>
          <w:sz w:val="24"/>
        </w:rPr>
        <w:t>se</w:t>
      </w:r>
      <w:r>
        <w:rPr>
          <w:spacing w:val="-8"/>
          <w:sz w:val="24"/>
        </w:rPr>
        <w:t> </w:t>
      </w:r>
      <w:r>
        <w:rPr>
          <w:sz w:val="24"/>
        </w:rPr>
        <w:t>desecha</w:t>
      </w:r>
      <w:r>
        <w:rPr>
          <w:spacing w:val="-3"/>
          <w:sz w:val="24"/>
        </w:rPr>
        <w:t> </w:t>
      </w:r>
      <w:r>
        <w:rPr>
          <w:spacing w:val="-5"/>
          <w:sz w:val="24"/>
        </w:rPr>
        <w:t>la</w:t>
      </w:r>
      <w:r>
        <w:rPr>
          <w:spacing w:val="-8"/>
          <w:sz w:val="24"/>
        </w:rPr>
        <w:t> </w:t>
      </w:r>
      <w:r>
        <w:rPr>
          <w:sz w:val="24"/>
        </w:rPr>
        <w:t>solución</w:t>
      </w:r>
      <w:r>
        <w:rPr>
          <w:spacing w:val="-11"/>
          <w:sz w:val="24"/>
        </w:rPr>
        <w:t> </w:t>
      </w:r>
      <w:r>
        <w:rPr>
          <w:sz w:val="24"/>
        </w:rPr>
        <w:t>de</w:t>
      </w:r>
      <w:r>
        <w:rPr>
          <w:spacing w:val="-8"/>
          <w:sz w:val="24"/>
        </w:rPr>
        <w:t> </w:t>
      </w:r>
      <w:r>
        <w:rPr>
          <w:sz w:val="24"/>
        </w:rPr>
        <w:t>bloqueo,</w:t>
      </w:r>
      <w:r>
        <w:rPr>
          <w:spacing w:val="-5"/>
          <w:sz w:val="24"/>
        </w:rPr>
        <w:t> </w:t>
      </w:r>
      <w:r>
        <w:rPr>
          <w:sz w:val="24"/>
        </w:rPr>
        <w:t>se</w:t>
      </w:r>
      <w:r>
        <w:rPr>
          <w:spacing w:val="-8"/>
          <w:sz w:val="24"/>
        </w:rPr>
        <w:t> </w:t>
      </w:r>
      <w:r>
        <w:rPr>
          <w:sz w:val="24"/>
        </w:rPr>
        <w:t>debe</w:t>
      </w:r>
      <w:r>
        <w:rPr>
          <w:spacing w:val="-3"/>
          <w:sz w:val="24"/>
        </w:rPr>
        <w:t> </w:t>
      </w:r>
      <w:r>
        <w:rPr>
          <w:sz w:val="24"/>
        </w:rPr>
        <w:t>incubar</w:t>
      </w:r>
      <w:r>
        <w:rPr>
          <w:spacing w:val="-5"/>
          <w:sz w:val="24"/>
        </w:rPr>
        <w:t> </w:t>
      </w:r>
      <w:r>
        <w:rPr>
          <w:sz w:val="24"/>
        </w:rPr>
        <w:t>con</w:t>
      </w:r>
      <w:r>
        <w:rPr>
          <w:spacing w:val="-11"/>
          <w:sz w:val="24"/>
        </w:rPr>
        <w:t> </w:t>
      </w:r>
      <w:r>
        <w:rPr>
          <w:sz w:val="24"/>
        </w:rPr>
        <w:t>el</w:t>
      </w:r>
      <w:r>
        <w:rPr>
          <w:spacing w:val="-15"/>
          <w:sz w:val="24"/>
        </w:rPr>
        <w:t> </w:t>
      </w:r>
      <w:r>
        <w:rPr>
          <w:sz w:val="24"/>
        </w:rPr>
        <w:t>anticuerpo primario  diluido  en solución de bloqueo durante toda </w:t>
      </w:r>
      <w:r>
        <w:rPr>
          <w:spacing w:val="-5"/>
          <w:sz w:val="24"/>
        </w:rPr>
        <w:t>la  </w:t>
      </w:r>
      <w:r>
        <w:rPr>
          <w:sz w:val="24"/>
        </w:rPr>
        <w:t>noche a 4ºC en  </w:t>
      </w:r>
      <w:r>
        <w:rPr>
          <w:spacing w:val="39"/>
          <w:sz w:val="24"/>
        </w:rPr>
        <w:t> </w:t>
      </w:r>
      <w:r>
        <w:rPr>
          <w:sz w:val="24"/>
        </w:rPr>
        <w:t>agitación</w:t>
      </w:r>
    </w:p>
    <w:p>
      <w:pPr>
        <w:spacing w:after="0" w:line="355" w:lineRule="auto"/>
        <w:jc w:val="both"/>
        <w:rPr>
          <w:sz w:val="24"/>
        </w:rPr>
        <w:sectPr>
          <w:footerReference w:type="default" r:id="rId71"/>
          <w:pgSz w:w="12240" w:h="15840"/>
          <w:pgMar w:footer="1382" w:header="0" w:top="1500" w:bottom="1580" w:left="1720" w:right="1420"/>
        </w:sectPr>
      </w:pPr>
    </w:p>
    <w:p>
      <w:pPr>
        <w:pStyle w:val="BodyText"/>
        <w:spacing w:before="7"/>
        <w:rPr>
          <w:sz w:val="25"/>
        </w:rPr>
      </w:pPr>
    </w:p>
    <w:p>
      <w:pPr>
        <w:pStyle w:val="BodyText"/>
        <w:spacing w:line="360" w:lineRule="auto" w:before="70"/>
        <w:ind w:left="873" w:right="22"/>
      </w:pPr>
      <w:r>
        <w:rPr/>
        <w:t>constante. (la dilución del anticuerpo en la solución de bloqueo dependerá de la dosis recomendada para cada anticuerpo).</w:t>
      </w:r>
    </w:p>
    <w:p>
      <w:pPr>
        <w:pStyle w:val="BodyText"/>
      </w:pPr>
    </w:p>
    <w:p>
      <w:pPr>
        <w:pStyle w:val="ListParagraph"/>
        <w:numPr>
          <w:ilvl w:val="1"/>
          <w:numId w:val="17"/>
        </w:numPr>
        <w:tabs>
          <w:tab w:pos="872" w:val="left" w:leader="none"/>
          <w:tab w:pos="873" w:val="left" w:leader="none"/>
        </w:tabs>
        <w:spacing w:line="350" w:lineRule="auto" w:before="142" w:after="0"/>
        <w:ind w:left="873" w:right="112" w:hanging="360"/>
        <w:jc w:val="left"/>
        <w:rPr>
          <w:sz w:val="24"/>
        </w:rPr>
      </w:pPr>
      <w:r>
        <w:rPr>
          <w:sz w:val="24"/>
        </w:rPr>
        <w:t>A </w:t>
      </w:r>
      <w:r>
        <w:rPr>
          <w:spacing w:val="-3"/>
          <w:sz w:val="24"/>
        </w:rPr>
        <w:t>la </w:t>
      </w:r>
      <w:r>
        <w:rPr>
          <w:sz w:val="24"/>
        </w:rPr>
        <w:t>mañana siguiente se recicla o desecha (dependiendo del tipo de anticuerpo) el </w:t>
      </w:r>
      <w:r>
        <w:rPr>
          <w:spacing w:val="-3"/>
          <w:sz w:val="24"/>
        </w:rPr>
        <w:t>Ac </w:t>
      </w:r>
      <w:r>
        <w:rPr>
          <w:sz w:val="24"/>
        </w:rPr>
        <w:t>primario en tubo falcón 15 </w:t>
      </w:r>
      <w:r>
        <w:rPr>
          <w:spacing w:val="-4"/>
          <w:sz w:val="24"/>
        </w:rPr>
        <w:t>ml, </w:t>
      </w:r>
      <w:r>
        <w:rPr>
          <w:spacing w:val="-3"/>
          <w:sz w:val="24"/>
        </w:rPr>
        <w:t>lavado </w:t>
      </w:r>
      <w:r>
        <w:rPr>
          <w:sz w:val="24"/>
        </w:rPr>
        <w:t>con tapa y rotulado, se congela</w:t>
      </w:r>
      <w:r>
        <w:rPr>
          <w:spacing w:val="22"/>
          <w:sz w:val="24"/>
        </w:rPr>
        <w:t> </w:t>
      </w:r>
      <w:r>
        <w:rPr>
          <w:sz w:val="24"/>
        </w:rPr>
        <w:t>-20ºC.</w:t>
      </w:r>
    </w:p>
    <w:p>
      <w:pPr>
        <w:pStyle w:val="BodyText"/>
      </w:pPr>
    </w:p>
    <w:p>
      <w:pPr>
        <w:pStyle w:val="ListParagraph"/>
        <w:numPr>
          <w:ilvl w:val="1"/>
          <w:numId w:val="17"/>
        </w:numPr>
        <w:tabs>
          <w:tab w:pos="872" w:val="left" w:leader="none"/>
          <w:tab w:pos="873" w:val="left" w:leader="none"/>
        </w:tabs>
        <w:spacing w:line="355" w:lineRule="auto" w:before="153" w:after="0"/>
        <w:ind w:left="873" w:right="119" w:hanging="360"/>
        <w:jc w:val="left"/>
        <w:rPr>
          <w:sz w:val="24"/>
        </w:rPr>
      </w:pPr>
      <w:r>
        <w:rPr>
          <w:sz w:val="24"/>
        </w:rPr>
        <w:t>Luego se </w:t>
      </w:r>
      <w:r>
        <w:rPr>
          <w:spacing w:val="-3"/>
          <w:sz w:val="24"/>
        </w:rPr>
        <w:t>lava </w:t>
      </w:r>
      <w:r>
        <w:rPr>
          <w:sz w:val="24"/>
        </w:rPr>
        <w:t>3 veces con solución de lavado, cada 5 </w:t>
      </w:r>
      <w:r>
        <w:rPr>
          <w:spacing w:val="-4"/>
          <w:sz w:val="24"/>
        </w:rPr>
        <w:t>min </w:t>
      </w:r>
      <w:r>
        <w:rPr>
          <w:sz w:val="24"/>
        </w:rPr>
        <w:t>o 10 </w:t>
      </w:r>
      <w:r>
        <w:rPr>
          <w:spacing w:val="-4"/>
          <w:sz w:val="24"/>
        </w:rPr>
        <w:t>min </w:t>
      </w:r>
      <w:r>
        <w:rPr>
          <w:sz w:val="24"/>
        </w:rPr>
        <w:t>.desechando solución cada</w:t>
      </w:r>
      <w:r>
        <w:rPr>
          <w:spacing w:val="-15"/>
          <w:sz w:val="24"/>
        </w:rPr>
        <w:t> </w:t>
      </w:r>
      <w:r>
        <w:rPr>
          <w:sz w:val="24"/>
        </w:rPr>
        <w:t>vez.</w:t>
      </w:r>
    </w:p>
    <w:p>
      <w:pPr>
        <w:pStyle w:val="BodyText"/>
      </w:pPr>
    </w:p>
    <w:p>
      <w:pPr>
        <w:pStyle w:val="ListParagraph"/>
        <w:numPr>
          <w:ilvl w:val="1"/>
          <w:numId w:val="17"/>
        </w:numPr>
        <w:tabs>
          <w:tab w:pos="872" w:val="left" w:leader="none"/>
          <w:tab w:pos="873" w:val="left" w:leader="none"/>
        </w:tabs>
        <w:spacing w:line="355" w:lineRule="auto" w:before="144" w:after="0"/>
        <w:ind w:left="873" w:right="102" w:hanging="360"/>
        <w:jc w:val="left"/>
        <w:rPr>
          <w:sz w:val="24"/>
        </w:rPr>
      </w:pPr>
      <w:r>
        <w:rPr>
          <w:sz w:val="24"/>
        </w:rPr>
        <w:t>Incubar</w:t>
      </w:r>
      <w:r>
        <w:rPr>
          <w:spacing w:val="-7"/>
          <w:sz w:val="24"/>
        </w:rPr>
        <w:t> </w:t>
      </w:r>
      <w:r>
        <w:rPr>
          <w:sz w:val="24"/>
        </w:rPr>
        <w:t>membrana</w:t>
      </w:r>
      <w:r>
        <w:rPr>
          <w:spacing w:val="-14"/>
          <w:sz w:val="24"/>
        </w:rPr>
        <w:t> </w:t>
      </w:r>
      <w:r>
        <w:rPr>
          <w:sz w:val="24"/>
        </w:rPr>
        <w:t>con</w:t>
      </w:r>
      <w:r>
        <w:rPr>
          <w:spacing w:val="-17"/>
          <w:sz w:val="24"/>
        </w:rPr>
        <w:t> </w:t>
      </w:r>
      <w:r>
        <w:rPr>
          <w:sz w:val="24"/>
        </w:rPr>
        <w:t>Ac.</w:t>
      </w:r>
      <w:r>
        <w:rPr>
          <w:spacing w:val="-12"/>
          <w:sz w:val="24"/>
        </w:rPr>
        <w:t> </w:t>
      </w:r>
      <w:r>
        <w:rPr>
          <w:sz w:val="24"/>
        </w:rPr>
        <w:t>Secundario,</w:t>
      </w:r>
      <w:r>
        <w:rPr>
          <w:spacing w:val="-12"/>
          <w:sz w:val="24"/>
        </w:rPr>
        <w:t> </w:t>
      </w:r>
      <w:r>
        <w:rPr>
          <w:sz w:val="24"/>
        </w:rPr>
        <w:t>diluido</w:t>
      </w:r>
      <w:r>
        <w:rPr>
          <w:spacing w:val="-9"/>
          <w:sz w:val="24"/>
        </w:rPr>
        <w:t> </w:t>
      </w:r>
      <w:r>
        <w:rPr>
          <w:sz w:val="24"/>
        </w:rPr>
        <w:t>en</w:t>
      </w:r>
      <w:r>
        <w:rPr>
          <w:spacing w:val="-17"/>
          <w:sz w:val="24"/>
        </w:rPr>
        <w:t> </w:t>
      </w:r>
      <w:r>
        <w:rPr>
          <w:sz w:val="24"/>
        </w:rPr>
        <w:t>solución</w:t>
      </w:r>
      <w:r>
        <w:rPr>
          <w:spacing w:val="-17"/>
          <w:sz w:val="24"/>
        </w:rPr>
        <w:t> </w:t>
      </w:r>
      <w:r>
        <w:rPr>
          <w:sz w:val="24"/>
        </w:rPr>
        <w:t>de</w:t>
      </w:r>
      <w:r>
        <w:rPr>
          <w:spacing w:val="-10"/>
          <w:sz w:val="24"/>
        </w:rPr>
        <w:t> </w:t>
      </w:r>
      <w:r>
        <w:rPr>
          <w:sz w:val="24"/>
        </w:rPr>
        <w:t>bloqueo</w:t>
      </w:r>
      <w:r>
        <w:rPr>
          <w:spacing w:val="-3"/>
          <w:sz w:val="24"/>
        </w:rPr>
        <w:t> </w:t>
      </w:r>
      <w:r>
        <w:rPr>
          <w:sz w:val="24"/>
        </w:rPr>
        <w:t>adecuada,</w:t>
      </w:r>
      <w:r>
        <w:rPr>
          <w:spacing w:val="-12"/>
          <w:sz w:val="24"/>
        </w:rPr>
        <w:t> </w:t>
      </w:r>
      <w:r>
        <w:rPr>
          <w:sz w:val="24"/>
        </w:rPr>
        <w:t>por 2 horas a temperatura ambiente, </w:t>
      </w:r>
      <w:r>
        <w:rPr>
          <w:spacing w:val="-3"/>
          <w:sz w:val="24"/>
        </w:rPr>
        <w:t>bajo </w:t>
      </w:r>
      <w:r>
        <w:rPr>
          <w:sz w:val="24"/>
        </w:rPr>
        <w:t>agitación</w:t>
      </w:r>
      <w:r>
        <w:rPr>
          <w:spacing w:val="-6"/>
          <w:sz w:val="24"/>
        </w:rPr>
        <w:t> </w:t>
      </w:r>
      <w:r>
        <w:rPr>
          <w:sz w:val="24"/>
        </w:rPr>
        <w:t>constante.</w:t>
      </w:r>
    </w:p>
    <w:p>
      <w:pPr>
        <w:pStyle w:val="BodyText"/>
      </w:pPr>
    </w:p>
    <w:p>
      <w:pPr>
        <w:pStyle w:val="ListParagraph"/>
        <w:numPr>
          <w:ilvl w:val="1"/>
          <w:numId w:val="17"/>
        </w:numPr>
        <w:tabs>
          <w:tab w:pos="872" w:val="left" w:leader="none"/>
          <w:tab w:pos="873" w:val="left" w:leader="none"/>
        </w:tabs>
        <w:spacing w:line="355" w:lineRule="auto" w:before="143" w:after="0"/>
        <w:ind w:left="873" w:right="113" w:hanging="360"/>
        <w:jc w:val="left"/>
        <w:rPr>
          <w:sz w:val="24"/>
        </w:rPr>
      </w:pPr>
      <w:r>
        <w:rPr>
          <w:sz w:val="24"/>
        </w:rPr>
        <w:t>Se recicla una vez el </w:t>
      </w:r>
      <w:r>
        <w:rPr>
          <w:spacing w:val="-3"/>
          <w:sz w:val="24"/>
        </w:rPr>
        <w:t>Ac. </w:t>
      </w:r>
      <w:r>
        <w:rPr>
          <w:sz w:val="24"/>
        </w:rPr>
        <w:t>secundario en tubo falcón 15 </w:t>
      </w:r>
      <w:r>
        <w:rPr>
          <w:spacing w:val="-5"/>
          <w:sz w:val="24"/>
        </w:rPr>
        <w:t>ml, </w:t>
      </w:r>
      <w:r>
        <w:rPr>
          <w:sz w:val="24"/>
        </w:rPr>
        <w:t>lavado, con tapa, rotulado y se congela a –</w:t>
      </w:r>
      <w:r>
        <w:rPr>
          <w:spacing w:val="-3"/>
          <w:sz w:val="24"/>
        </w:rPr>
        <w:t> </w:t>
      </w:r>
      <w:r>
        <w:rPr>
          <w:sz w:val="24"/>
        </w:rPr>
        <w:t>20ºC.</w:t>
      </w:r>
    </w:p>
    <w:p>
      <w:pPr>
        <w:pStyle w:val="BodyText"/>
      </w:pPr>
    </w:p>
    <w:p>
      <w:pPr>
        <w:pStyle w:val="ListParagraph"/>
        <w:numPr>
          <w:ilvl w:val="1"/>
          <w:numId w:val="17"/>
        </w:numPr>
        <w:tabs>
          <w:tab w:pos="872" w:val="left" w:leader="none"/>
          <w:tab w:pos="873" w:val="left" w:leader="none"/>
        </w:tabs>
        <w:spacing w:line="240" w:lineRule="auto" w:before="148" w:after="0"/>
        <w:ind w:left="873" w:right="0" w:hanging="360"/>
        <w:jc w:val="left"/>
        <w:rPr>
          <w:sz w:val="24"/>
        </w:rPr>
      </w:pPr>
      <w:r>
        <w:rPr>
          <w:sz w:val="24"/>
        </w:rPr>
        <w:t>Lavar membrana 3 veces con solución de </w:t>
      </w:r>
      <w:r>
        <w:rPr>
          <w:spacing w:val="-3"/>
          <w:sz w:val="24"/>
        </w:rPr>
        <w:t>lavado </w:t>
      </w:r>
      <w:r>
        <w:rPr>
          <w:sz w:val="24"/>
        </w:rPr>
        <w:t>cada vez durante 5 ó 10</w:t>
      </w:r>
      <w:r>
        <w:rPr>
          <w:spacing w:val="12"/>
          <w:sz w:val="24"/>
        </w:rPr>
        <w:t> </w:t>
      </w:r>
      <w:r>
        <w:rPr>
          <w:spacing w:val="-4"/>
          <w:sz w:val="24"/>
        </w:rPr>
        <w:t>min.</w:t>
      </w:r>
    </w:p>
    <w:p>
      <w:pPr>
        <w:pStyle w:val="BodyText"/>
      </w:pPr>
    </w:p>
    <w:p>
      <w:pPr>
        <w:pStyle w:val="BodyText"/>
        <w:spacing w:before="10"/>
        <w:rPr>
          <w:sz w:val="23"/>
        </w:rPr>
      </w:pPr>
    </w:p>
    <w:p>
      <w:pPr>
        <w:pStyle w:val="ListParagraph"/>
        <w:numPr>
          <w:ilvl w:val="1"/>
          <w:numId w:val="17"/>
        </w:numPr>
        <w:tabs>
          <w:tab w:pos="872" w:val="left" w:leader="none"/>
          <w:tab w:pos="873" w:val="left" w:leader="none"/>
        </w:tabs>
        <w:spacing w:line="240" w:lineRule="auto" w:before="0" w:after="0"/>
        <w:ind w:left="873" w:right="0" w:hanging="360"/>
        <w:jc w:val="left"/>
        <w:rPr>
          <w:sz w:val="24"/>
        </w:rPr>
      </w:pPr>
      <w:r>
        <w:rPr>
          <w:sz w:val="24"/>
        </w:rPr>
        <w:t>Se continúa con el protocolo de revelado de</w:t>
      </w:r>
      <w:r>
        <w:rPr>
          <w:spacing w:val="-22"/>
          <w:sz w:val="24"/>
        </w:rPr>
        <w:t> </w:t>
      </w:r>
      <w:r>
        <w:rPr>
          <w:sz w:val="24"/>
        </w:rPr>
        <w:t>membrana.</w:t>
      </w:r>
    </w:p>
    <w:sectPr>
      <w:footerReference w:type="default" r:id="rId72"/>
      <w:pgSz w:w="12240" w:h="15840"/>
      <w:pgMar w:footer="1382" w:header="0" w:top="1500" w:bottom="1580" w:left="1720" w:right="14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Cambria Math">
    <w:altName w:val="Cambria Math"/>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21.179993pt;margin-top:711.895996pt;width:16.8pt;height:13.05pt;mso-position-horizontal-relative:page;mso-position-vertical-relative:page;z-index:-590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viii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619995pt;margin-top:711.895996pt;width:13.05pt;height:13.05pt;mso-position-horizontal-relative:page;mso-position-vertical-relative:page;z-index:-58840" type="#_x0000_t202" filled="false" stroked="false">
          <v:textbox inset="0,0,0,0">
            <w:txbxContent>
              <w:p>
                <w:pPr>
                  <w:spacing w:line="245" w:lineRule="exact" w:before="0"/>
                  <w:ind w:left="20" w:right="-2" w:firstLine="0"/>
                  <w:jc w:val="left"/>
                  <w:rPr>
                    <w:rFonts w:ascii="Calibri"/>
                    <w:sz w:val="22"/>
                  </w:rPr>
                </w:pPr>
                <w:r>
                  <w:rPr>
                    <w:rFonts w:ascii="Calibri"/>
                    <w:sz w:val="22"/>
                  </w:rPr>
                  <w:t>40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619995pt;margin-top:711.895996pt;width:15.05pt;height:13.05pt;mso-position-horizontal-relative:page;mso-position-vertical-relative:page;z-index:-588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619995pt;margin-top:711.895996pt;width:13.05pt;height:13.05pt;mso-position-horizontal-relative:page;mso-position-vertical-relative:page;z-index:-58792" type="#_x0000_t202" filled="false" stroked="false">
          <v:textbox inset="0,0,0,0">
            <w:txbxContent>
              <w:p>
                <w:pPr>
                  <w:spacing w:line="245" w:lineRule="exact" w:before="0"/>
                  <w:ind w:left="20" w:right="-2" w:firstLine="0"/>
                  <w:jc w:val="left"/>
                  <w:rPr>
                    <w:rFonts w:ascii="Calibri"/>
                    <w:sz w:val="22"/>
                  </w:rPr>
                </w:pPr>
                <w:r>
                  <w:rPr>
                    <w:rFonts w:ascii="Calibri"/>
                    <w:sz w:val="22"/>
                  </w:rPr>
                  <w:t>50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619995pt;margin-top:711.895996pt;width:15.05pt;height:13.05pt;mso-position-horizontal-relative:page;mso-position-vertical-relative:page;z-index:-587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619995pt;margin-top:711.895996pt;width:13.05pt;height:13.05pt;mso-position-horizontal-relative:page;mso-position-vertical-relative:page;z-index:-58744" type="#_x0000_t202" filled="false" stroked="false">
          <v:textbox inset="0,0,0,0">
            <w:txbxContent>
              <w:p>
                <w:pPr>
                  <w:spacing w:line="245" w:lineRule="exact" w:before="0"/>
                  <w:ind w:left="20" w:right="-2" w:firstLine="0"/>
                  <w:jc w:val="left"/>
                  <w:rPr>
                    <w:rFonts w:ascii="Calibri"/>
                    <w:sz w:val="22"/>
                  </w:rPr>
                </w:pPr>
                <w:r>
                  <w:rPr>
                    <w:rFonts w:ascii="Calibri"/>
                    <w:sz w:val="22"/>
                  </w:rPr>
                  <w:t>60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619995pt;margin-top:711.895996pt;width:15.05pt;height:13.05pt;mso-position-horizontal-relative:page;mso-position-vertical-relative:page;z-index:-587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619995pt;margin-top:711.895996pt;width:15.05pt;height:13.05pt;mso-position-horizontal-relative:page;mso-position-vertical-relative:page;z-index:-586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67</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619995pt;margin-top:711.895996pt;width:13.05pt;height:13.05pt;mso-position-horizontal-relative:page;mso-position-vertical-relative:page;z-index:-58672" type="#_x0000_t202" filled="false" stroked="false">
          <v:textbox inset="0,0,0,0">
            <w:txbxContent>
              <w:p>
                <w:pPr>
                  <w:spacing w:line="245" w:lineRule="exact" w:before="0"/>
                  <w:ind w:left="20" w:right="-2" w:firstLine="0"/>
                  <w:jc w:val="left"/>
                  <w:rPr>
                    <w:rFonts w:ascii="Calibri"/>
                    <w:sz w:val="22"/>
                  </w:rPr>
                </w:pPr>
                <w:r>
                  <w:rPr>
                    <w:rFonts w:ascii="Calibri"/>
                    <w:sz w:val="22"/>
                  </w:rPr>
                  <w:t>70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619995pt;margin-top:711.895996pt;width:15.05pt;height:13.05pt;mso-position-horizontal-relative:page;mso-position-vertical-relative:page;z-index:-586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460022pt;margin-top:711.895996pt;width:11.55pt;height:13.05pt;mso-position-horizontal-relative:page;mso-position-vertical-relative:page;z-index:-590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ix</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619995pt;margin-top:711.895996pt;width:13.05pt;height:13.05pt;mso-position-horizontal-relative:page;mso-position-vertical-relative:page;z-index:-58624" type="#_x0000_t202" filled="false" stroked="false">
          <v:textbox inset="0,0,0,0">
            <w:txbxContent>
              <w:p>
                <w:pPr>
                  <w:spacing w:line="245" w:lineRule="exact" w:before="0"/>
                  <w:ind w:left="20" w:right="-2" w:firstLine="0"/>
                  <w:jc w:val="left"/>
                  <w:rPr>
                    <w:rFonts w:ascii="Calibri"/>
                    <w:sz w:val="22"/>
                  </w:rPr>
                </w:pPr>
                <w:r>
                  <w:rPr>
                    <w:rFonts w:ascii="Calibri"/>
                    <w:sz w:val="22"/>
                  </w:rPr>
                  <w:t>80</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619995pt;margin-top:711.895996pt;width:15.05pt;height:13.05pt;mso-position-horizontal-relative:page;mso-position-vertical-relative:page;z-index:-586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619995pt;margin-top:711.895996pt;width:13.05pt;height:13.05pt;mso-position-horizontal-relative:page;mso-position-vertical-relative:page;z-index:-58576" type="#_x0000_t202" filled="false" stroked="false">
          <v:textbox inset="0,0,0,0">
            <w:txbxContent>
              <w:p>
                <w:pPr>
                  <w:spacing w:line="245" w:lineRule="exact" w:before="0"/>
                  <w:ind w:left="20" w:right="-2" w:firstLine="0"/>
                  <w:jc w:val="left"/>
                  <w:rPr>
                    <w:rFonts w:ascii="Calibri"/>
                    <w:sz w:val="22"/>
                  </w:rPr>
                </w:pPr>
                <w:r>
                  <w:rPr>
                    <w:rFonts w:ascii="Calibri"/>
                    <w:sz w:val="22"/>
                  </w:rPr>
                  <w:t>90</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619995pt;margin-top:711.895996pt;width:15.05pt;height:13.05pt;mso-position-horizontal-relative:page;mso-position-vertical-relative:page;z-index:-585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7.859985pt;margin-top:711.895996pt;width:18.6pt;height:13.05pt;mso-position-horizontal-relative:page;mso-position-vertical-relative:page;z-index:-58528" type="#_x0000_t202" filled="false" stroked="false">
          <v:textbox inset="0,0,0,0">
            <w:txbxContent>
              <w:p>
                <w:pPr>
                  <w:spacing w:line="245" w:lineRule="exact" w:before="0"/>
                  <w:ind w:left="20" w:right="-3" w:firstLine="0"/>
                  <w:jc w:val="left"/>
                  <w:rPr>
                    <w:rFonts w:ascii="Calibri"/>
                    <w:sz w:val="22"/>
                  </w:rPr>
                </w:pPr>
                <w:r>
                  <w:rPr>
                    <w:rFonts w:ascii="Calibri"/>
                    <w:sz w:val="22"/>
                  </w:rPr>
                  <w:t>100</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859985pt;margin-top:711.895996pt;width:20.6pt;height:13.05pt;mso-position-horizontal-relative:page;mso-position-vertical-relative:page;z-index:-585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101</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7.859985pt;margin-top:711.895996pt;width:18.6pt;height:13.05pt;mso-position-horizontal-relative:page;mso-position-vertical-relative:page;z-index:-58480" type="#_x0000_t202" filled="false" stroked="false">
          <v:textbox inset="0,0,0,0">
            <w:txbxContent>
              <w:p>
                <w:pPr>
                  <w:spacing w:line="245" w:lineRule="exact" w:before="0"/>
                  <w:ind w:left="20" w:right="-3" w:firstLine="0"/>
                  <w:jc w:val="left"/>
                  <w:rPr>
                    <w:rFonts w:ascii="Calibri"/>
                    <w:sz w:val="22"/>
                  </w:rPr>
                </w:pPr>
                <w:r>
                  <w:rPr>
                    <w:rFonts w:ascii="Calibri"/>
                    <w:sz w:val="22"/>
                  </w:rPr>
                  <w:t>110</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7.859985pt;margin-top:711.895996pt;width:18.6pt;height:13.05pt;mso-position-horizontal-relative:page;mso-position-vertical-relative:page;z-index:-58456" type="#_x0000_t202" filled="false" stroked="false">
          <v:textbox inset="0,0,0,0">
            <w:txbxContent>
              <w:p>
                <w:pPr>
                  <w:spacing w:line="245" w:lineRule="exact" w:before="0"/>
                  <w:ind w:left="20" w:right="-3" w:firstLine="0"/>
                  <w:jc w:val="left"/>
                  <w:rPr>
                    <w:rFonts w:ascii="Calibri"/>
                    <w:sz w:val="22"/>
                  </w:rPr>
                </w:pPr>
                <w:r>
                  <w:rPr>
                    <w:rFonts w:ascii="Calibri"/>
                    <w:sz w:val="22"/>
                  </w:rPr>
                  <w:t>111</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140015pt;margin-top:711.895996pt;width:9.6pt;height:13.05pt;mso-position-horizontal-relative:page;mso-position-vertical-relative:page;z-index:-590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619995pt;margin-top:711.895996pt;width:13.05pt;height:13.05pt;mso-position-horizontal-relative:page;mso-position-vertical-relative:page;z-index:-58984" type="#_x0000_t202" filled="false" stroked="false">
          <v:textbox inset="0,0,0,0">
            <w:txbxContent>
              <w:p>
                <w:pPr>
                  <w:spacing w:line="245" w:lineRule="exact" w:before="0"/>
                  <w:ind w:left="20" w:right="-2" w:firstLine="0"/>
                  <w:jc w:val="left"/>
                  <w:rPr>
                    <w:rFonts w:ascii="Calibri"/>
                    <w:sz w:val="22"/>
                  </w:rPr>
                </w:pPr>
                <w:r>
                  <w:rPr>
                    <w:rFonts w:ascii="Calibri"/>
                    <w:sz w:val="22"/>
                  </w:rPr>
                  <w:t>10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619995pt;margin-top:711.895996pt;width:15.05pt;height:13.05pt;mso-position-horizontal-relative:page;mso-position-vertical-relative:page;z-index:-589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619995pt;margin-top:711.895996pt;width:13.05pt;height:13.05pt;mso-position-horizontal-relative:page;mso-position-vertical-relative:page;z-index:-58936" type="#_x0000_t202" filled="false" stroked="false">
          <v:textbox inset="0,0,0,0">
            <w:txbxContent>
              <w:p>
                <w:pPr>
                  <w:spacing w:line="245" w:lineRule="exact" w:before="0"/>
                  <w:ind w:left="20" w:right="-2" w:firstLine="0"/>
                  <w:jc w:val="left"/>
                  <w:rPr>
                    <w:rFonts w:ascii="Calibri"/>
                    <w:sz w:val="22"/>
                  </w:rPr>
                </w:pPr>
                <w:r>
                  <w:rPr>
                    <w:rFonts w:ascii="Calibri"/>
                    <w:sz w:val="22"/>
                  </w:rPr>
                  <w:t>20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619995pt;margin-top:711.895996pt;width:15.05pt;height:13.05pt;mso-position-horizontal-relative:page;mso-position-vertical-relative:page;z-index:-589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619995pt;margin-top:711.895996pt;width:13.05pt;height:13.05pt;mso-position-horizontal-relative:page;mso-position-vertical-relative:page;z-index:-58888" type="#_x0000_t202" filled="false" stroked="false">
          <v:textbox inset="0,0,0,0">
            <w:txbxContent>
              <w:p>
                <w:pPr>
                  <w:spacing w:line="245" w:lineRule="exact" w:before="0"/>
                  <w:ind w:left="20" w:right="-2" w:firstLine="0"/>
                  <w:jc w:val="left"/>
                  <w:rPr>
                    <w:rFonts w:ascii="Calibri"/>
                    <w:sz w:val="22"/>
                  </w:rPr>
                </w:pPr>
                <w:r>
                  <w:rPr>
                    <w:rFonts w:ascii="Calibri"/>
                    <w:sz w:val="22"/>
                  </w:rPr>
                  <w:t>30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619995pt;margin-top:711.895996pt;width:15.05pt;height:13.05pt;mso-position-horizontal-relative:page;mso-position-vertical-relative:page;z-index:-588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6">
    <w:multiLevelType w:val="hybridMultilevel"/>
    <w:lvl w:ilvl="0">
      <w:start w:val="1"/>
      <w:numFmt w:val="bullet"/>
      <w:lvlText w:val="-"/>
      <w:lvlJc w:val="left"/>
      <w:pPr>
        <w:ind w:left="297" w:hanging="145"/>
      </w:pPr>
      <w:rPr>
        <w:rFonts w:hint="default" w:ascii="Times New Roman" w:hAnsi="Times New Roman" w:eastAsia="Times New Roman" w:cs="Times New Roman"/>
        <w:w w:val="99"/>
        <w:sz w:val="24"/>
        <w:szCs w:val="24"/>
      </w:rPr>
    </w:lvl>
    <w:lvl w:ilvl="1">
      <w:start w:val="1"/>
      <w:numFmt w:val="bullet"/>
      <w:lvlText w:val=""/>
      <w:lvlJc w:val="left"/>
      <w:pPr>
        <w:ind w:left="873" w:hanging="360"/>
      </w:pPr>
      <w:rPr>
        <w:rFonts w:hint="default" w:ascii="Symbol" w:hAnsi="Symbol" w:eastAsia="Symbol" w:cs="Symbol"/>
        <w:w w:val="100"/>
        <w:sz w:val="24"/>
        <w:szCs w:val="24"/>
      </w:rPr>
    </w:lvl>
    <w:lvl w:ilvl="2">
      <w:start w:val="1"/>
      <w:numFmt w:val="bullet"/>
      <w:lvlText w:val="•"/>
      <w:lvlJc w:val="left"/>
      <w:pPr>
        <w:ind w:left="1793" w:hanging="360"/>
      </w:pPr>
      <w:rPr>
        <w:rFonts w:hint="default"/>
      </w:rPr>
    </w:lvl>
    <w:lvl w:ilvl="3">
      <w:start w:val="1"/>
      <w:numFmt w:val="bullet"/>
      <w:lvlText w:val="•"/>
      <w:lvlJc w:val="left"/>
      <w:pPr>
        <w:ind w:left="2706" w:hanging="360"/>
      </w:pPr>
      <w:rPr>
        <w:rFonts w:hint="default"/>
      </w:rPr>
    </w:lvl>
    <w:lvl w:ilvl="4">
      <w:start w:val="1"/>
      <w:numFmt w:val="bullet"/>
      <w:lvlText w:val="•"/>
      <w:lvlJc w:val="left"/>
      <w:pPr>
        <w:ind w:left="3620" w:hanging="360"/>
      </w:pPr>
      <w:rPr>
        <w:rFonts w:hint="default"/>
      </w:rPr>
    </w:lvl>
    <w:lvl w:ilvl="5">
      <w:start w:val="1"/>
      <w:numFmt w:val="bullet"/>
      <w:lvlText w:val="•"/>
      <w:lvlJc w:val="left"/>
      <w:pPr>
        <w:ind w:left="4533" w:hanging="360"/>
      </w:pPr>
      <w:rPr>
        <w:rFonts w:hint="default"/>
      </w:rPr>
    </w:lvl>
    <w:lvl w:ilvl="6">
      <w:start w:val="1"/>
      <w:numFmt w:val="bullet"/>
      <w:lvlText w:val="•"/>
      <w:lvlJc w:val="left"/>
      <w:pPr>
        <w:ind w:left="5446" w:hanging="360"/>
      </w:pPr>
      <w:rPr>
        <w:rFonts w:hint="default"/>
      </w:rPr>
    </w:lvl>
    <w:lvl w:ilvl="7">
      <w:start w:val="1"/>
      <w:numFmt w:val="bullet"/>
      <w:lvlText w:val="•"/>
      <w:lvlJc w:val="left"/>
      <w:pPr>
        <w:ind w:left="6360" w:hanging="360"/>
      </w:pPr>
      <w:rPr>
        <w:rFonts w:hint="default"/>
      </w:rPr>
    </w:lvl>
    <w:lvl w:ilvl="8">
      <w:start w:val="1"/>
      <w:numFmt w:val="bullet"/>
      <w:lvlText w:val="•"/>
      <w:lvlJc w:val="left"/>
      <w:pPr>
        <w:ind w:left="7273" w:hanging="360"/>
      </w:pPr>
      <w:rPr>
        <w:rFonts w:hint="default"/>
      </w:rPr>
    </w:lvl>
  </w:abstractNum>
  <w:abstractNum w:abstractNumId="15">
    <w:multiLevelType w:val="hybridMultilevel"/>
    <w:lvl w:ilvl="0">
      <w:start w:val="1"/>
      <w:numFmt w:val="bullet"/>
      <w:lvlText w:val="-"/>
      <w:lvlJc w:val="left"/>
      <w:pPr>
        <w:ind w:left="657" w:hanging="140"/>
      </w:pPr>
      <w:rPr>
        <w:rFonts w:hint="default" w:ascii="Times New Roman" w:hAnsi="Times New Roman" w:eastAsia="Times New Roman" w:cs="Times New Roman"/>
        <w:w w:val="99"/>
        <w:sz w:val="24"/>
        <w:szCs w:val="24"/>
      </w:rPr>
    </w:lvl>
    <w:lvl w:ilvl="1">
      <w:start w:val="1"/>
      <w:numFmt w:val="bullet"/>
      <w:lvlText w:val="•"/>
      <w:lvlJc w:val="left"/>
      <w:pPr>
        <w:ind w:left="1504" w:hanging="140"/>
      </w:pPr>
      <w:rPr>
        <w:rFonts w:hint="default"/>
      </w:rPr>
    </w:lvl>
    <w:lvl w:ilvl="2">
      <w:start w:val="1"/>
      <w:numFmt w:val="bullet"/>
      <w:lvlText w:val="•"/>
      <w:lvlJc w:val="left"/>
      <w:pPr>
        <w:ind w:left="2348" w:hanging="140"/>
      </w:pPr>
      <w:rPr>
        <w:rFonts w:hint="default"/>
      </w:rPr>
    </w:lvl>
    <w:lvl w:ilvl="3">
      <w:start w:val="1"/>
      <w:numFmt w:val="bullet"/>
      <w:lvlText w:val="•"/>
      <w:lvlJc w:val="left"/>
      <w:pPr>
        <w:ind w:left="3192" w:hanging="140"/>
      </w:pPr>
      <w:rPr>
        <w:rFonts w:hint="default"/>
      </w:rPr>
    </w:lvl>
    <w:lvl w:ilvl="4">
      <w:start w:val="1"/>
      <w:numFmt w:val="bullet"/>
      <w:lvlText w:val="•"/>
      <w:lvlJc w:val="left"/>
      <w:pPr>
        <w:ind w:left="4036" w:hanging="140"/>
      </w:pPr>
      <w:rPr>
        <w:rFonts w:hint="default"/>
      </w:rPr>
    </w:lvl>
    <w:lvl w:ilvl="5">
      <w:start w:val="1"/>
      <w:numFmt w:val="bullet"/>
      <w:lvlText w:val="•"/>
      <w:lvlJc w:val="left"/>
      <w:pPr>
        <w:ind w:left="4880" w:hanging="140"/>
      </w:pPr>
      <w:rPr>
        <w:rFonts w:hint="default"/>
      </w:rPr>
    </w:lvl>
    <w:lvl w:ilvl="6">
      <w:start w:val="1"/>
      <w:numFmt w:val="bullet"/>
      <w:lvlText w:val="•"/>
      <w:lvlJc w:val="left"/>
      <w:pPr>
        <w:ind w:left="5724" w:hanging="140"/>
      </w:pPr>
      <w:rPr>
        <w:rFonts w:hint="default"/>
      </w:rPr>
    </w:lvl>
    <w:lvl w:ilvl="7">
      <w:start w:val="1"/>
      <w:numFmt w:val="bullet"/>
      <w:lvlText w:val="•"/>
      <w:lvlJc w:val="left"/>
      <w:pPr>
        <w:ind w:left="6568" w:hanging="140"/>
      </w:pPr>
      <w:rPr>
        <w:rFonts w:hint="default"/>
      </w:rPr>
    </w:lvl>
    <w:lvl w:ilvl="8">
      <w:start w:val="1"/>
      <w:numFmt w:val="bullet"/>
      <w:lvlText w:val="•"/>
      <w:lvlJc w:val="left"/>
      <w:pPr>
        <w:ind w:left="7412" w:hanging="140"/>
      </w:pPr>
      <w:rPr>
        <w:rFonts w:hint="default"/>
      </w:rPr>
    </w:lvl>
  </w:abstractNum>
  <w:abstractNum w:abstractNumId="14">
    <w:multiLevelType w:val="hybridMultilevel"/>
    <w:lvl w:ilvl="0">
      <w:start w:val="1"/>
      <w:numFmt w:val="decimal"/>
      <w:lvlText w:val="%1."/>
      <w:lvlJc w:val="left"/>
      <w:pPr>
        <w:ind w:left="935" w:hanging="423"/>
        <w:jc w:val="left"/>
      </w:pPr>
      <w:rPr>
        <w:rFonts w:hint="default" w:ascii="Times New Roman" w:hAnsi="Times New Roman" w:eastAsia="Times New Roman" w:cs="Times New Roman"/>
        <w:spacing w:val="-10"/>
        <w:w w:val="99"/>
        <w:sz w:val="24"/>
        <w:szCs w:val="24"/>
      </w:rPr>
    </w:lvl>
    <w:lvl w:ilvl="1">
      <w:start w:val="1"/>
      <w:numFmt w:val="bullet"/>
      <w:lvlText w:val="•"/>
      <w:lvlJc w:val="left"/>
      <w:pPr>
        <w:ind w:left="1756" w:hanging="423"/>
      </w:pPr>
      <w:rPr>
        <w:rFonts w:hint="default"/>
      </w:rPr>
    </w:lvl>
    <w:lvl w:ilvl="2">
      <w:start w:val="1"/>
      <w:numFmt w:val="bullet"/>
      <w:lvlText w:val="•"/>
      <w:lvlJc w:val="left"/>
      <w:pPr>
        <w:ind w:left="2572" w:hanging="423"/>
      </w:pPr>
      <w:rPr>
        <w:rFonts w:hint="default"/>
      </w:rPr>
    </w:lvl>
    <w:lvl w:ilvl="3">
      <w:start w:val="1"/>
      <w:numFmt w:val="bullet"/>
      <w:lvlText w:val="•"/>
      <w:lvlJc w:val="left"/>
      <w:pPr>
        <w:ind w:left="3388" w:hanging="423"/>
      </w:pPr>
      <w:rPr>
        <w:rFonts w:hint="default"/>
      </w:rPr>
    </w:lvl>
    <w:lvl w:ilvl="4">
      <w:start w:val="1"/>
      <w:numFmt w:val="bullet"/>
      <w:lvlText w:val="•"/>
      <w:lvlJc w:val="left"/>
      <w:pPr>
        <w:ind w:left="4204" w:hanging="423"/>
      </w:pPr>
      <w:rPr>
        <w:rFonts w:hint="default"/>
      </w:rPr>
    </w:lvl>
    <w:lvl w:ilvl="5">
      <w:start w:val="1"/>
      <w:numFmt w:val="bullet"/>
      <w:lvlText w:val="•"/>
      <w:lvlJc w:val="left"/>
      <w:pPr>
        <w:ind w:left="5020" w:hanging="423"/>
      </w:pPr>
      <w:rPr>
        <w:rFonts w:hint="default"/>
      </w:rPr>
    </w:lvl>
    <w:lvl w:ilvl="6">
      <w:start w:val="1"/>
      <w:numFmt w:val="bullet"/>
      <w:lvlText w:val="•"/>
      <w:lvlJc w:val="left"/>
      <w:pPr>
        <w:ind w:left="5836" w:hanging="423"/>
      </w:pPr>
      <w:rPr>
        <w:rFonts w:hint="default"/>
      </w:rPr>
    </w:lvl>
    <w:lvl w:ilvl="7">
      <w:start w:val="1"/>
      <w:numFmt w:val="bullet"/>
      <w:lvlText w:val="•"/>
      <w:lvlJc w:val="left"/>
      <w:pPr>
        <w:ind w:left="6652" w:hanging="423"/>
      </w:pPr>
      <w:rPr>
        <w:rFonts w:hint="default"/>
      </w:rPr>
    </w:lvl>
    <w:lvl w:ilvl="8">
      <w:start w:val="1"/>
      <w:numFmt w:val="bullet"/>
      <w:lvlText w:val="•"/>
      <w:lvlJc w:val="left"/>
      <w:pPr>
        <w:ind w:left="7468" w:hanging="423"/>
      </w:pPr>
      <w:rPr>
        <w:rFonts w:hint="default"/>
      </w:rPr>
    </w:lvl>
  </w:abstractNum>
  <w:abstractNum w:abstractNumId="13">
    <w:multiLevelType w:val="hybridMultilevel"/>
    <w:lvl w:ilvl="0">
      <w:start w:val="1"/>
      <w:numFmt w:val="upperLetter"/>
      <w:lvlText w:val="%1."/>
      <w:lvlJc w:val="left"/>
      <w:pPr>
        <w:ind w:left="152" w:hanging="384"/>
        <w:jc w:val="right"/>
      </w:pPr>
      <w:rPr>
        <w:rFonts w:hint="default" w:ascii="Times New Roman" w:hAnsi="Times New Roman" w:eastAsia="Times New Roman" w:cs="Times New Roman"/>
        <w:spacing w:val="-29"/>
        <w:w w:val="99"/>
        <w:sz w:val="24"/>
        <w:szCs w:val="24"/>
      </w:rPr>
    </w:lvl>
    <w:lvl w:ilvl="1">
      <w:start w:val="1"/>
      <w:numFmt w:val="bullet"/>
      <w:lvlText w:val=""/>
      <w:lvlJc w:val="left"/>
      <w:pPr>
        <w:ind w:left="1233" w:hanging="361"/>
      </w:pPr>
      <w:rPr>
        <w:rFonts w:hint="default" w:ascii="Symbol" w:hAnsi="Symbol" w:eastAsia="Symbol" w:cs="Symbol"/>
        <w:w w:val="100"/>
        <w:sz w:val="24"/>
        <w:szCs w:val="24"/>
      </w:rPr>
    </w:lvl>
    <w:lvl w:ilvl="2">
      <w:start w:val="1"/>
      <w:numFmt w:val="bullet"/>
      <w:lvlText w:val="•"/>
      <w:lvlJc w:val="left"/>
      <w:pPr>
        <w:ind w:left="2113" w:hanging="361"/>
      </w:pPr>
      <w:rPr>
        <w:rFonts w:hint="default"/>
      </w:rPr>
    </w:lvl>
    <w:lvl w:ilvl="3">
      <w:start w:val="1"/>
      <w:numFmt w:val="bullet"/>
      <w:lvlText w:val="•"/>
      <w:lvlJc w:val="left"/>
      <w:pPr>
        <w:ind w:left="2986" w:hanging="361"/>
      </w:pPr>
      <w:rPr>
        <w:rFonts w:hint="default"/>
      </w:rPr>
    </w:lvl>
    <w:lvl w:ilvl="4">
      <w:start w:val="1"/>
      <w:numFmt w:val="bullet"/>
      <w:lvlText w:val="•"/>
      <w:lvlJc w:val="left"/>
      <w:pPr>
        <w:ind w:left="3860" w:hanging="361"/>
      </w:pPr>
      <w:rPr>
        <w:rFonts w:hint="default"/>
      </w:rPr>
    </w:lvl>
    <w:lvl w:ilvl="5">
      <w:start w:val="1"/>
      <w:numFmt w:val="bullet"/>
      <w:lvlText w:val="•"/>
      <w:lvlJc w:val="left"/>
      <w:pPr>
        <w:ind w:left="4733" w:hanging="361"/>
      </w:pPr>
      <w:rPr>
        <w:rFonts w:hint="default"/>
      </w:rPr>
    </w:lvl>
    <w:lvl w:ilvl="6">
      <w:start w:val="1"/>
      <w:numFmt w:val="bullet"/>
      <w:lvlText w:val="•"/>
      <w:lvlJc w:val="left"/>
      <w:pPr>
        <w:ind w:left="5606" w:hanging="361"/>
      </w:pPr>
      <w:rPr>
        <w:rFonts w:hint="default"/>
      </w:rPr>
    </w:lvl>
    <w:lvl w:ilvl="7">
      <w:start w:val="1"/>
      <w:numFmt w:val="bullet"/>
      <w:lvlText w:val="•"/>
      <w:lvlJc w:val="left"/>
      <w:pPr>
        <w:ind w:left="6480" w:hanging="361"/>
      </w:pPr>
      <w:rPr>
        <w:rFonts w:hint="default"/>
      </w:rPr>
    </w:lvl>
    <w:lvl w:ilvl="8">
      <w:start w:val="1"/>
      <w:numFmt w:val="bullet"/>
      <w:lvlText w:val="•"/>
      <w:lvlJc w:val="left"/>
      <w:pPr>
        <w:ind w:left="7353" w:hanging="361"/>
      </w:pPr>
      <w:rPr>
        <w:rFonts w:hint="default"/>
      </w:rPr>
    </w:lvl>
  </w:abstractNum>
  <w:abstractNum w:abstractNumId="12">
    <w:multiLevelType w:val="hybridMultilevel"/>
    <w:lvl w:ilvl="0">
      <w:start w:val="7"/>
      <w:numFmt w:val="decimal"/>
      <w:lvlText w:val="%1"/>
      <w:lvlJc w:val="left"/>
      <w:pPr>
        <w:ind w:left="392" w:hanging="365"/>
        <w:jc w:val="left"/>
      </w:pPr>
      <w:rPr>
        <w:rFonts w:hint="default"/>
      </w:rPr>
    </w:lvl>
    <w:lvl w:ilvl="1">
      <w:start w:val="1"/>
      <w:numFmt w:val="decimal"/>
      <w:lvlText w:val="%1.%2"/>
      <w:lvlJc w:val="left"/>
      <w:pPr>
        <w:ind w:left="392" w:hanging="365"/>
        <w:jc w:val="right"/>
      </w:pPr>
      <w:rPr>
        <w:rFonts w:hint="default" w:ascii="Times New Roman" w:hAnsi="Times New Roman" w:eastAsia="Times New Roman" w:cs="Times New Roman"/>
        <w:b/>
        <w:bCs/>
        <w:i/>
        <w:w w:val="100"/>
        <w:sz w:val="24"/>
        <w:szCs w:val="24"/>
      </w:rPr>
    </w:lvl>
    <w:lvl w:ilvl="2">
      <w:start w:val="1"/>
      <w:numFmt w:val="bullet"/>
      <w:lvlText w:val="•"/>
      <w:lvlJc w:val="left"/>
      <w:pPr>
        <w:ind w:left="2316" w:hanging="365"/>
      </w:pPr>
      <w:rPr>
        <w:rFonts w:hint="default"/>
      </w:rPr>
    </w:lvl>
    <w:lvl w:ilvl="3">
      <w:start w:val="1"/>
      <w:numFmt w:val="bullet"/>
      <w:lvlText w:val="•"/>
      <w:lvlJc w:val="left"/>
      <w:pPr>
        <w:ind w:left="3274" w:hanging="365"/>
      </w:pPr>
      <w:rPr>
        <w:rFonts w:hint="default"/>
      </w:rPr>
    </w:lvl>
    <w:lvl w:ilvl="4">
      <w:start w:val="1"/>
      <w:numFmt w:val="bullet"/>
      <w:lvlText w:val="•"/>
      <w:lvlJc w:val="left"/>
      <w:pPr>
        <w:ind w:left="4232" w:hanging="365"/>
      </w:pPr>
      <w:rPr>
        <w:rFonts w:hint="default"/>
      </w:rPr>
    </w:lvl>
    <w:lvl w:ilvl="5">
      <w:start w:val="1"/>
      <w:numFmt w:val="bullet"/>
      <w:lvlText w:val="•"/>
      <w:lvlJc w:val="left"/>
      <w:pPr>
        <w:ind w:left="5190" w:hanging="365"/>
      </w:pPr>
      <w:rPr>
        <w:rFonts w:hint="default"/>
      </w:rPr>
    </w:lvl>
    <w:lvl w:ilvl="6">
      <w:start w:val="1"/>
      <w:numFmt w:val="bullet"/>
      <w:lvlText w:val="•"/>
      <w:lvlJc w:val="left"/>
      <w:pPr>
        <w:ind w:left="6148" w:hanging="365"/>
      </w:pPr>
      <w:rPr>
        <w:rFonts w:hint="default"/>
      </w:rPr>
    </w:lvl>
    <w:lvl w:ilvl="7">
      <w:start w:val="1"/>
      <w:numFmt w:val="bullet"/>
      <w:lvlText w:val="•"/>
      <w:lvlJc w:val="left"/>
      <w:pPr>
        <w:ind w:left="7106" w:hanging="365"/>
      </w:pPr>
      <w:rPr>
        <w:rFonts w:hint="default"/>
      </w:rPr>
    </w:lvl>
    <w:lvl w:ilvl="8">
      <w:start w:val="1"/>
      <w:numFmt w:val="bullet"/>
      <w:lvlText w:val="•"/>
      <w:lvlJc w:val="left"/>
      <w:pPr>
        <w:ind w:left="8064" w:hanging="365"/>
      </w:pPr>
      <w:rPr>
        <w:rFonts w:hint="default"/>
      </w:rPr>
    </w:lvl>
  </w:abstractNum>
  <w:abstractNum w:abstractNumId="11">
    <w:multiLevelType w:val="hybridMultilevel"/>
    <w:lvl w:ilvl="0">
      <w:start w:val="6"/>
      <w:numFmt w:val="decimal"/>
      <w:lvlText w:val="%1"/>
      <w:lvlJc w:val="left"/>
      <w:pPr>
        <w:ind w:left="575" w:hanging="423"/>
        <w:jc w:val="left"/>
      </w:pPr>
      <w:rPr>
        <w:rFonts w:hint="default"/>
      </w:rPr>
    </w:lvl>
    <w:lvl w:ilvl="1">
      <w:start w:val="2"/>
      <w:numFmt w:val="decimal"/>
      <w:lvlText w:val="%1.%2."/>
      <w:lvlJc w:val="left"/>
      <w:pPr>
        <w:ind w:left="575" w:hanging="423"/>
        <w:jc w:val="left"/>
      </w:pPr>
      <w:rPr>
        <w:rFonts w:hint="default" w:ascii="Times New Roman" w:hAnsi="Times New Roman" w:eastAsia="Times New Roman" w:cs="Times New Roman"/>
        <w:b/>
        <w:bCs/>
        <w:i/>
        <w:spacing w:val="-3"/>
        <w:w w:val="99"/>
        <w:sz w:val="24"/>
        <w:szCs w:val="24"/>
      </w:rPr>
    </w:lvl>
    <w:lvl w:ilvl="2">
      <w:start w:val="1"/>
      <w:numFmt w:val="decimal"/>
      <w:lvlText w:val="%1.%2.%3."/>
      <w:lvlJc w:val="left"/>
      <w:pPr>
        <w:ind w:left="757" w:hanging="605"/>
        <w:jc w:val="left"/>
      </w:pPr>
      <w:rPr>
        <w:rFonts w:hint="default" w:ascii="Times New Roman" w:hAnsi="Times New Roman" w:eastAsia="Times New Roman" w:cs="Times New Roman"/>
        <w:b/>
        <w:bCs/>
        <w:i/>
        <w:spacing w:val="-5"/>
        <w:w w:val="100"/>
        <w:sz w:val="24"/>
        <w:szCs w:val="24"/>
      </w:rPr>
    </w:lvl>
    <w:lvl w:ilvl="3">
      <w:start w:val="1"/>
      <w:numFmt w:val="bullet"/>
      <w:lvlText w:val="•"/>
      <w:lvlJc w:val="left"/>
      <w:pPr>
        <w:ind w:left="2613" w:hanging="605"/>
      </w:pPr>
      <w:rPr>
        <w:rFonts w:hint="default"/>
      </w:rPr>
    </w:lvl>
    <w:lvl w:ilvl="4">
      <w:start w:val="1"/>
      <w:numFmt w:val="bullet"/>
      <w:lvlText w:val="•"/>
      <w:lvlJc w:val="left"/>
      <w:pPr>
        <w:ind w:left="3540" w:hanging="605"/>
      </w:pPr>
      <w:rPr>
        <w:rFonts w:hint="default"/>
      </w:rPr>
    </w:lvl>
    <w:lvl w:ilvl="5">
      <w:start w:val="1"/>
      <w:numFmt w:val="bullet"/>
      <w:lvlText w:val="•"/>
      <w:lvlJc w:val="left"/>
      <w:pPr>
        <w:ind w:left="4466" w:hanging="605"/>
      </w:pPr>
      <w:rPr>
        <w:rFonts w:hint="default"/>
      </w:rPr>
    </w:lvl>
    <w:lvl w:ilvl="6">
      <w:start w:val="1"/>
      <w:numFmt w:val="bullet"/>
      <w:lvlText w:val="•"/>
      <w:lvlJc w:val="left"/>
      <w:pPr>
        <w:ind w:left="5393" w:hanging="605"/>
      </w:pPr>
      <w:rPr>
        <w:rFonts w:hint="default"/>
      </w:rPr>
    </w:lvl>
    <w:lvl w:ilvl="7">
      <w:start w:val="1"/>
      <w:numFmt w:val="bullet"/>
      <w:lvlText w:val="•"/>
      <w:lvlJc w:val="left"/>
      <w:pPr>
        <w:ind w:left="6320" w:hanging="605"/>
      </w:pPr>
      <w:rPr>
        <w:rFonts w:hint="default"/>
      </w:rPr>
    </w:lvl>
    <w:lvl w:ilvl="8">
      <w:start w:val="1"/>
      <w:numFmt w:val="bullet"/>
      <w:lvlText w:val="•"/>
      <w:lvlJc w:val="left"/>
      <w:pPr>
        <w:ind w:left="7246" w:hanging="605"/>
      </w:pPr>
      <w:rPr>
        <w:rFonts w:hint="default"/>
      </w:rPr>
    </w:lvl>
  </w:abstractNum>
  <w:abstractNum w:abstractNumId="10">
    <w:multiLevelType w:val="hybridMultilevel"/>
    <w:lvl w:ilvl="0">
      <w:start w:val="6"/>
      <w:numFmt w:val="decimal"/>
      <w:lvlText w:val="%1"/>
      <w:lvlJc w:val="left"/>
      <w:pPr>
        <w:ind w:left="814" w:hanging="600"/>
        <w:jc w:val="left"/>
      </w:pPr>
      <w:rPr>
        <w:rFonts w:hint="default"/>
      </w:rPr>
    </w:lvl>
    <w:lvl w:ilvl="1">
      <w:start w:val="1"/>
      <w:numFmt w:val="decimal"/>
      <w:lvlText w:val="%1.%2"/>
      <w:lvlJc w:val="left"/>
      <w:pPr>
        <w:ind w:left="814" w:hanging="600"/>
        <w:jc w:val="left"/>
      </w:pPr>
      <w:rPr>
        <w:rFonts w:hint="default"/>
      </w:rPr>
    </w:lvl>
    <w:lvl w:ilvl="2">
      <w:start w:val="1"/>
      <w:numFmt w:val="decimal"/>
      <w:lvlText w:val="%1.%2.%3."/>
      <w:lvlJc w:val="left"/>
      <w:pPr>
        <w:ind w:left="814" w:hanging="600"/>
        <w:jc w:val="right"/>
      </w:pPr>
      <w:rPr>
        <w:rFonts w:hint="default" w:ascii="Times New Roman" w:hAnsi="Times New Roman" w:eastAsia="Times New Roman" w:cs="Times New Roman"/>
        <w:b/>
        <w:bCs/>
        <w:i/>
        <w:spacing w:val="-5"/>
        <w:w w:val="100"/>
        <w:sz w:val="24"/>
        <w:szCs w:val="24"/>
      </w:rPr>
    </w:lvl>
    <w:lvl w:ilvl="3">
      <w:start w:val="1"/>
      <w:numFmt w:val="decimal"/>
      <w:lvlText w:val="%1.%2.%3.%4."/>
      <w:lvlJc w:val="left"/>
      <w:pPr>
        <w:ind w:left="935" w:hanging="783"/>
        <w:jc w:val="left"/>
      </w:pPr>
      <w:rPr>
        <w:rFonts w:hint="default" w:ascii="Times New Roman" w:hAnsi="Times New Roman" w:eastAsia="Times New Roman" w:cs="Times New Roman"/>
        <w:b/>
        <w:bCs/>
        <w:i/>
        <w:spacing w:val="-5"/>
        <w:w w:val="99"/>
        <w:sz w:val="24"/>
        <w:szCs w:val="24"/>
      </w:rPr>
    </w:lvl>
    <w:lvl w:ilvl="4">
      <w:start w:val="1"/>
      <w:numFmt w:val="bullet"/>
      <w:lvlText w:val="•"/>
      <w:lvlJc w:val="left"/>
      <w:pPr>
        <w:ind w:left="3660" w:hanging="783"/>
      </w:pPr>
      <w:rPr>
        <w:rFonts w:hint="default"/>
      </w:rPr>
    </w:lvl>
    <w:lvl w:ilvl="5">
      <w:start w:val="1"/>
      <w:numFmt w:val="bullet"/>
      <w:lvlText w:val="•"/>
      <w:lvlJc w:val="left"/>
      <w:pPr>
        <w:ind w:left="4566" w:hanging="783"/>
      </w:pPr>
      <w:rPr>
        <w:rFonts w:hint="default"/>
      </w:rPr>
    </w:lvl>
    <w:lvl w:ilvl="6">
      <w:start w:val="1"/>
      <w:numFmt w:val="bullet"/>
      <w:lvlText w:val="•"/>
      <w:lvlJc w:val="left"/>
      <w:pPr>
        <w:ind w:left="5473" w:hanging="783"/>
      </w:pPr>
      <w:rPr>
        <w:rFonts w:hint="default"/>
      </w:rPr>
    </w:lvl>
    <w:lvl w:ilvl="7">
      <w:start w:val="1"/>
      <w:numFmt w:val="bullet"/>
      <w:lvlText w:val="•"/>
      <w:lvlJc w:val="left"/>
      <w:pPr>
        <w:ind w:left="6380" w:hanging="783"/>
      </w:pPr>
      <w:rPr>
        <w:rFonts w:hint="default"/>
      </w:rPr>
    </w:lvl>
    <w:lvl w:ilvl="8">
      <w:start w:val="1"/>
      <w:numFmt w:val="bullet"/>
      <w:lvlText w:val="•"/>
      <w:lvlJc w:val="left"/>
      <w:pPr>
        <w:ind w:left="7286" w:hanging="783"/>
      </w:pPr>
      <w:rPr>
        <w:rFonts w:hint="default"/>
      </w:rPr>
    </w:lvl>
  </w:abstractNum>
  <w:abstractNum w:abstractNumId="9">
    <w:multiLevelType w:val="hybridMultilevel"/>
    <w:lvl w:ilvl="0">
      <w:start w:val="1"/>
      <w:numFmt w:val="bullet"/>
      <w:lvlText w:val=""/>
      <w:lvlJc w:val="left"/>
      <w:pPr>
        <w:ind w:left="873" w:hanging="360"/>
      </w:pPr>
      <w:rPr>
        <w:rFonts w:hint="default" w:ascii="Symbol" w:hAnsi="Symbol" w:eastAsia="Symbol" w:cs="Symbol"/>
        <w:w w:val="100"/>
        <w:sz w:val="24"/>
        <w:szCs w:val="24"/>
      </w:rPr>
    </w:lvl>
    <w:lvl w:ilvl="1">
      <w:start w:val="1"/>
      <w:numFmt w:val="bullet"/>
      <w:lvlText w:val="•"/>
      <w:lvlJc w:val="left"/>
      <w:pPr>
        <w:ind w:left="1702" w:hanging="360"/>
      </w:pPr>
      <w:rPr>
        <w:rFonts w:hint="default"/>
      </w:rPr>
    </w:lvl>
    <w:lvl w:ilvl="2">
      <w:start w:val="1"/>
      <w:numFmt w:val="bullet"/>
      <w:lvlText w:val="•"/>
      <w:lvlJc w:val="left"/>
      <w:pPr>
        <w:ind w:left="2524" w:hanging="360"/>
      </w:pPr>
      <w:rPr>
        <w:rFonts w:hint="default"/>
      </w:rPr>
    </w:lvl>
    <w:lvl w:ilvl="3">
      <w:start w:val="1"/>
      <w:numFmt w:val="bullet"/>
      <w:lvlText w:val="•"/>
      <w:lvlJc w:val="left"/>
      <w:pPr>
        <w:ind w:left="3346" w:hanging="360"/>
      </w:pPr>
      <w:rPr>
        <w:rFonts w:hint="default"/>
      </w:rPr>
    </w:lvl>
    <w:lvl w:ilvl="4">
      <w:start w:val="1"/>
      <w:numFmt w:val="bullet"/>
      <w:lvlText w:val="•"/>
      <w:lvlJc w:val="left"/>
      <w:pPr>
        <w:ind w:left="4168" w:hanging="360"/>
      </w:pPr>
      <w:rPr>
        <w:rFonts w:hint="default"/>
      </w:rPr>
    </w:lvl>
    <w:lvl w:ilvl="5">
      <w:start w:val="1"/>
      <w:numFmt w:val="bullet"/>
      <w:lvlText w:val="•"/>
      <w:lvlJc w:val="left"/>
      <w:pPr>
        <w:ind w:left="4990" w:hanging="360"/>
      </w:pPr>
      <w:rPr>
        <w:rFonts w:hint="default"/>
      </w:rPr>
    </w:lvl>
    <w:lvl w:ilvl="6">
      <w:start w:val="1"/>
      <w:numFmt w:val="bullet"/>
      <w:lvlText w:val="•"/>
      <w:lvlJc w:val="left"/>
      <w:pPr>
        <w:ind w:left="5812" w:hanging="360"/>
      </w:pPr>
      <w:rPr>
        <w:rFonts w:hint="default"/>
      </w:rPr>
    </w:lvl>
    <w:lvl w:ilvl="7">
      <w:start w:val="1"/>
      <w:numFmt w:val="bullet"/>
      <w:lvlText w:val="•"/>
      <w:lvlJc w:val="left"/>
      <w:pPr>
        <w:ind w:left="6634" w:hanging="360"/>
      </w:pPr>
      <w:rPr>
        <w:rFonts w:hint="default"/>
      </w:rPr>
    </w:lvl>
    <w:lvl w:ilvl="8">
      <w:start w:val="1"/>
      <w:numFmt w:val="bullet"/>
      <w:lvlText w:val="•"/>
      <w:lvlJc w:val="left"/>
      <w:pPr>
        <w:ind w:left="7456" w:hanging="360"/>
      </w:pPr>
      <w:rPr>
        <w:rFonts w:hint="default"/>
      </w:rPr>
    </w:lvl>
  </w:abstractNum>
  <w:abstractNum w:abstractNumId="8">
    <w:multiLevelType w:val="hybridMultilevel"/>
    <w:lvl w:ilvl="0">
      <w:start w:val="3"/>
      <w:numFmt w:val="upperRoman"/>
      <w:lvlText w:val="%1."/>
      <w:lvlJc w:val="left"/>
      <w:pPr>
        <w:ind w:left="3820" w:hanging="398"/>
        <w:jc w:val="right"/>
      </w:pPr>
      <w:rPr>
        <w:rFonts w:hint="default" w:ascii="Times New Roman" w:hAnsi="Times New Roman" w:eastAsia="Times New Roman" w:cs="Times New Roman"/>
        <w:b/>
        <w:bCs/>
        <w:spacing w:val="-3"/>
        <w:w w:val="99"/>
        <w:sz w:val="24"/>
        <w:szCs w:val="24"/>
      </w:rPr>
    </w:lvl>
    <w:lvl w:ilvl="1">
      <w:start w:val="1"/>
      <w:numFmt w:val="bullet"/>
      <w:lvlText w:val="•"/>
      <w:lvlJc w:val="left"/>
      <w:pPr>
        <w:ind w:left="4348" w:hanging="398"/>
      </w:pPr>
      <w:rPr>
        <w:rFonts w:hint="default"/>
      </w:rPr>
    </w:lvl>
    <w:lvl w:ilvl="2">
      <w:start w:val="1"/>
      <w:numFmt w:val="bullet"/>
      <w:lvlText w:val="•"/>
      <w:lvlJc w:val="left"/>
      <w:pPr>
        <w:ind w:left="4876" w:hanging="398"/>
      </w:pPr>
      <w:rPr>
        <w:rFonts w:hint="default"/>
      </w:rPr>
    </w:lvl>
    <w:lvl w:ilvl="3">
      <w:start w:val="1"/>
      <w:numFmt w:val="bullet"/>
      <w:lvlText w:val="•"/>
      <w:lvlJc w:val="left"/>
      <w:pPr>
        <w:ind w:left="5404" w:hanging="398"/>
      </w:pPr>
      <w:rPr>
        <w:rFonts w:hint="default"/>
      </w:rPr>
    </w:lvl>
    <w:lvl w:ilvl="4">
      <w:start w:val="1"/>
      <w:numFmt w:val="bullet"/>
      <w:lvlText w:val="•"/>
      <w:lvlJc w:val="left"/>
      <w:pPr>
        <w:ind w:left="5932" w:hanging="398"/>
      </w:pPr>
      <w:rPr>
        <w:rFonts w:hint="default"/>
      </w:rPr>
    </w:lvl>
    <w:lvl w:ilvl="5">
      <w:start w:val="1"/>
      <w:numFmt w:val="bullet"/>
      <w:lvlText w:val="•"/>
      <w:lvlJc w:val="left"/>
      <w:pPr>
        <w:ind w:left="6460" w:hanging="398"/>
      </w:pPr>
      <w:rPr>
        <w:rFonts w:hint="default"/>
      </w:rPr>
    </w:lvl>
    <w:lvl w:ilvl="6">
      <w:start w:val="1"/>
      <w:numFmt w:val="bullet"/>
      <w:lvlText w:val="•"/>
      <w:lvlJc w:val="left"/>
      <w:pPr>
        <w:ind w:left="6988" w:hanging="398"/>
      </w:pPr>
      <w:rPr>
        <w:rFonts w:hint="default"/>
      </w:rPr>
    </w:lvl>
    <w:lvl w:ilvl="7">
      <w:start w:val="1"/>
      <w:numFmt w:val="bullet"/>
      <w:lvlText w:val="•"/>
      <w:lvlJc w:val="left"/>
      <w:pPr>
        <w:ind w:left="7516" w:hanging="398"/>
      </w:pPr>
      <w:rPr>
        <w:rFonts w:hint="default"/>
      </w:rPr>
    </w:lvl>
    <w:lvl w:ilvl="8">
      <w:start w:val="1"/>
      <w:numFmt w:val="bullet"/>
      <w:lvlText w:val="•"/>
      <w:lvlJc w:val="left"/>
      <w:pPr>
        <w:ind w:left="8044" w:hanging="398"/>
      </w:pPr>
      <w:rPr>
        <w:rFonts w:hint="default"/>
      </w:rPr>
    </w:lvl>
  </w:abstractNum>
  <w:abstractNum w:abstractNumId="7">
    <w:multiLevelType w:val="hybridMultilevel"/>
    <w:lvl w:ilvl="0">
      <w:start w:val="3"/>
      <w:numFmt w:val="decimal"/>
      <w:lvlText w:val="%1."/>
      <w:lvlJc w:val="left"/>
      <w:pPr>
        <w:ind w:left="397" w:hanging="245"/>
        <w:jc w:val="left"/>
      </w:pPr>
      <w:rPr>
        <w:rFonts w:hint="default" w:ascii="Times New Roman" w:hAnsi="Times New Roman" w:eastAsia="Times New Roman" w:cs="Times New Roman"/>
        <w:b/>
        <w:bCs/>
        <w:i/>
        <w:w w:val="100"/>
        <w:sz w:val="24"/>
        <w:szCs w:val="24"/>
      </w:rPr>
    </w:lvl>
    <w:lvl w:ilvl="1">
      <w:start w:val="1"/>
      <w:numFmt w:val="decimal"/>
      <w:lvlText w:val="%1.%2."/>
      <w:lvlJc w:val="left"/>
      <w:pPr>
        <w:ind w:left="574" w:hanging="422"/>
        <w:jc w:val="left"/>
      </w:pPr>
      <w:rPr>
        <w:rFonts w:hint="default" w:ascii="Times New Roman" w:hAnsi="Times New Roman" w:eastAsia="Times New Roman" w:cs="Times New Roman"/>
        <w:b/>
        <w:bCs/>
        <w:i/>
        <w:w w:val="100"/>
        <w:sz w:val="24"/>
        <w:szCs w:val="24"/>
      </w:rPr>
    </w:lvl>
    <w:lvl w:ilvl="2">
      <w:start w:val="1"/>
      <w:numFmt w:val="decimal"/>
      <w:lvlText w:val="%1.%2.%3."/>
      <w:lvlJc w:val="left"/>
      <w:pPr>
        <w:ind w:left="756" w:hanging="604"/>
        <w:jc w:val="left"/>
      </w:pPr>
      <w:rPr>
        <w:rFonts w:hint="default" w:ascii="Times New Roman" w:hAnsi="Times New Roman" w:eastAsia="Times New Roman" w:cs="Times New Roman"/>
        <w:b/>
        <w:bCs/>
        <w:i/>
        <w:spacing w:val="-5"/>
        <w:w w:val="100"/>
        <w:sz w:val="24"/>
        <w:szCs w:val="24"/>
      </w:rPr>
    </w:lvl>
    <w:lvl w:ilvl="3">
      <w:start w:val="1"/>
      <w:numFmt w:val="decimal"/>
      <w:lvlText w:val="%1.%2.%3.%4."/>
      <w:lvlJc w:val="left"/>
      <w:pPr>
        <w:ind w:left="1354" w:hanging="782"/>
        <w:jc w:val="left"/>
      </w:pPr>
      <w:rPr>
        <w:rFonts w:hint="default" w:ascii="Times New Roman" w:hAnsi="Times New Roman" w:eastAsia="Times New Roman" w:cs="Times New Roman"/>
        <w:b/>
        <w:bCs/>
        <w:i/>
        <w:spacing w:val="-5"/>
        <w:w w:val="100"/>
        <w:sz w:val="24"/>
        <w:szCs w:val="24"/>
      </w:rPr>
    </w:lvl>
    <w:lvl w:ilvl="4">
      <w:start w:val="1"/>
      <w:numFmt w:val="bullet"/>
      <w:lvlText w:val="•"/>
      <w:lvlJc w:val="left"/>
      <w:pPr>
        <w:ind w:left="2465" w:hanging="782"/>
      </w:pPr>
      <w:rPr>
        <w:rFonts w:hint="default"/>
      </w:rPr>
    </w:lvl>
    <w:lvl w:ilvl="5">
      <w:start w:val="1"/>
      <w:numFmt w:val="bullet"/>
      <w:lvlText w:val="•"/>
      <w:lvlJc w:val="left"/>
      <w:pPr>
        <w:ind w:left="3571" w:hanging="782"/>
      </w:pPr>
      <w:rPr>
        <w:rFonts w:hint="default"/>
      </w:rPr>
    </w:lvl>
    <w:lvl w:ilvl="6">
      <w:start w:val="1"/>
      <w:numFmt w:val="bullet"/>
      <w:lvlText w:val="•"/>
      <w:lvlJc w:val="left"/>
      <w:pPr>
        <w:ind w:left="4677" w:hanging="782"/>
      </w:pPr>
      <w:rPr>
        <w:rFonts w:hint="default"/>
      </w:rPr>
    </w:lvl>
    <w:lvl w:ilvl="7">
      <w:start w:val="1"/>
      <w:numFmt w:val="bullet"/>
      <w:lvlText w:val="•"/>
      <w:lvlJc w:val="left"/>
      <w:pPr>
        <w:ind w:left="5782" w:hanging="782"/>
      </w:pPr>
      <w:rPr>
        <w:rFonts w:hint="default"/>
      </w:rPr>
    </w:lvl>
    <w:lvl w:ilvl="8">
      <w:start w:val="1"/>
      <w:numFmt w:val="bullet"/>
      <w:lvlText w:val="•"/>
      <w:lvlJc w:val="left"/>
      <w:pPr>
        <w:ind w:left="6888" w:hanging="782"/>
      </w:pPr>
      <w:rPr>
        <w:rFonts w:hint="default"/>
      </w:rPr>
    </w:lvl>
  </w:abstractNum>
  <w:abstractNum w:abstractNumId="6">
    <w:multiLevelType w:val="hybridMultilevel"/>
    <w:lvl w:ilvl="0">
      <w:start w:val="2"/>
      <w:numFmt w:val="decimal"/>
      <w:lvlText w:val="%1"/>
      <w:lvlJc w:val="left"/>
      <w:pPr>
        <w:ind w:left="574" w:hanging="422"/>
        <w:jc w:val="left"/>
      </w:pPr>
      <w:rPr>
        <w:rFonts w:hint="default"/>
      </w:rPr>
    </w:lvl>
    <w:lvl w:ilvl="1">
      <w:start w:val="2"/>
      <w:numFmt w:val="decimal"/>
      <w:lvlText w:val="%1.%2."/>
      <w:lvlJc w:val="left"/>
      <w:pPr>
        <w:ind w:left="574" w:hanging="422"/>
        <w:jc w:val="right"/>
      </w:pPr>
      <w:rPr>
        <w:rFonts w:hint="default" w:ascii="Times New Roman" w:hAnsi="Times New Roman" w:eastAsia="Times New Roman" w:cs="Times New Roman"/>
        <w:b/>
        <w:bCs/>
        <w:i/>
        <w:w w:val="100"/>
        <w:sz w:val="24"/>
        <w:szCs w:val="24"/>
      </w:rPr>
    </w:lvl>
    <w:lvl w:ilvl="2">
      <w:start w:val="1"/>
      <w:numFmt w:val="decimal"/>
      <w:lvlText w:val="%1.%2.%3."/>
      <w:lvlJc w:val="left"/>
      <w:pPr>
        <w:ind w:left="877" w:hanging="605"/>
        <w:jc w:val="right"/>
      </w:pPr>
      <w:rPr>
        <w:rFonts w:hint="default" w:ascii="Times New Roman" w:hAnsi="Times New Roman" w:eastAsia="Times New Roman" w:cs="Times New Roman"/>
        <w:b/>
        <w:bCs/>
        <w:i/>
        <w:spacing w:val="-5"/>
        <w:w w:val="100"/>
        <w:sz w:val="24"/>
        <w:szCs w:val="24"/>
      </w:rPr>
    </w:lvl>
    <w:lvl w:ilvl="3">
      <w:start w:val="1"/>
      <w:numFmt w:val="bullet"/>
      <w:lvlText w:val="•"/>
      <w:lvlJc w:val="left"/>
      <w:pPr>
        <w:ind w:left="2706" w:hanging="605"/>
      </w:pPr>
      <w:rPr>
        <w:rFonts w:hint="default"/>
      </w:rPr>
    </w:lvl>
    <w:lvl w:ilvl="4">
      <w:start w:val="1"/>
      <w:numFmt w:val="bullet"/>
      <w:lvlText w:val="•"/>
      <w:lvlJc w:val="left"/>
      <w:pPr>
        <w:ind w:left="3620" w:hanging="605"/>
      </w:pPr>
      <w:rPr>
        <w:rFonts w:hint="default"/>
      </w:rPr>
    </w:lvl>
    <w:lvl w:ilvl="5">
      <w:start w:val="1"/>
      <w:numFmt w:val="bullet"/>
      <w:lvlText w:val="•"/>
      <w:lvlJc w:val="left"/>
      <w:pPr>
        <w:ind w:left="4533" w:hanging="605"/>
      </w:pPr>
      <w:rPr>
        <w:rFonts w:hint="default"/>
      </w:rPr>
    </w:lvl>
    <w:lvl w:ilvl="6">
      <w:start w:val="1"/>
      <w:numFmt w:val="bullet"/>
      <w:lvlText w:val="•"/>
      <w:lvlJc w:val="left"/>
      <w:pPr>
        <w:ind w:left="5446" w:hanging="605"/>
      </w:pPr>
      <w:rPr>
        <w:rFonts w:hint="default"/>
      </w:rPr>
    </w:lvl>
    <w:lvl w:ilvl="7">
      <w:start w:val="1"/>
      <w:numFmt w:val="bullet"/>
      <w:lvlText w:val="•"/>
      <w:lvlJc w:val="left"/>
      <w:pPr>
        <w:ind w:left="6360" w:hanging="605"/>
      </w:pPr>
      <w:rPr>
        <w:rFonts w:hint="default"/>
      </w:rPr>
    </w:lvl>
    <w:lvl w:ilvl="8">
      <w:start w:val="1"/>
      <w:numFmt w:val="bullet"/>
      <w:lvlText w:val="•"/>
      <w:lvlJc w:val="left"/>
      <w:pPr>
        <w:ind w:left="7273" w:hanging="605"/>
      </w:pPr>
      <w:rPr>
        <w:rFonts w:hint="default"/>
      </w:rPr>
    </w:lvl>
  </w:abstractNum>
  <w:abstractNum w:abstractNumId="5">
    <w:multiLevelType w:val="hybridMultilevel"/>
    <w:lvl w:ilvl="0">
      <w:start w:val="7"/>
      <w:numFmt w:val="decimal"/>
      <w:lvlText w:val="%1"/>
      <w:lvlJc w:val="left"/>
      <w:pPr>
        <w:ind w:left="373" w:hanging="365"/>
        <w:jc w:val="left"/>
      </w:pPr>
      <w:rPr>
        <w:rFonts w:hint="default"/>
      </w:rPr>
    </w:lvl>
    <w:lvl w:ilvl="1">
      <w:start w:val="1"/>
      <w:numFmt w:val="decimal"/>
      <w:lvlText w:val="%1.%2"/>
      <w:lvlJc w:val="left"/>
      <w:pPr>
        <w:ind w:left="373" w:hanging="365"/>
        <w:jc w:val="left"/>
      </w:pPr>
      <w:rPr>
        <w:rFonts w:hint="default" w:ascii="Times New Roman" w:hAnsi="Times New Roman" w:eastAsia="Times New Roman" w:cs="Times New Roman"/>
        <w:i/>
        <w:w w:val="100"/>
        <w:sz w:val="24"/>
        <w:szCs w:val="24"/>
      </w:rPr>
    </w:lvl>
    <w:lvl w:ilvl="2">
      <w:start w:val="1"/>
      <w:numFmt w:val="bullet"/>
      <w:lvlText w:val="•"/>
      <w:lvlJc w:val="left"/>
      <w:pPr>
        <w:ind w:left="2124" w:hanging="365"/>
      </w:pPr>
      <w:rPr>
        <w:rFonts w:hint="default"/>
      </w:rPr>
    </w:lvl>
    <w:lvl w:ilvl="3">
      <w:start w:val="1"/>
      <w:numFmt w:val="bullet"/>
      <w:lvlText w:val="•"/>
      <w:lvlJc w:val="left"/>
      <w:pPr>
        <w:ind w:left="2996" w:hanging="365"/>
      </w:pPr>
      <w:rPr>
        <w:rFonts w:hint="default"/>
      </w:rPr>
    </w:lvl>
    <w:lvl w:ilvl="4">
      <w:start w:val="1"/>
      <w:numFmt w:val="bullet"/>
      <w:lvlText w:val="•"/>
      <w:lvlJc w:val="left"/>
      <w:pPr>
        <w:ind w:left="3868" w:hanging="365"/>
      </w:pPr>
      <w:rPr>
        <w:rFonts w:hint="default"/>
      </w:rPr>
    </w:lvl>
    <w:lvl w:ilvl="5">
      <w:start w:val="1"/>
      <w:numFmt w:val="bullet"/>
      <w:lvlText w:val="•"/>
      <w:lvlJc w:val="left"/>
      <w:pPr>
        <w:ind w:left="4740" w:hanging="365"/>
      </w:pPr>
      <w:rPr>
        <w:rFonts w:hint="default"/>
      </w:rPr>
    </w:lvl>
    <w:lvl w:ilvl="6">
      <w:start w:val="1"/>
      <w:numFmt w:val="bullet"/>
      <w:lvlText w:val="•"/>
      <w:lvlJc w:val="left"/>
      <w:pPr>
        <w:ind w:left="5612" w:hanging="365"/>
      </w:pPr>
      <w:rPr>
        <w:rFonts w:hint="default"/>
      </w:rPr>
    </w:lvl>
    <w:lvl w:ilvl="7">
      <w:start w:val="1"/>
      <w:numFmt w:val="bullet"/>
      <w:lvlText w:val="•"/>
      <w:lvlJc w:val="left"/>
      <w:pPr>
        <w:ind w:left="6484" w:hanging="365"/>
      </w:pPr>
      <w:rPr>
        <w:rFonts w:hint="default"/>
      </w:rPr>
    </w:lvl>
    <w:lvl w:ilvl="8">
      <w:start w:val="1"/>
      <w:numFmt w:val="bullet"/>
      <w:lvlText w:val="•"/>
      <w:lvlJc w:val="left"/>
      <w:pPr>
        <w:ind w:left="7356" w:hanging="365"/>
      </w:pPr>
      <w:rPr>
        <w:rFonts w:hint="default"/>
      </w:rPr>
    </w:lvl>
  </w:abstractNum>
  <w:abstractNum w:abstractNumId="4">
    <w:multiLevelType w:val="hybridMultilevel"/>
    <w:lvl w:ilvl="0">
      <w:start w:val="6"/>
      <w:numFmt w:val="decimal"/>
      <w:lvlText w:val="%1"/>
      <w:lvlJc w:val="left"/>
      <w:pPr>
        <w:ind w:left="795" w:hanging="422"/>
        <w:jc w:val="left"/>
      </w:pPr>
      <w:rPr>
        <w:rFonts w:hint="default"/>
      </w:rPr>
    </w:lvl>
    <w:lvl w:ilvl="1">
      <w:start w:val="2"/>
      <w:numFmt w:val="decimal"/>
      <w:lvlText w:val="%1.%2."/>
      <w:lvlJc w:val="left"/>
      <w:pPr>
        <w:ind w:left="795" w:hanging="422"/>
        <w:jc w:val="left"/>
      </w:pPr>
      <w:rPr>
        <w:rFonts w:hint="default" w:ascii="Times New Roman" w:hAnsi="Times New Roman" w:eastAsia="Times New Roman" w:cs="Times New Roman"/>
        <w:i/>
        <w:w w:val="100"/>
        <w:sz w:val="24"/>
        <w:szCs w:val="24"/>
      </w:rPr>
    </w:lvl>
    <w:lvl w:ilvl="2">
      <w:start w:val="1"/>
      <w:numFmt w:val="decimal"/>
      <w:lvlText w:val="%1.%2.%3."/>
      <w:lvlJc w:val="left"/>
      <w:pPr>
        <w:ind w:left="1198" w:hanging="604"/>
        <w:jc w:val="left"/>
      </w:pPr>
      <w:rPr>
        <w:rFonts w:hint="default" w:ascii="Times New Roman" w:hAnsi="Times New Roman" w:eastAsia="Times New Roman" w:cs="Times New Roman"/>
        <w:i/>
        <w:spacing w:val="-5"/>
        <w:w w:val="100"/>
        <w:sz w:val="24"/>
        <w:szCs w:val="24"/>
      </w:rPr>
    </w:lvl>
    <w:lvl w:ilvl="3">
      <w:start w:val="1"/>
      <w:numFmt w:val="bullet"/>
      <w:lvlText w:val="•"/>
      <w:lvlJc w:val="left"/>
      <w:pPr>
        <w:ind w:left="2955" w:hanging="604"/>
      </w:pPr>
      <w:rPr>
        <w:rFonts w:hint="default"/>
      </w:rPr>
    </w:lvl>
    <w:lvl w:ilvl="4">
      <w:start w:val="1"/>
      <w:numFmt w:val="bullet"/>
      <w:lvlText w:val="•"/>
      <w:lvlJc w:val="left"/>
      <w:pPr>
        <w:ind w:left="3833" w:hanging="604"/>
      </w:pPr>
      <w:rPr>
        <w:rFonts w:hint="default"/>
      </w:rPr>
    </w:lvl>
    <w:lvl w:ilvl="5">
      <w:start w:val="1"/>
      <w:numFmt w:val="bullet"/>
      <w:lvlText w:val="•"/>
      <w:lvlJc w:val="left"/>
      <w:pPr>
        <w:ind w:left="4711" w:hanging="604"/>
      </w:pPr>
      <w:rPr>
        <w:rFonts w:hint="default"/>
      </w:rPr>
    </w:lvl>
    <w:lvl w:ilvl="6">
      <w:start w:val="1"/>
      <w:numFmt w:val="bullet"/>
      <w:lvlText w:val="•"/>
      <w:lvlJc w:val="left"/>
      <w:pPr>
        <w:ind w:left="5588" w:hanging="604"/>
      </w:pPr>
      <w:rPr>
        <w:rFonts w:hint="default"/>
      </w:rPr>
    </w:lvl>
    <w:lvl w:ilvl="7">
      <w:start w:val="1"/>
      <w:numFmt w:val="bullet"/>
      <w:lvlText w:val="•"/>
      <w:lvlJc w:val="left"/>
      <w:pPr>
        <w:ind w:left="6466" w:hanging="604"/>
      </w:pPr>
      <w:rPr>
        <w:rFonts w:hint="default"/>
      </w:rPr>
    </w:lvl>
    <w:lvl w:ilvl="8">
      <w:start w:val="1"/>
      <w:numFmt w:val="bullet"/>
      <w:lvlText w:val="•"/>
      <w:lvlJc w:val="left"/>
      <w:pPr>
        <w:ind w:left="7344" w:hanging="604"/>
      </w:pPr>
      <w:rPr>
        <w:rFonts w:hint="default"/>
      </w:rPr>
    </w:lvl>
  </w:abstractNum>
  <w:abstractNum w:abstractNumId="3">
    <w:multiLevelType w:val="hybridMultilevel"/>
    <w:lvl w:ilvl="0">
      <w:start w:val="6"/>
      <w:numFmt w:val="decimal"/>
      <w:lvlText w:val="%1"/>
      <w:lvlJc w:val="left"/>
      <w:pPr>
        <w:ind w:left="1198" w:hanging="604"/>
        <w:jc w:val="left"/>
      </w:pPr>
      <w:rPr>
        <w:rFonts w:hint="default"/>
      </w:rPr>
    </w:lvl>
    <w:lvl w:ilvl="1">
      <w:start w:val="1"/>
      <w:numFmt w:val="decimal"/>
      <w:lvlText w:val="%1.%2"/>
      <w:lvlJc w:val="left"/>
      <w:pPr>
        <w:ind w:left="1198" w:hanging="604"/>
        <w:jc w:val="left"/>
      </w:pPr>
      <w:rPr>
        <w:rFonts w:hint="default"/>
      </w:rPr>
    </w:lvl>
    <w:lvl w:ilvl="2">
      <w:start w:val="1"/>
      <w:numFmt w:val="decimal"/>
      <w:lvlText w:val="%1.%2.%3."/>
      <w:lvlJc w:val="left"/>
      <w:pPr>
        <w:ind w:left="1198" w:hanging="604"/>
        <w:jc w:val="left"/>
      </w:pPr>
      <w:rPr>
        <w:rFonts w:hint="default" w:ascii="Times New Roman" w:hAnsi="Times New Roman" w:eastAsia="Times New Roman" w:cs="Times New Roman"/>
        <w:i/>
        <w:spacing w:val="-5"/>
        <w:w w:val="100"/>
        <w:sz w:val="24"/>
        <w:szCs w:val="24"/>
      </w:rPr>
    </w:lvl>
    <w:lvl w:ilvl="3">
      <w:start w:val="1"/>
      <w:numFmt w:val="decimal"/>
      <w:lvlText w:val="%1.%2.%3.%4."/>
      <w:lvlJc w:val="left"/>
      <w:pPr>
        <w:ind w:left="1596" w:hanging="782"/>
        <w:jc w:val="left"/>
      </w:pPr>
      <w:rPr>
        <w:rFonts w:hint="default" w:ascii="Times New Roman" w:hAnsi="Times New Roman" w:eastAsia="Times New Roman" w:cs="Times New Roman"/>
        <w:i/>
        <w:spacing w:val="-5"/>
        <w:w w:val="100"/>
        <w:sz w:val="24"/>
        <w:szCs w:val="24"/>
      </w:rPr>
    </w:lvl>
    <w:lvl w:ilvl="4">
      <w:start w:val="1"/>
      <w:numFmt w:val="bullet"/>
      <w:lvlText w:val="•"/>
      <w:lvlJc w:val="left"/>
      <w:pPr>
        <w:ind w:left="4100" w:hanging="782"/>
      </w:pPr>
      <w:rPr>
        <w:rFonts w:hint="default"/>
      </w:rPr>
    </w:lvl>
    <w:lvl w:ilvl="5">
      <w:start w:val="1"/>
      <w:numFmt w:val="bullet"/>
      <w:lvlText w:val="•"/>
      <w:lvlJc w:val="left"/>
      <w:pPr>
        <w:ind w:left="4933" w:hanging="782"/>
      </w:pPr>
      <w:rPr>
        <w:rFonts w:hint="default"/>
      </w:rPr>
    </w:lvl>
    <w:lvl w:ilvl="6">
      <w:start w:val="1"/>
      <w:numFmt w:val="bullet"/>
      <w:lvlText w:val="•"/>
      <w:lvlJc w:val="left"/>
      <w:pPr>
        <w:ind w:left="5766" w:hanging="782"/>
      </w:pPr>
      <w:rPr>
        <w:rFonts w:hint="default"/>
      </w:rPr>
    </w:lvl>
    <w:lvl w:ilvl="7">
      <w:start w:val="1"/>
      <w:numFmt w:val="bullet"/>
      <w:lvlText w:val="•"/>
      <w:lvlJc w:val="left"/>
      <w:pPr>
        <w:ind w:left="6600" w:hanging="782"/>
      </w:pPr>
      <w:rPr>
        <w:rFonts w:hint="default"/>
      </w:rPr>
    </w:lvl>
    <w:lvl w:ilvl="8">
      <w:start w:val="1"/>
      <w:numFmt w:val="bullet"/>
      <w:lvlText w:val="•"/>
      <w:lvlJc w:val="left"/>
      <w:pPr>
        <w:ind w:left="7433" w:hanging="782"/>
      </w:pPr>
      <w:rPr>
        <w:rFonts w:hint="default"/>
      </w:rPr>
    </w:lvl>
  </w:abstractNum>
  <w:abstractNum w:abstractNumId="2">
    <w:multiLevelType w:val="hybridMultilevel"/>
    <w:lvl w:ilvl="0">
      <w:start w:val="3"/>
      <w:numFmt w:val="decimal"/>
      <w:lvlText w:val="%1."/>
      <w:lvlJc w:val="left"/>
      <w:pPr>
        <w:ind w:left="618" w:hanging="245"/>
        <w:jc w:val="left"/>
      </w:pPr>
      <w:rPr>
        <w:rFonts w:hint="default" w:ascii="Times New Roman" w:hAnsi="Times New Roman" w:eastAsia="Times New Roman" w:cs="Times New Roman"/>
        <w:i/>
        <w:w w:val="100"/>
        <w:sz w:val="24"/>
        <w:szCs w:val="24"/>
      </w:rPr>
    </w:lvl>
    <w:lvl w:ilvl="1">
      <w:start w:val="1"/>
      <w:numFmt w:val="decimal"/>
      <w:lvlText w:val="%1.%2."/>
      <w:lvlJc w:val="left"/>
      <w:pPr>
        <w:ind w:left="795" w:hanging="422"/>
        <w:jc w:val="left"/>
      </w:pPr>
      <w:rPr>
        <w:rFonts w:hint="default" w:ascii="Times New Roman" w:hAnsi="Times New Roman" w:eastAsia="Times New Roman" w:cs="Times New Roman"/>
        <w:i/>
        <w:w w:val="100"/>
        <w:sz w:val="24"/>
        <w:szCs w:val="24"/>
      </w:rPr>
    </w:lvl>
    <w:lvl w:ilvl="2">
      <w:start w:val="1"/>
      <w:numFmt w:val="decimal"/>
      <w:lvlText w:val="%1.%2.%3."/>
      <w:lvlJc w:val="left"/>
      <w:pPr>
        <w:ind w:left="1198" w:hanging="604"/>
        <w:jc w:val="left"/>
      </w:pPr>
      <w:rPr>
        <w:rFonts w:hint="default" w:ascii="Times New Roman" w:hAnsi="Times New Roman" w:eastAsia="Times New Roman" w:cs="Times New Roman"/>
        <w:i/>
        <w:spacing w:val="-5"/>
        <w:w w:val="100"/>
        <w:sz w:val="24"/>
        <w:szCs w:val="24"/>
      </w:rPr>
    </w:lvl>
    <w:lvl w:ilvl="3">
      <w:start w:val="1"/>
      <w:numFmt w:val="decimal"/>
      <w:lvlText w:val="%1.%2.%3.%4."/>
      <w:lvlJc w:val="left"/>
      <w:pPr>
        <w:ind w:left="1596" w:hanging="782"/>
        <w:jc w:val="left"/>
      </w:pPr>
      <w:rPr>
        <w:rFonts w:hint="default" w:ascii="Times New Roman" w:hAnsi="Times New Roman" w:eastAsia="Times New Roman" w:cs="Times New Roman"/>
        <w:i/>
        <w:spacing w:val="-5"/>
        <w:w w:val="100"/>
        <w:sz w:val="24"/>
        <w:szCs w:val="24"/>
      </w:rPr>
    </w:lvl>
    <w:lvl w:ilvl="4">
      <w:start w:val="1"/>
      <w:numFmt w:val="bullet"/>
      <w:lvlText w:val="•"/>
      <w:lvlJc w:val="left"/>
      <w:pPr>
        <w:ind w:left="2671" w:hanging="782"/>
      </w:pPr>
      <w:rPr>
        <w:rFonts w:hint="default"/>
      </w:rPr>
    </w:lvl>
    <w:lvl w:ilvl="5">
      <w:start w:val="1"/>
      <w:numFmt w:val="bullet"/>
      <w:lvlText w:val="•"/>
      <w:lvlJc w:val="left"/>
      <w:pPr>
        <w:ind w:left="3742" w:hanging="782"/>
      </w:pPr>
      <w:rPr>
        <w:rFonts w:hint="default"/>
      </w:rPr>
    </w:lvl>
    <w:lvl w:ilvl="6">
      <w:start w:val="1"/>
      <w:numFmt w:val="bullet"/>
      <w:lvlText w:val="•"/>
      <w:lvlJc w:val="left"/>
      <w:pPr>
        <w:ind w:left="4814" w:hanging="782"/>
      </w:pPr>
      <w:rPr>
        <w:rFonts w:hint="default"/>
      </w:rPr>
    </w:lvl>
    <w:lvl w:ilvl="7">
      <w:start w:val="1"/>
      <w:numFmt w:val="bullet"/>
      <w:lvlText w:val="•"/>
      <w:lvlJc w:val="left"/>
      <w:pPr>
        <w:ind w:left="5885" w:hanging="782"/>
      </w:pPr>
      <w:rPr>
        <w:rFonts w:hint="default"/>
      </w:rPr>
    </w:lvl>
    <w:lvl w:ilvl="8">
      <w:start w:val="1"/>
      <w:numFmt w:val="bullet"/>
      <w:lvlText w:val="•"/>
      <w:lvlJc w:val="left"/>
      <w:pPr>
        <w:ind w:left="6957" w:hanging="782"/>
      </w:pPr>
      <w:rPr>
        <w:rFonts w:hint="default"/>
      </w:rPr>
    </w:lvl>
  </w:abstractNum>
  <w:abstractNum w:abstractNumId="1">
    <w:multiLevelType w:val="hybridMultilevel"/>
    <w:lvl w:ilvl="0">
      <w:start w:val="2"/>
      <w:numFmt w:val="decimal"/>
      <w:lvlText w:val="%1"/>
      <w:lvlJc w:val="left"/>
      <w:pPr>
        <w:ind w:left="795" w:hanging="422"/>
        <w:jc w:val="left"/>
      </w:pPr>
      <w:rPr>
        <w:rFonts w:hint="default"/>
      </w:rPr>
    </w:lvl>
    <w:lvl w:ilvl="1">
      <w:start w:val="2"/>
      <w:numFmt w:val="decimal"/>
      <w:lvlText w:val="%1.%2."/>
      <w:lvlJc w:val="left"/>
      <w:pPr>
        <w:ind w:left="795" w:hanging="422"/>
        <w:jc w:val="left"/>
      </w:pPr>
      <w:rPr>
        <w:rFonts w:hint="default" w:ascii="Times New Roman" w:hAnsi="Times New Roman" w:eastAsia="Times New Roman" w:cs="Times New Roman"/>
        <w:i/>
        <w:w w:val="100"/>
        <w:sz w:val="24"/>
        <w:szCs w:val="24"/>
      </w:rPr>
    </w:lvl>
    <w:lvl w:ilvl="2">
      <w:start w:val="1"/>
      <w:numFmt w:val="decimal"/>
      <w:lvlText w:val="%1.%2.%3."/>
      <w:lvlJc w:val="left"/>
      <w:pPr>
        <w:ind w:left="1198" w:hanging="604"/>
        <w:jc w:val="left"/>
      </w:pPr>
      <w:rPr>
        <w:rFonts w:hint="default" w:ascii="Times New Roman" w:hAnsi="Times New Roman" w:eastAsia="Times New Roman" w:cs="Times New Roman"/>
        <w:i/>
        <w:spacing w:val="-5"/>
        <w:w w:val="100"/>
        <w:sz w:val="24"/>
        <w:szCs w:val="24"/>
      </w:rPr>
    </w:lvl>
    <w:lvl w:ilvl="3">
      <w:start w:val="1"/>
      <w:numFmt w:val="bullet"/>
      <w:lvlText w:val="•"/>
      <w:lvlJc w:val="left"/>
      <w:pPr>
        <w:ind w:left="2955" w:hanging="604"/>
      </w:pPr>
      <w:rPr>
        <w:rFonts w:hint="default"/>
      </w:rPr>
    </w:lvl>
    <w:lvl w:ilvl="4">
      <w:start w:val="1"/>
      <w:numFmt w:val="bullet"/>
      <w:lvlText w:val="•"/>
      <w:lvlJc w:val="left"/>
      <w:pPr>
        <w:ind w:left="3833" w:hanging="604"/>
      </w:pPr>
      <w:rPr>
        <w:rFonts w:hint="default"/>
      </w:rPr>
    </w:lvl>
    <w:lvl w:ilvl="5">
      <w:start w:val="1"/>
      <w:numFmt w:val="bullet"/>
      <w:lvlText w:val="•"/>
      <w:lvlJc w:val="left"/>
      <w:pPr>
        <w:ind w:left="4711" w:hanging="604"/>
      </w:pPr>
      <w:rPr>
        <w:rFonts w:hint="default"/>
      </w:rPr>
    </w:lvl>
    <w:lvl w:ilvl="6">
      <w:start w:val="1"/>
      <w:numFmt w:val="bullet"/>
      <w:lvlText w:val="•"/>
      <w:lvlJc w:val="left"/>
      <w:pPr>
        <w:ind w:left="5588" w:hanging="604"/>
      </w:pPr>
      <w:rPr>
        <w:rFonts w:hint="default"/>
      </w:rPr>
    </w:lvl>
    <w:lvl w:ilvl="7">
      <w:start w:val="1"/>
      <w:numFmt w:val="bullet"/>
      <w:lvlText w:val="•"/>
      <w:lvlJc w:val="left"/>
      <w:pPr>
        <w:ind w:left="6466" w:hanging="604"/>
      </w:pPr>
      <w:rPr>
        <w:rFonts w:hint="default"/>
      </w:rPr>
    </w:lvl>
    <w:lvl w:ilvl="8">
      <w:start w:val="1"/>
      <w:numFmt w:val="bullet"/>
      <w:lvlText w:val="•"/>
      <w:lvlJc w:val="left"/>
      <w:pPr>
        <w:ind w:left="7344" w:hanging="604"/>
      </w:pPr>
      <w:rPr>
        <w:rFonts w:hint="default"/>
      </w:rPr>
    </w:lvl>
  </w:abstractNum>
  <w:abstractNum w:abstractNumId="0">
    <w:multiLevelType w:val="hybridMultilevel"/>
    <w:lvl w:ilvl="0">
      <w:start w:val="1"/>
      <w:numFmt w:val="upperRoman"/>
      <w:lvlText w:val="%1."/>
      <w:lvlJc w:val="left"/>
      <w:pPr>
        <w:ind w:left="354" w:hanging="202"/>
        <w:jc w:val="left"/>
      </w:pPr>
      <w:rPr>
        <w:rFonts w:hint="default" w:ascii="Times New Roman" w:hAnsi="Times New Roman" w:eastAsia="Times New Roman" w:cs="Times New Roman"/>
        <w:spacing w:val="0"/>
        <w:w w:val="99"/>
        <w:sz w:val="24"/>
        <w:szCs w:val="24"/>
      </w:rPr>
    </w:lvl>
    <w:lvl w:ilvl="1">
      <w:start w:val="1"/>
      <w:numFmt w:val="upperRoman"/>
      <w:lvlText w:val="%2."/>
      <w:lvlJc w:val="left"/>
      <w:pPr>
        <w:ind w:left="3715" w:hanging="216"/>
        <w:jc w:val="right"/>
      </w:pPr>
      <w:rPr>
        <w:rFonts w:hint="default" w:ascii="Times New Roman" w:hAnsi="Times New Roman" w:eastAsia="Times New Roman" w:cs="Times New Roman"/>
        <w:b/>
        <w:bCs/>
        <w:spacing w:val="-3"/>
        <w:w w:val="99"/>
        <w:sz w:val="24"/>
        <w:szCs w:val="24"/>
      </w:rPr>
    </w:lvl>
    <w:lvl w:ilvl="2">
      <w:start w:val="1"/>
      <w:numFmt w:val="bullet"/>
      <w:lvlText w:val="•"/>
      <w:lvlJc w:val="left"/>
      <w:pPr>
        <w:ind w:left="4317" w:hanging="216"/>
      </w:pPr>
      <w:rPr>
        <w:rFonts w:hint="default"/>
      </w:rPr>
    </w:lvl>
    <w:lvl w:ilvl="3">
      <w:start w:val="1"/>
      <w:numFmt w:val="bullet"/>
      <w:lvlText w:val="•"/>
      <w:lvlJc w:val="left"/>
      <w:pPr>
        <w:ind w:left="4915" w:hanging="216"/>
      </w:pPr>
      <w:rPr>
        <w:rFonts w:hint="default"/>
      </w:rPr>
    </w:lvl>
    <w:lvl w:ilvl="4">
      <w:start w:val="1"/>
      <w:numFmt w:val="bullet"/>
      <w:lvlText w:val="•"/>
      <w:lvlJc w:val="left"/>
      <w:pPr>
        <w:ind w:left="5513" w:hanging="216"/>
      </w:pPr>
      <w:rPr>
        <w:rFonts w:hint="default"/>
      </w:rPr>
    </w:lvl>
    <w:lvl w:ilvl="5">
      <w:start w:val="1"/>
      <w:numFmt w:val="bullet"/>
      <w:lvlText w:val="•"/>
      <w:lvlJc w:val="left"/>
      <w:pPr>
        <w:ind w:left="6111" w:hanging="216"/>
      </w:pPr>
      <w:rPr>
        <w:rFonts w:hint="default"/>
      </w:rPr>
    </w:lvl>
    <w:lvl w:ilvl="6">
      <w:start w:val="1"/>
      <w:numFmt w:val="bullet"/>
      <w:lvlText w:val="•"/>
      <w:lvlJc w:val="left"/>
      <w:pPr>
        <w:ind w:left="6708" w:hanging="216"/>
      </w:pPr>
      <w:rPr>
        <w:rFonts w:hint="default"/>
      </w:rPr>
    </w:lvl>
    <w:lvl w:ilvl="7">
      <w:start w:val="1"/>
      <w:numFmt w:val="bullet"/>
      <w:lvlText w:val="•"/>
      <w:lvlJc w:val="left"/>
      <w:pPr>
        <w:ind w:left="7306" w:hanging="216"/>
      </w:pPr>
      <w:rPr>
        <w:rFonts w:hint="default"/>
      </w:rPr>
    </w:lvl>
    <w:lvl w:ilvl="8">
      <w:start w:val="1"/>
      <w:numFmt w:val="bullet"/>
      <w:lvlText w:val="•"/>
      <w:lvlJc w:val="left"/>
      <w:pPr>
        <w:ind w:left="7904" w:hanging="216"/>
      </w:pPr>
      <w:rPr>
        <w:rFonts w:hint="default"/>
      </w:rPr>
    </w:lvl>
  </w:abstract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141"/>
      <w:ind w:left="152" w:hanging="379"/>
    </w:pPr>
    <w:rPr>
      <w:rFonts w:ascii="Times New Roman" w:hAnsi="Times New Roman" w:eastAsia="Times New Roman" w:cs="Times New Roman"/>
      <w:sz w:val="24"/>
      <w:szCs w:val="24"/>
    </w:rPr>
  </w:style>
  <w:style w:styleId="TOC2" w:type="paragraph">
    <w:name w:val="TOC 2"/>
    <w:basedOn w:val="Normal"/>
    <w:uiPriority w:val="1"/>
    <w:qFormat/>
    <w:pPr>
      <w:spacing w:before="141"/>
      <w:ind w:left="795" w:hanging="422"/>
    </w:pPr>
    <w:rPr>
      <w:rFonts w:ascii="Times New Roman" w:hAnsi="Times New Roman" w:eastAsia="Times New Roman" w:cs="Times New Roman"/>
      <w:i/>
      <w:sz w:val="24"/>
      <w:szCs w:val="24"/>
    </w:rPr>
  </w:style>
  <w:style w:styleId="TOC3" w:type="paragraph">
    <w:name w:val="TOC 3"/>
    <w:basedOn w:val="Normal"/>
    <w:uiPriority w:val="1"/>
    <w:qFormat/>
    <w:pPr>
      <w:spacing w:before="141"/>
      <w:ind w:left="795" w:hanging="422"/>
    </w:pPr>
    <w:rPr>
      <w:rFonts w:ascii="Times New Roman" w:hAnsi="Times New Roman" w:eastAsia="Times New Roman" w:cs="Times New Roman"/>
      <w:b/>
      <w:bCs/>
      <w:i/>
    </w:rPr>
  </w:style>
  <w:style w:styleId="TOC4" w:type="paragraph">
    <w:name w:val="TOC 4"/>
    <w:basedOn w:val="Normal"/>
    <w:uiPriority w:val="1"/>
    <w:qFormat/>
    <w:pPr>
      <w:spacing w:before="141"/>
      <w:ind w:left="1198" w:hanging="604"/>
    </w:pPr>
    <w:rPr>
      <w:rFonts w:ascii="Times New Roman" w:hAnsi="Times New Roman" w:eastAsia="Times New Roman" w:cs="Times New Roman"/>
      <w:i/>
      <w:sz w:val="24"/>
      <w:szCs w:val="24"/>
    </w:rPr>
  </w:style>
  <w:style w:styleId="TOC5" w:type="paragraph">
    <w:name w:val="TOC 5"/>
    <w:basedOn w:val="Normal"/>
    <w:uiPriority w:val="1"/>
    <w:qFormat/>
    <w:pPr>
      <w:spacing w:before="141"/>
      <w:ind w:left="1198" w:hanging="604"/>
    </w:pPr>
    <w:rPr>
      <w:rFonts w:ascii="Times New Roman" w:hAnsi="Times New Roman" w:eastAsia="Times New Roman" w:cs="Times New Roman"/>
      <w:b/>
      <w:bCs/>
      <w:i/>
    </w:rPr>
  </w:style>
  <w:style w:styleId="TOC6" w:type="paragraph">
    <w:name w:val="TOC 6"/>
    <w:basedOn w:val="Normal"/>
    <w:uiPriority w:val="1"/>
    <w:qFormat/>
    <w:pPr>
      <w:spacing w:before="142"/>
      <w:ind w:left="1596" w:hanging="781"/>
    </w:pPr>
    <w:rPr>
      <w:rFonts w:ascii="Times New Roman" w:hAnsi="Times New Roman" w:eastAsia="Times New Roman" w:cs="Times New Roman"/>
      <w:i/>
      <w:sz w:val="24"/>
      <w:szCs w:val="24"/>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69"/>
      <w:ind w:left="152"/>
      <w:outlineLvl w:val="1"/>
    </w:pPr>
    <w:rPr>
      <w:rFonts w:ascii="Times New Roman" w:hAnsi="Times New Roman" w:eastAsia="Times New Roman" w:cs="Times New Roman"/>
      <w:b/>
      <w:bCs/>
      <w:sz w:val="24"/>
      <w:szCs w:val="24"/>
    </w:rPr>
  </w:style>
  <w:style w:styleId="Heading2" w:type="paragraph">
    <w:name w:val="Heading 2"/>
    <w:basedOn w:val="Normal"/>
    <w:uiPriority w:val="1"/>
    <w:qFormat/>
    <w:pPr>
      <w:spacing w:before="150"/>
      <w:ind w:left="757" w:hanging="605"/>
      <w:jc w:val="both"/>
      <w:outlineLvl w:val="2"/>
    </w:pPr>
    <w:rPr>
      <w:rFonts w:ascii="Times New Roman" w:hAnsi="Times New Roman" w:eastAsia="Times New Roman" w:cs="Times New Roman"/>
      <w:b/>
      <w:bCs/>
      <w:i/>
      <w:sz w:val="24"/>
      <w:szCs w:val="24"/>
    </w:rPr>
  </w:style>
  <w:style w:styleId="ListParagraph" w:type="paragraph">
    <w:name w:val="List Paragraph"/>
    <w:basedOn w:val="Normal"/>
    <w:uiPriority w:val="1"/>
    <w:qFormat/>
    <w:pPr>
      <w:spacing w:before="141"/>
      <w:ind w:left="873" w:hanging="360"/>
    </w:pPr>
    <w:rPr>
      <w:rFonts w:ascii="Times New Roman" w:hAnsi="Times New Roman" w:eastAsia="Times New Roman" w:cs="Times New Roman"/>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image" Target="media/image2.png"/><Relationship Id="rId10" Type="http://schemas.openxmlformats.org/officeDocument/2006/relationships/footer" Target="footer4.xml"/><Relationship Id="rId11" Type="http://schemas.openxmlformats.org/officeDocument/2006/relationships/image" Target="media/image3.jpeg"/><Relationship Id="rId12" Type="http://schemas.openxmlformats.org/officeDocument/2006/relationships/footer" Target="footer5.xml"/><Relationship Id="rId13" Type="http://schemas.openxmlformats.org/officeDocument/2006/relationships/image" Target="media/image4.jpeg"/><Relationship Id="rId14" Type="http://schemas.openxmlformats.org/officeDocument/2006/relationships/image" Target="media/image5.jpeg"/><Relationship Id="rId15" Type="http://schemas.openxmlformats.org/officeDocument/2006/relationships/footer" Target="footer6.xml"/><Relationship Id="rId16" Type="http://schemas.openxmlformats.org/officeDocument/2006/relationships/footer" Target="footer7.xml"/><Relationship Id="rId17" Type="http://schemas.openxmlformats.org/officeDocument/2006/relationships/image" Target="media/image6.jpeg"/><Relationship Id="rId18" Type="http://schemas.openxmlformats.org/officeDocument/2006/relationships/image" Target="media/image7.jpeg"/><Relationship Id="rId19" Type="http://schemas.openxmlformats.org/officeDocument/2006/relationships/image" Target="media/image8.jpeg"/><Relationship Id="rId20" Type="http://schemas.openxmlformats.org/officeDocument/2006/relationships/footer" Target="footer8.xml"/><Relationship Id="rId21" Type="http://schemas.openxmlformats.org/officeDocument/2006/relationships/footer" Target="footer9.xml"/><Relationship Id="rId22" Type="http://schemas.openxmlformats.org/officeDocument/2006/relationships/image" Target="media/image9.jpeg"/><Relationship Id="rId23" Type="http://schemas.openxmlformats.org/officeDocument/2006/relationships/footer" Target="footer10.xml"/><Relationship Id="rId24" Type="http://schemas.openxmlformats.org/officeDocument/2006/relationships/image" Target="media/image10.jpeg"/><Relationship Id="rId25" Type="http://schemas.openxmlformats.org/officeDocument/2006/relationships/footer" Target="footer11.xml"/><Relationship Id="rId26" Type="http://schemas.openxmlformats.org/officeDocument/2006/relationships/image" Target="media/image11.jpeg"/><Relationship Id="rId27" Type="http://schemas.openxmlformats.org/officeDocument/2006/relationships/image" Target="media/image12.jpeg"/><Relationship Id="rId28" Type="http://schemas.openxmlformats.org/officeDocument/2006/relationships/image" Target="media/image13.jpeg"/><Relationship Id="rId29" Type="http://schemas.openxmlformats.org/officeDocument/2006/relationships/image" Target="media/image14.jpeg"/><Relationship Id="rId30" Type="http://schemas.openxmlformats.org/officeDocument/2006/relationships/image" Target="media/image15.jpeg"/><Relationship Id="rId31" Type="http://schemas.openxmlformats.org/officeDocument/2006/relationships/image" Target="media/image16.jpeg"/><Relationship Id="rId32" Type="http://schemas.openxmlformats.org/officeDocument/2006/relationships/image" Target="media/image17.jpeg"/><Relationship Id="rId33" Type="http://schemas.openxmlformats.org/officeDocument/2006/relationships/image" Target="media/image18.jpeg"/><Relationship Id="rId34" Type="http://schemas.openxmlformats.org/officeDocument/2006/relationships/image" Target="media/image19.jpeg"/><Relationship Id="rId35" Type="http://schemas.openxmlformats.org/officeDocument/2006/relationships/footer" Target="footer12.xml"/><Relationship Id="rId36" Type="http://schemas.openxmlformats.org/officeDocument/2006/relationships/image" Target="media/image20.jpeg"/><Relationship Id="rId37" Type="http://schemas.openxmlformats.org/officeDocument/2006/relationships/footer" Target="footer13.xml"/><Relationship Id="rId38" Type="http://schemas.openxmlformats.org/officeDocument/2006/relationships/hyperlink" Target="mailto:journals@fisheries.org" TargetMode="External"/><Relationship Id="rId39" Type="http://schemas.openxmlformats.org/officeDocument/2006/relationships/hyperlink" Target="mailto:cortegas@uaemex.mx" TargetMode="External"/><Relationship Id="rId40" Type="http://schemas.openxmlformats.org/officeDocument/2006/relationships/hyperlink" Target="mailto:darguedas@utn.ac.cr" TargetMode="External"/><Relationship Id="rId41" Type="http://schemas.openxmlformats.org/officeDocument/2006/relationships/hyperlink" Target="mailto:simonmc@uaemex.mx" TargetMode="External"/><Relationship Id="rId42" Type="http://schemas.openxmlformats.org/officeDocument/2006/relationships/hyperlink" Target="mailto:renrique@uach.cl" TargetMode="External"/><Relationship Id="rId43" Type="http://schemas.openxmlformats.org/officeDocument/2006/relationships/hyperlink" Target="mailto:alexromero@uach.cl" TargetMode="External"/><Relationship Id="rId44" Type="http://schemas.openxmlformats.org/officeDocument/2006/relationships/hyperlink" Target="mailto:jmenahuertas@ymail.com" TargetMode="External"/><Relationship Id="rId45" Type="http://schemas.openxmlformats.org/officeDocument/2006/relationships/hyperlink" Target="mailto:mhidalgo@uach.cl" TargetMode="External"/><Relationship Id="rId46" Type="http://schemas.openxmlformats.org/officeDocument/2006/relationships/hyperlink" Target="mailto:angel.astroza@uss.cl" TargetMode="External"/><Relationship Id="rId47" Type="http://schemas.openxmlformats.org/officeDocument/2006/relationships/footer" Target="footer14.xml"/><Relationship Id="rId48" Type="http://schemas.openxmlformats.org/officeDocument/2006/relationships/footer" Target="footer15.xml"/><Relationship Id="rId49" Type="http://schemas.openxmlformats.org/officeDocument/2006/relationships/image" Target="media/image21.png"/><Relationship Id="rId50" Type="http://schemas.openxmlformats.org/officeDocument/2006/relationships/image" Target="media/image22.png"/><Relationship Id="rId51" Type="http://schemas.openxmlformats.org/officeDocument/2006/relationships/image" Target="media/image23.png"/><Relationship Id="rId52" Type="http://schemas.openxmlformats.org/officeDocument/2006/relationships/footer" Target="footer16.xml"/><Relationship Id="rId53" Type="http://schemas.openxmlformats.org/officeDocument/2006/relationships/image" Target="media/image24.jpeg"/><Relationship Id="rId54" Type="http://schemas.openxmlformats.org/officeDocument/2006/relationships/image" Target="media/image25.jpeg"/><Relationship Id="rId55" Type="http://schemas.openxmlformats.org/officeDocument/2006/relationships/image" Target="media/image26.jpeg"/><Relationship Id="rId56" Type="http://schemas.openxmlformats.org/officeDocument/2006/relationships/image" Target="media/image27.jpeg"/><Relationship Id="rId57" Type="http://schemas.openxmlformats.org/officeDocument/2006/relationships/image" Target="media/image28.jpeg"/><Relationship Id="rId58" Type="http://schemas.openxmlformats.org/officeDocument/2006/relationships/image" Target="media/image29.jpeg"/><Relationship Id="rId59" Type="http://schemas.openxmlformats.org/officeDocument/2006/relationships/footer" Target="footer17.xml"/><Relationship Id="rId60" Type="http://schemas.openxmlformats.org/officeDocument/2006/relationships/image" Target="media/image30.jpeg"/><Relationship Id="rId61" Type="http://schemas.openxmlformats.org/officeDocument/2006/relationships/image" Target="media/image31.jpeg"/><Relationship Id="rId62" Type="http://schemas.openxmlformats.org/officeDocument/2006/relationships/footer" Target="footer18.xml"/><Relationship Id="rId63" Type="http://schemas.openxmlformats.org/officeDocument/2006/relationships/footer" Target="footer19.xml"/><Relationship Id="rId64" Type="http://schemas.openxmlformats.org/officeDocument/2006/relationships/footer" Target="footer20.xml"/><Relationship Id="rId65" Type="http://schemas.openxmlformats.org/officeDocument/2006/relationships/footer" Target="footer21.xml"/><Relationship Id="rId66" Type="http://schemas.openxmlformats.org/officeDocument/2006/relationships/footer" Target="footer22.xml"/><Relationship Id="rId67" Type="http://schemas.openxmlformats.org/officeDocument/2006/relationships/footer" Target="footer23.xml"/><Relationship Id="rId68" Type="http://schemas.openxmlformats.org/officeDocument/2006/relationships/footer" Target="footer24.xml"/><Relationship Id="rId69" Type="http://schemas.openxmlformats.org/officeDocument/2006/relationships/image" Target="media/image32.png"/><Relationship Id="rId70" Type="http://schemas.openxmlformats.org/officeDocument/2006/relationships/footer" Target="footer25.xml"/><Relationship Id="rId71" Type="http://schemas.openxmlformats.org/officeDocument/2006/relationships/footer" Target="footer26.xml"/><Relationship Id="rId72" Type="http://schemas.openxmlformats.org/officeDocument/2006/relationships/footer" Target="footer27.xml"/><Relationship Id="rId7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2017-05-23T00:35:29Z</dcterms:created>
  <dcterms:modified xsi:type="dcterms:W3CDTF">2017-05-23T00:35:29Z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2017-05-22T00:00:00Z</vt:filetime>
  </property>
</Properties>
</file>