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278" w:lineRule="auto" w:before="54"/>
        <w:ind w:left="3144" w:right="2712"/>
      </w:pPr>
      <w:r>
        <w:rPr/>
        <w:t>UNIVERSIDAD AUTÓNOMA DEL ESTADO DE MÉXICO FACULTAD  DE  PLANEACIÓN  URBANA  Y</w:t>
      </w:r>
      <w:r>
        <w:rPr>
          <w:spacing w:val="50"/>
        </w:rPr>
        <w:t> </w:t>
      </w:r>
      <w:r>
        <w:rPr/>
        <w:t>REGIONAL</w:t>
      </w:r>
    </w:p>
    <w:p>
      <w:pPr>
        <w:pStyle w:val="BodyText"/>
        <w:spacing w:before="6"/>
        <w:rPr>
          <w:b/>
          <w:sz w:val="20"/>
        </w:rPr>
      </w:pPr>
      <w:r>
        <w:rPr/>
        <w:drawing>
          <wp:anchor distT="0" distB="0" distL="0" distR="0" allowOverlap="1" layoutInCell="1" locked="0" behindDoc="0" simplePos="0" relativeHeight="0">
            <wp:simplePos x="0" y="0"/>
            <wp:positionH relativeFrom="page">
              <wp:posOffset>2610485</wp:posOffset>
            </wp:positionH>
            <wp:positionV relativeFrom="paragraph">
              <wp:posOffset>174904</wp:posOffset>
            </wp:positionV>
            <wp:extent cx="1199003" cy="940307"/>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199003" cy="940307"/>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4404105</wp:posOffset>
            </wp:positionH>
            <wp:positionV relativeFrom="paragraph">
              <wp:posOffset>176936</wp:posOffset>
            </wp:positionV>
            <wp:extent cx="623625" cy="806862"/>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623625" cy="806862"/>
                    </a:xfrm>
                    <a:prstGeom prst="rect">
                      <a:avLst/>
                    </a:prstGeom>
                  </pic:spPr>
                </pic:pic>
              </a:graphicData>
            </a:graphic>
          </wp:anchor>
        </w:drawing>
      </w:r>
    </w:p>
    <w:p>
      <w:pPr>
        <w:spacing w:line="278" w:lineRule="auto" w:before="116"/>
        <w:ind w:left="2035" w:right="2031" w:firstLine="0"/>
        <w:jc w:val="center"/>
        <w:rPr>
          <w:b/>
          <w:sz w:val="24"/>
        </w:rPr>
      </w:pPr>
      <w:r>
        <w:rPr>
          <w:b/>
          <w:sz w:val="24"/>
        </w:rPr>
        <w:t>LA INVESTIGACIÓN URBANA CONTEMPORÁNEA EN LATINOAMÉRICA A TRAVÉS DE LAS REVISTAS CIENTÍFICAS:</w:t>
      </w:r>
    </w:p>
    <w:p>
      <w:pPr>
        <w:spacing w:line="274" w:lineRule="exact" w:before="0"/>
        <w:ind w:left="2712" w:right="2712" w:firstLine="0"/>
        <w:jc w:val="center"/>
        <w:rPr>
          <w:b/>
          <w:sz w:val="24"/>
        </w:rPr>
      </w:pPr>
      <w:r>
        <w:rPr>
          <w:b/>
          <w:sz w:val="24"/>
        </w:rPr>
        <w:t>EL CASO DE LA REVISTA EURE</w:t>
      </w:r>
    </w:p>
    <w:p>
      <w:pPr>
        <w:pStyle w:val="BodyText"/>
        <w:rPr>
          <w:b/>
        </w:rPr>
      </w:pPr>
    </w:p>
    <w:p>
      <w:pPr>
        <w:pStyle w:val="BodyText"/>
        <w:rPr>
          <w:b/>
        </w:rPr>
      </w:pPr>
    </w:p>
    <w:p>
      <w:pPr>
        <w:pStyle w:val="BodyText"/>
        <w:rPr>
          <w:b/>
        </w:rPr>
      </w:pPr>
    </w:p>
    <w:p>
      <w:pPr>
        <w:spacing w:before="165"/>
        <w:ind w:left="2712" w:right="2712" w:firstLine="0"/>
        <w:jc w:val="center"/>
        <w:rPr>
          <w:b/>
          <w:sz w:val="24"/>
        </w:rPr>
      </w:pPr>
      <w:r>
        <w:rPr>
          <w:b/>
          <w:sz w:val="24"/>
        </w:rPr>
        <w:t>TESIS</w:t>
      </w:r>
    </w:p>
    <w:p>
      <w:pPr>
        <w:pStyle w:val="BodyText"/>
        <w:rPr>
          <w:b/>
        </w:rPr>
      </w:pPr>
    </w:p>
    <w:p>
      <w:pPr>
        <w:pStyle w:val="BodyText"/>
        <w:rPr>
          <w:b/>
        </w:rPr>
      </w:pPr>
    </w:p>
    <w:p>
      <w:pPr>
        <w:pStyle w:val="BodyText"/>
        <w:rPr>
          <w:b/>
        </w:rPr>
      </w:pPr>
    </w:p>
    <w:p>
      <w:pPr>
        <w:spacing w:line="276" w:lineRule="auto" w:before="165"/>
        <w:ind w:left="3847" w:right="3485" w:firstLine="0"/>
        <w:jc w:val="center"/>
        <w:rPr>
          <w:b/>
          <w:sz w:val="24"/>
        </w:rPr>
      </w:pPr>
      <w:r>
        <w:rPr>
          <w:b/>
          <w:sz w:val="24"/>
        </w:rPr>
        <w:t>QUE PARA OBTENER EL GRADO DE DOCTOR EN URBANISMO</w:t>
      </w:r>
    </w:p>
    <w:p>
      <w:pPr>
        <w:pStyle w:val="BodyText"/>
        <w:rPr>
          <w:b/>
        </w:rPr>
      </w:pPr>
    </w:p>
    <w:p>
      <w:pPr>
        <w:pStyle w:val="BodyText"/>
        <w:spacing w:before="4"/>
        <w:rPr>
          <w:b/>
          <w:sz w:val="31"/>
        </w:rPr>
      </w:pPr>
    </w:p>
    <w:p>
      <w:pPr>
        <w:pStyle w:val="BodyText"/>
        <w:ind w:left="2712" w:right="2712"/>
        <w:jc w:val="center"/>
      </w:pPr>
      <w:r>
        <w:rPr/>
        <w:t>PRESENTA</w:t>
      </w:r>
    </w:p>
    <w:p>
      <w:pPr>
        <w:pStyle w:val="Heading1"/>
        <w:spacing w:before="41"/>
        <w:ind w:left="2711" w:right="2712"/>
      </w:pPr>
      <w:r>
        <w:rPr/>
        <w:t>RODRIGO ZÁRATE DE PAUL</w:t>
      </w:r>
    </w:p>
    <w:p>
      <w:pPr>
        <w:pStyle w:val="BodyText"/>
        <w:rPr>
          <w:b/>
        </w:rPr>
      </w:pPr>
    </w:p>
    <w:p>
      <w:pPr>
        <w:pStyle w:val="BodyText"/>
        <w:spacing w:before="9"/>
        <w:rPr>
          <w:b/>
          <w:sz w:val="34"/>
        </w:rPr>
      </w:pPr>
    </w:p>
    <w:p>
      <w:pPr>
        <w:pStyle w:val="BodyText"/>
        <w:spacing w:before="1"/>
        <w:ind w:left="2714" w:right="2712"/>
        <w:jc w:val="center"/>
      </w:pPr>
      <w:r>
        <w:rPr/>
        <w:t>DIRECTOR DE TESIS</w:t>
      </w:r>
    </w:p>
    <w:p>
      <w:pPr>
        <w:pStyle w:val="Heading1"/>
        <w:spacing w:before="41"/>
        <w:ind w:left="2708" w:right="2712"/>
      </w:pPr>
      <w:r>
        <w:rPr/>
        <w:t>Dr. JUAN JOSÉ GUTIÉRREZ CHAPARRO</w:t>
      </w:r>
    </w:p>
    <w:p>
      <w:pPr>
        <w:pStyle w:val="BodyText"/>
        <w:spacing w:before="1"/>
        <w:rPr>
          <w:b/>
          <w:sz w:val="31"/>
        </w:rPr>
      </w:pPr>
    </w:p>
    <w:p>
      <w:pPr>
        <w:pStyle w:val="BodyText"/>
        <w:ind w:left="2714" w:right="2712"/>
        <w:jc w:val="center"/>
      </w:pPr>
      <w:r>
        <w:rPr/>
        <w:t>REVISORES</w:t>
      </w:r>
    </w:p>
    <w:p>
      <w:pPr>
        <w:pStyle w:val="Heading1"/>
        <w:spacing w:line="276" w:lineRule="auto" w:before="44"/>
        <w:ind w:left="3801" w:right="3798"/>
      </w:pPr>
      <w:r>
        <w:rPr/>
        <w:t>Dr. RICARDO RYSZARD ROZGA LUTER Dr. JOSÉ JUAN MÉNDEZ RAMÍREZ</w:t>
      </w:r>
    </w:p>
    <w:p>
      <w:pPr>
        <w:spacing w:line="276" w:lineRule="auto" w:before="0"/>
        <w:ind w:left="4141" w:right="4118" w:firstLine="278"/>
        <w:jc w:val="left"/>
        <w:rPr>
          <w:b/>
          <w:sz w:val="24"/>
        </w:rPr>
      </w:pPr>
      <w:r>
        <w:rPr>
          <w:b/>
          <w:sz w:val="24"/>
        </w:rPr>
        <w:t>Dr. ARISTEO SANTOS LÓPEZ Dr. SILVERIO HERNÁNDEZ LÓPEZ</w:t>
      </w:r>
    </w:p>
    <w:p>
      <w:pPr>
        <w:pStyle w:val="BodyText"/>
        <w:rPr>
          <w:b/>
        </w:rPr>
      </w:pPr>
    </w:p>
    <w:p>
      <w:pPr>
        <w:pStyle w:val="BodyText"/>
        <w:rPr>
          <w:b/>
        </w:rPr>
      </w:pPr>
    </w:p>
    <w:p>
      <w:pPr>
        <w:pStyle w:val="BodyText"/>
        <w:rPr>
          <w:b/>
        </w:rPr>
      </w:pPr>
    </w:p>
    <w:p>
      <w:pPr>
        <w:pStyle w:val="BodyText"/>
        <w:rPr>
          <w:b/>
        </w:rPr>
      </w:pPr>
    </w:p>
    <w:p>
      <w:pPr>
        <w:spacing w:before="165"/>
        <w:ind w:left="7472" w:right="0" w:firstLine="0"/>
        <w:jc w:val="left"/>
        <w:rPr>
          <w:b/>
          <w:sz w:val="20"/>
        </w:rPr>
      </w:pPr>
      <w:r>
        <w:rPr/>
        <w:pict>
          <v:shapetype id="_x0000_t202" o:spt="202" coordsize="21600,21600" path="m,l,21600r21600,l21600,xe">
            <v:stroke joinstyle="miter"/>
            <v:path gradientshapeok="t" o:connecttype="rect"/>
          </v:shapetype>
          <v:shape style="position:absolute;margin-left:4.150pt;margin-top:39.006107pt;width:607.85pt;height:68.2pt;mso-position-horizontal-relative:page;mso-position-vertical-relative:paragraph;z-index:-401032" type="#_x0000_t202" filled="false" stroked="false">
            <v:textbox inset="0,0,0,0">
              <w:txbxContent>
                <w:p>
                  <w:pPr>
                    <w:spacing w:line="245" w:lineRule="exact" w:before="0"/>
                    <w:ind w:left="5479" w:right="5556" w:firstLine="0"/>
                    <w:jc w:val="center"/>
                    <w:rPr>
                      <w:b/>
                      <w:sz w:val="24"/>
                    </w:rPr>
                  </w:pPr>
                  <w:r>
                    <w:rPr>
                      <w:b/>
                      <w:sz w:val="24"/>
                    </w:rPr>
                    <w:t>Resumen</w:t>
                  </w:r>
                </w:p>
                <w:p>
                  <w:pPr>
                    <w:pStyle w:val="BodyText"/>
                    <w:rPr>
                      <w:b/>
                    </w:rPr>
                  </w:pPr>
                </w:p>
                <w:p>
                  <w:pPr>
                    <w:pStyle w:val="BodyText"/>
                    <w:spacing w:before="9"/>
                    <w:rPr>
                      <w:b/>
                      <w:sz w:val="26"/>
                    </w:rPr>
                  </w:pPr>
                </w:p>
                <w:p>
                  <w:pPr>
                    <w:pStyle w:val="BodyText"/>
                    <w:ind w:right="1697"/>
                    <w:jc w:val="right"/>
                    <w:rPr>
                      <w:rFonts w:ascii="Times New Roman"/>
                    </w:rPr>
                  </w:pPr>
                  <w:r>
                    <w:rPr>
                      <w:rFonts w:ascii="Times New Roman"/>
                    </w:rPr>
                    <w:t>1</w:t>
                  </w:r>
                </w:p>
              </w:txbxContent>
            </v:textbox>
            <w10:wrap type="none"/>
          </v:shape>
        </w:pict>
      </w:r>
      <w:r>
        <w:rPr/>
        <w:pict>
          <v:group style="position:absolute;margin-left:3.775pt;margin-top:40.439884pt;width:608.6pt;height:67.150pt;mso-position-horizontal-relative:page;mso-position-vertical-relative:paragraph;z-index:1096" coordorigin="76,809" coordsize="12172,1343">
            <v:rect style="position:absolute;left:83;top:809;width:12157;height:1335" filled="true" fillcolor="#ffffff" stroked="false">
              <v:fill type="solid"/>
            </v:rect>
            <v:line style="position:absolute" from="83,2144" to="12240,2144" stroked="true" strokeweight=".75pt" strokecolor="#ffffff"/>
            <w10:wrap type="none"/>
          </v:group>
        </w:pict>
      </w:r>
      <w:r>
        <w:rPr>
          <w:b/>
          <w:color w:val="404040"/>
          <w:sz w:val="20"/>
        </w:rPr>
        <w:t>TOLUCA, MÉXICO, JUNIO, 2016</w:t>
      </w:r>
    </w:p>
    <w:p>
      <w:pPr>
        <w:spacing w:after="0"/>
        <w:jc w:val="left"/>
        <w:rPr>
          <w:sz w:val="20"/>
        </w:rPr>
        <w:sectPr>
          <w:type w:val="continuous"/>
          <w:pgSz w:w="12240" w:h="15840"/>
          <w:pgMar w:top="1360" w:bottom="0" w:left="0" w:right="0"/>
        </w:sectPr>
      </w:pPr>
    </w:p>
    <w:p>
      <w:pPr>
        <w:pStyle w:val="BodyText"/>
        <w:spacing w:line="360" w:lineRule="auto" w:before="54"/>
        <w:ind w:left="102" w:right="115"/>
        <w:jc w:val="both"/>
      </w:pPr>
      <w:r>
        <w:rPr/>
        <w:t>Este apartado hace referencia de forma muy general a los principales aportes de este trabajo de investigación, todos los aspectos propios de una tesis están descritos en el protocolo con el mayor detalle posible; es decir, marco teórico, planteamiento del problema, preguntas de investigación, justificación, hipótesis, objetivos de investigación, metodología —que dicho sea de paso no debe confundirse este término con el de estrategia de análisis—, codificación de datos y resultados.</w:t>
      </w:r>
    </w:p>
    <w:p>
      <w:pPr>
        <w:pStyle w:val="BodyText"/>
      </w:pPr>
    </w:p>
    <w:p>
      <w:pPr>
        <w:pStyle w:val="BodyText"/>
        <w:spacing w:line="360" w:lineRule="auto" w:before="142"/>
        <w:ind w:left="102" w:right="112"/>
        <w:jc w:val="both"/>
      </w:pPr>
      <w:r>
        <w:rPr/>
        <w:t>Una mirada relativamente amplia a la literatura concerniente a la Investigación Urbana Latinoamericana (IUL) nos permite advertirla como un término polisémico que merece alto cuidado en su uso, aún más cuando se le toma como objeto de investigación, en este sentido podemos referirnos a ella como área disciplinar y como actividad científica.</w:t>
      </w:r>
    </w:p>
    <w:p>
      <w:pPr>
        <w:pStyle w:val="BodyText"/>
      </w:pPr>
    </w:p>
    <w:p>
      <w:pPr>
        <w:pStyle w:val="BodyText"/>
        <w:spacing w:line="360" w:lineRule="auto" w:before="142"/>
        <w:ind w:left="102" w:right="116"/>
        <w:jc w:val="both"/>
      </w:pPr>
      <w:r>
        <w:rPr/>
        <w:t>Como área disciplinar la IUL es la confluencia de conocimiento, teorías, métodos de análisis y postulados que se han generado por disciplinas a fines al estudio de los procesos sociales de un espacio físico, en este sentido hacemos referencia a  la sociología, planeación y economía urbana. Desde esta concepción podemos destacar como productos finales la elaboración de modelos teóricos y estadísticos para la explicación de un fenómeno social según la tradición científica a la que se pertenezca que, en algunos casos, también conlleva a la discusión sobre sus bases</w:t>
      </w:r>
      <w:r>
        <w:rPr>
          <w:spacing w:val="-4"/>
        </w:rPr>
        <w:t> </w:t>
      </w:r>
      <w:r>
        <w:rPr/>
        <w:t>filosóficas.</w:t>
      </w:r>
    </w:p>
    <w:p>
      <w:pPr>
        <w:pStyle w:val="BodyText"/>
      </w:pPr>
    </w:p>
    <w:p>
      <w:pPr>
        <w:pStyle w:val="BodyText"/>
        <w:spacing w:line="360" w:lineRule="auto" w:before="142"/>
        <w:ind w:left="102" w:right="115"/>
        <w:jc w:val="both"/>
      </w:pPr>
      <w:r>
        <w:rPr/>
        <w:t>Como actividad científica destaca el hecho de que es realizada por un grupo de especialistas de varias disciplinas cuyas prácticas científicas están vinculadas a la forma de producción, divulgación, evaluación y enseñanza. Como productos  finales podemos resaltar la publicación de artículos y libros, organización de seminarios, presentación de ponencias, elaboración de proyectos de investigación, obtención de fuentes de financiamiento y, si se diera el caso, registro de</w:t>
      </w:r>
      <w:r>
        <w:rPr>
          <w:spacing w:val="-19"/>
        </w:rPr>
        <w:t> </w:t>
      </w:r>
      <w:r>
        <w:rPr/>
        <w:t>patentes.</w:t>
      </w:r>
    </w:p>
    <w:p>
      <w:pPr>
        <w:spacing w:after="0" w:line="360" w:lineRule="auto"/>
        <w:jc w:val="both"/>
        <w:sectPr>
          <w:footerReference w:type="default" r:id="rId7"/>
          <w:pgSz w:w="12240" w:h="15840"/>
          <w:pgMar w:footer="689" w:header="0" w:top="1360" w:bottom="880" w:left="1600" w:right="1580"/>
          <w:pgNumType w:start="2"/>
        </w:sectPr>
      </w:pPr>
    </w:p>
    <w:p>
      <w:pPr>
        <w:pStyle w:val="BodyText"/>
        <w:spacing w:line="360" w:lineRule="auto" w:before="54"/>
        <w:ind w:left="102" w:right="118"/>
        <w:jc w:val="both"/>
      </w:pPr>
      <w:r>
        <w:rPr/>
        <w:t>En este sentido el primer aporte de este trabajo es que es necesario reconocer  que al interior de la IUL las propuestas teóricas metodológicas contemporáneas son delimitadas por las prácticas científicas propias de la IUL, así como ejemplos de esta condición podemos mencionar la hegemonía de lo cuantitativo sobre lo cualitativo, la prevalencia de ciertos temas y autores, y la predilección por publicar en determinada revista —más allá de las rencillas o afinidades entre autor y editor—.</w:t>
      </w:r>
    </w:p>
    <w:p>
      <w:pPr>
        <w:pStyle w:val="BodyText"/>
      </w:pPr>
    </w:p>
    <w:p>
      <w:pPr>
        <w:pStyle w:val="BodyText"/>
        <w:spacing w:line="360" w:lineRule="auto" w:before="142"/>
        <w:ind w:left="102" w:right="112"/>
        <w:jc w:val="both"/>
      </w:pPr>
      <w:r>
        <w:rPr/>
        <w:t>Si bien se podría considerar que las bases epistemológicas o de filosofía de la ciencia deben ser conocidas y dominadas por todo estudiante de doctorado —y  por tal motivo pareciera inecesario traerlas a discusión—, es pertienente retomarlas en este trabajo para delimitar en la medida de lo posible aquellos elementos que constituyen y dan forma a la investigación científica, los cuales servirán para contrastar las bases de la</w:t>
      </w:r>
      <w:r>
        <w:rPr>
          <w:spacing w:val="-15"/>
        </w:rPr>
        <w:t> </w:t>
      </w:r>
      <w:r>
        <w:rPr/>
        <w:t>IUL.</w:t>
      </w:r>
    </w:p>
    <w:p>
      <w:pPr>
        <w:pStyle w:val="BodyText"/>
      </w:pPr>
    </w:p>
    <w:p>
      <w:pPr>
        <w:pStyle w:val="BodyText"/>
        <w:spacing w:line="360" w:lineRule="auto" w:before="142"/>
        <w:ind w:left="102" w:right="118"/>
        <w:jc w:val="both"/>
      </w:pPr>
      <w:r>
        <w:rPr/>
        <w:t>El segundo aporte es la esquematización de los niveles que integran la construcción del conocimiento científico (epistemológico, metodológico y teórico) con los cuales se impulsa el análisis metateórico de la IUL en su conjunto y las disciplinas que la integran en particular para que de esa forma el avance teórico metodológico se realice por la contrastación de paradigmas en contrapeso de los temas establecidos por instituciones de financiamiento y/o evaluación.</w:t>
      </w:r>
    </w:p>
    <w:p>
      <w:pPr>
        <w:pStyle w:val="BodyText"/>
      </w:pPr>
    </w:p>
    <w:p>
      <w:pPr>
        <w:pStyle w:val="Heading1"/>
        <w:spacing w:before="139"/>
        <w:ind w:right="115"/>
      </w:pPr>
      <w:r>
        <w:rPr/>
        <w:t>Figura A</w:t>
      </w:r>
    </w:p>
    <w:p>
      <w:pPr>
        <w:spacing w:before="0"/>
        <w:ind w:left="99" w:right="117" w:firstLine="0"/>
        <w:jc w:val="center"/>
        <w:rPr>
          <w:b/>
          <w:sz w:val="24"/>
        </w:rPr>
      </w:pPr>
      <w:r>
        <w:rPr>
          <w:b/>
          <w:sz w:val="24"/>
        </w:rPr>
        <w:t>Niveles en la construcción del conocimiento científico</w:t>
      </w:r>
    </w:p>
    <w:p>
      <w:pPr>
        <w:pStyle w:val="BodyText"/>
        <w:spacing w:before="10"/>
        <w:rPr>
          <w:b/>
          <w:sz w:val="18"/>
        </w:rPr>
      </w:pPr>
      <w:r>
        <w:rPr/>
        <w:drawing>
          <wp:anchor distT="0" distB="0" distL="0" distR="0" allowOverlap="1" layoutInCell="1" locked="0" behindDoc="0" simplePos="0" relativeHeight="1120">
            <wp:simplePos x="0" y="0"/>
            <wp:positionH relativeFrom="page">
              <wp:posOffset>1882139</wp:posOffset>
            </wp:positionH>
            <wp:positionV relativeFrom="paragraph">
              <wp:posOffset>162623</wp:posOffset>
            </wp:positionV>
            <wp:extent cx="4006345" cy="1608201"/>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8" cstate="print"/>
                    <a:stretch>
                      <a:fillRect/>
                    </a:stretch>
                  </pic:blipFill>
                  <pic:spPr>
                    <a:xfrm>
                      <a:off x="0" y="0"/>
                      <a:ext cx="4006345" cy="1608201"/>
                    </a:xfrm>
                    <a:prstGeom prst="rect">
                      <a:avLst/>
                    </a:prstGeom>
                  </pic:spPr>
                </pic:pic>
              </a:graphicData>
            </a:graphic>
          </wp:anchor>
        </w:drawing>
      </w:r>
    </w:p>
    <w:p>
      <w:pPr>
        <w:spacing w:before="0"/>
        <w:ind w:left="95" w:right="117" w:firstLine="0"/>
        <w:jc w:val="center"/>
        <w:rPr>
          <w:sz w:val="20"/>
        </w:rPr>
      </w:pPr>
      <w:r>
        <w:rPr>
          <w:sz w:val="20"/>
        </w:rPr>
        <w:t>Fuente: Elaboración propia</w:t>
      </w:r>
    </w:p>
    <w:p>
      <w:pPr>
        <w:spacing w:after="0"/>
        <w:jc w:val="center"/>
        <w:rPr>
          <w:sz w:val="20"/>
        </w:rPr>
        <w:sectPr>
          <w:pgSz w:w="12240" w:h="15840"/>
          <w:pgMar w:header="0" w:footer="689" w:top="1360" w:bottom="880" w:left="1600" w:right="1580"/>
        </w:sectPr>
      </w:pPr>
    </w:p>
    <w:p>
      <w:pPr>
        <w:pStyle w:val="BodyText"/>
        <w:spacing w:line="360" w:lineRule="auto" w:before="54"/>
        <w:ind w:left="102" w:right="114"/>
        <w:jc w:val="both"/>
      </w:pPr>
      <w:r>
        <w:rPr/>
        <w:t>La figura A muestra los tres niveles que convergen cuando se genera  conocimiento científico, o en términos coloquiales cuando </w:t>
      </w:r>
      <w:r>
        <w:rPr>
          <w:i/>
        </w:rPr>
        <w:t>se hace ciencia</w:t>
      </w:r>
      <w:r>
        <w:rPr/>
        <w:t>, los colores del esquema indican que tan visibles o reconocibles por el investigador al momento de producir el conocimiento; el nivel teórico es el más visible a diferencia del metodológico y epistemológico, este último es casi imperceptible porque la mayoría de las veces no hay un reconocimiento de su existencia (para estudiantes de las diferentes disciplinas que integran la IUL es necesario tener en cuenta estos tres niveles para no mezclar posturas teóricas contrapuestas y dar solides a sus argumentos).</w:t>
      </w:r>
    </w:p>
    <w:p>
      <w:pPr>
        <w:pStyle w:val="BodyText"/>
      </w:pPr>
    </w:p>
    <w:p>
      <w:pPr>
        <w:pStyle w:val="BodyText"/>
        <w:spacing w:line="360" w:lineRule="auto" w:before="142"/>
        <w:ind w:left="102" w:right="118"/>
        <w:jc w:val="both"/>
      </w:pPr>
      <w:r>
        <w:rPr/>
        <w:t>Por lo tanto este trabajo de tesis se ubica dentro del contexto de discusión científica en torno a la IUL para resaltar los niveles que deben ser incluidos  cuando se realice un análisis de ella, que la mayoría de las veces se deja a un lado, y también para poner en la mesa de discusión la necesidad de abordar las prácticas científicas de la IUL como un elemento indispensable en su quehacer científico, sólo considerando estos ámbitos se podrá dar respuesta a las problemáticas que enfrenta la</w:t>
      </w:r>
      <w:r>
        <w:rPr>
          <w:spacing w:val="-14"/>
        </w:rPr>
        <w:t> </w:t>
      </w:r>
      <w:r>
        <w:rPr/>
        <w:t>IUL.</w:t>
      </w:r>
    </w:p>
    <w:p>
      <w:pPr>
        <w:pStyle w:val="BodyText"/>
      </w:pPr>
    </w:p>
    <w:p>
      <w:pPr>
        <w:pStyle w:val="BodyText"/>
        <w:spacing w:line="360" w:lineRule="auto" w:before="142"/>
        <w:ind w:left="102" w:right="118"/>
        <w:jc w:val="both"/>
      </w:pPr>
      <w:r>
        <w:rPr/>
        <w:t>También nos permitiría advertir que la elaboración de teorías, metodologías, modelos y conceptos se realiza dentro de una lógica de producción del conocimiento que continuará cambiando en las siguientes décadas a causa de un enfoque de una mayor productividad científica.</w:t>
      </w:r>
    </w:p>
    <w:p>
      <w:pPr>
        <w:pStyle w:val="BodyText"/>
      </w:pPr>
    </w:p>
    <w:p>
      <w:pPr>
        <w:pStyle w:val="BodyText"/>
        <w:spacing w:line="360" w:lineRule="auto" w:before="142"/>
        <w:ind w:left="102" w:right="115"/>
        <w:jc w:val="both"/>
      </w:pPr>
      <w:r>
        <w:rPr/>
        <w:t>A manera de acotación sobre el caso de estudio, </w:t>
      </w:r>
      <w:r>
        <w:rPr>
          <w:spacing w:val="3"/>
        </w:rPr>
        <w:t>si </w:t>
      </w:r>
      <w:r>
        <w:rPr/>
        <w:t>bien la IUL en su totalidad, desde el punto de vista de la producción científica, está conformada por libros, artículos y ponencias que son las principales formas en cuanto a los medios tradicionales; es necesario destacar que también están los medios alternativos  que se sustentan en el uso de las Tecnologías de Información y Comunicación (TIC´s), en este caso podemos hacer referencia a los </w:t>
      </w:r>
      <w:r>
        <w:rPr>
          <w:i/>
        </w:rPr>
        <w:t>e</w:t>
      </w:r>
      <w:r>
        <w:rPr/>
        <w:t>-</w:t>
      </w:r>
      <w:r>
        <w:rPr>
          <w:i/>
        </w:rPr>
        <w:t>prints</w:t>
      </w:r>
      <w:r>
        <w:rPr/>
        <w:t>, </w:t>
      </w:r>
      <w:r>
        <w:rPr>
          <w:i/>
        </w:rPr>
        <w:t>pre-prints</w:t>
      </w:r>
      <w:r>
        <w:rPr/>
        <w:t>, e-books  y</w:t>
      </w:r>
      <w:r>
        <w:rPr>
          <w:spacing w:val="-2"/>
        </w:rPr>
        <w:t> </w:t>
      </w:r>
      <w:r>
        <w:rPr>
          <w:i/>
        </w:rPr>
        <w:t>blogs</w:t>
      </w:r>
      <w:r>
        <w:rPr/>
        <w:t>.</w:t>
      </w:r>
    </w:p>
    <w:p>
      <w:pPr>
        <w:spacing w:after="0" w:line="360" w:lineRule="auto"/>
        <w:jc w:val="both"/>
        <w:sectPr>
          <w:pgSz w:w="12240" w:h="15840"/>
          <w:pgMar w:header="0" w:footer="689" w:top="1360" w:bottom="880" w:left="1600" w:right="1580"/>
        </w:sectPr>
      </w:pPr>
    </w:p>
    <w:p>
      <w:pPr>
        <w:pStyle w:val="BodyText"/>
        <w:spacing w:line="360" w:lineRule="auto" w:before="54"/>
        <w:ind w:left="102" w:right="118"/>
        <w:jc w:val="both"/>
      </w:pPr>
      <w:r>
        <w:rPr/>
        <w:t>De estas formas de difusión y divulgación del conocimiento científico destacan las revistas arbitradas como el medio de mayor reconocimiento entre los integrantes de la comunidad académica, y por los organismos evaluadores de la productividad científica, porque cuentan con estrictos procesos de dictaminación para su publicación —a diferencia de la mayoría de libros, ponencias que no son dictaminados— con lo cual se fortalece su cientificidad; además a lo largo de la historia de la investigación han obtenido un papel primordial y se convierten en el medio académico por excelencia.</w:t>
      </w:r>
    </w:p>
    <w:p>
      <w:pPr>
        <w:pStyle w:val="BodyText"/>
      </w:pPr>
    </w:p>
    <w:p>
      <w:pPr>
        <w:pStyle w:val="BodyText"/>
        <w:spacing w:line="360" w:lineRule="auto" w:before="142"/>
        <w:ind w:left="102" w:right="123"/>
        <w:jc w:val="both"/>
      </w:pPr>
      <w:r>
        <w:rPr/>
        <w:t>La publicación en revistas de prestigio es una dinámica de la que no puede escapar la IUL porque además de presentar sus resultados y permitir la existencia de canales de comunicación científica, también legitima su actividad.</w:t>
      </w:r>
    </w:p>
    <w:p>
      <w:pPr>
        <w:pStyle w:val="BodyText"/>
      </w:pPr>
    </w:p>
    <w:p>
      <w:pPr>
        <w:pStyle w:val="BodyText"/>
        <w:spacing w:line="360" w:lineRule="auto" w:before="142"/>
        <w:ind w:left="102" w:right="115"/>
        <w:jc w:val="both"/>
      </w:pPr>
      <w:r>
        <w:rPr/>
        <w:t>Para que una revista sea considerada de prestigio debe cumplir con procesos editoriales de calidad, sistema de dictaminación, años que lleva publicando sin interrupción (se han casos de revistas que sólo han cambiado su nombre y eso ha sido motivo para perder su antigüedad), y sobre todo el reconocimiento de la comunidad científica. Estos elementos son fundamentales para que las revistas ingresen a los repositorios y sistemas de información como el </w:t>
      </w:r>
      <w:r>
        <w:rPr>
          <w:i/>
        </w:rPr>
        <w:t>Web of Science </w:t>
      </w:r>
      <w:r>
        <w:rPr>
          <w:i/>
        </w:rPr>
        <w:t>(WoS) </w:t>
      </w:r>
      <w:r>
        <w:rPr/>
        <w:t>del </w:t>
      </w:r>
      <w:r>
        <w:rPr>
          <w:i/>
        </w:rPr>
        <w:t>Institute for Scientific Information </w:t>
      </w:r>
      <w:r>
        <w:rPr/>
        <w:t>(ISI) donde se encuentran las revistas de la corriente principal, es decir aquellas revistas que tienen un mayor impacto en sus respectivas áreas de investigación.</w:t>
      </w:r>
    </w:p>
    <w:p>
      <w:pPr>
        <w:pStyle w:val="BodyText"/>
      </w:pPr>
    </w:p>
    <w:p>
      <w:pPr>
        <w:pStyle w:val="BodyText"/>
        <w:spacing w:line="360" w:lineRule="auto" w:before="142"/>
        <w:ind w:left="102" w:right="114"/>
        <w:jc w:val="both"/>
      </w:pPr>
      <w:r>
        <w:rPr/>
        <w:t>La elección de la revista Eure como caso de estudio se debe principalmente al reconocimiento de la comunidad científica como una de las principales revistas en el estudio urbano y regional y porque en ella convergen temas de las disciplinas que integran a la IUL e impulsa estudios interdisciplinarios desde 1970. Desde 2001 EURE forma parte del </w:t>
      </w:r>
      <w:r>
        <w:rPr>
          <w:i/>
        </w:rPr>
        <w:t>Web of Science </w:t>
      </w:r>
      <w:r>
        <w:rPr/>
        <w:t>(WoS) y está ubicada en el área de </w:t>
      </w:r>
      <w:r>
        <w:rPr>
          <w:i/>
        </w:rPr>
        <w:t>urban studies, </w:t>
      </w:r>
      <w:r>
        <w:rPr/>
        <w:t>cabe resaltar que es la única revista latinoamericana incorporada  en esta</w:t>
      </w:r>
      <w:r>
        <w:rPr>
          <w:spacing w:val="-3"/>
        </w:rPr>
        <w:t> </w:t>
      </w:r>
      <w:r>
        <w:rPr/>
        <w:t>área.</w:t>
      </w:r>
    </w:p>
    <w:p>
      <w:pPr>
        <w:spacing w:after="0" w:line="360" w:lineRule="auto"/>
        <w:jc w:val="both"/>
        <w:sectPr>
          <w:pgSz w:w="12240" w:h="15840"/>
          <w:pgMar w:header="0" w:footer="689" w:top="1360" w:bottom="880" w:left="1600" w:right="1580"/>
        </w:sectPr>
      </w:pPr>
    </w:p>
    <w:p>
      <w:pPr>
        <w:pStyle w:val="BodyText"/>
        <w:spacing w:line="360" w:lineRule="auto" w:before="54"/>
        <w:ind w:left="102" w:right="123"/>
        <w:jc w:val="both"/>
      </w:pPr>
      <w:r>
        <w:rPr/>
        <w:t>Es necesario reconocer que si bien hay revistas con un importante prestigio por país, éstas aún no se encuentran en el WoS por lo cual no se podrían obtener las mediciones necesarias para su estudio y por tal motivo no fueron elegidas para este trabajo de tesis.</w:t>
      </w:r>
    </w:p>
    <w:p>
      <w:pPr>
        <w:pStyle w:val="BodyText"/>
      </w:pPr>
    </w:p>
    <w:p>
      <w:pPr>
        <w:pStyle w:val="BodyText"/>
        <w:spacing w:line="360" w:lineRule="auto" w:before="142"/>
        <w:ind w:left="102" w:right="115"/>
        <w:jc w:val="both"/>
      </w:pPr>
      <w:r>
        <w:rPr/>
        <w:t>Estos son algunos de los principales motivos por los cuales se seleccionó a Eure como caso de estudio, si bien esta elección puede tener algunas limitaciones y generar algunas controversias, es pertinente advertir que hasta el momento es la mejor opción para el estudio de la IUL en el marco de la corriente principal desde la perspectiva del WoS, suponemos que en el futuro las revistas de prestigio podrán incorporarse a este sistema y enriquecerán el panorama de investigación que aquí se</w:t>
      </w:r>
      <w:r>
        <w:rPr>
          <w:spacing w:val="-8"/>
        </w:rPr>
        <w:t> </w:t>
      </w:r>
      <w:r>
        <w:rPr/>
        <w:t>propone.</w:t>
      </w:r>
    </w:p>
    <w:p>
      <w:pPr>
        <w:pStyle w:val="BodyText"/>
      </w:pPr>
    </w:p>
    <w:p>
      <w:pPr>
        <w:pStyle w:val="BodyText"/>
        <w:spacing w:line="360" w:lineRule="auto" w:before="142"/>
        <w:ind w:left="102" w:right="116"/>
        <w:jc w:val="both"/>
      </w:pPr>
      <w:r>
        <w:rPr/>
        <w:t>La IUL es todo un mar de conocimiento que para poder observarlo es necesario un nivel de abstracción mayor y por eso la necesidad de un enfoque metateórico; esta propuesta es la que a grandes razgos se ha mencionado en este apartado a partir de las principales aportaciones de este trabajo de investigación, las cuales  también nos han ayudado a conocer la visión de esta tesis y sobre ella integrar cada uno de los capítulos que la</w:t>
      </w:r>
      <w:r>
        <w:rPr>
          <w:spacing w:val="-12"/>
        </w:rPr>
        <w:t> </w:t>
      </w:r>
      <w:r>
        <w:rPr/>
        <w:t>constituyen.</w:t>
      </w:r>
    </w:p>
    <w:p>
      <w:pPr>
        <w:spacing w:after="0" w:line="360" w:lineRule="auto"/>
        <w:jc w:val="both"/>
        <w:sectPr>
          <w:pgSz w:w="12240" w:h="15840"/>
          <w:pgMar w:header="0" w:footer="689" w:top="1360" w:bottom="8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pStyle w:val="Heading1"/>
        <w:spacing w:before="69"/>
        <w:ind w:left="46" w:right="103"/>
      </w:pPr>
      <w:r>
        <w:rPr/>
        <w:t>Agradecimientos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52"/>
        <w:ind w:left="99" w:right="103"/>
        <w:jc w:val="center"/>
      </w:pPr>
      <w:r>
        <w:rPr/>
        <w:t>Al Dr. Juan José Gutiérrez Chaparro por impulsar este tema de investigación y por</w:t>
      </w:r>
    </w:p>
    <w:p>
      <w:pPr>
        <w:pStyle w:val="BodyText"/>
        <w:spacing w:before="139"/>
        <w:ind w:left="1310" w:firstLine="4882"/>
      </w:pPr>
      <w:r>
        <w:rPr/>
        <w:t>todas sus observaciones.</w:t>
      </w:r>
    </w:p>
    <w:p>
      <w:pPr>
        <w:pStyle w:val="BodyText"/>
      </w:pPr>
    </w:p>
    <w:p>
      <w:pPr>
        <w:pStyle w:val="BodyText"/>
      </w:pPr>
    </w:p>
    <w:p>
      <w:pPr>
        <w:pStyle w:val="BodyText"/>
        <w:spacing w:line="360" w:lineRule="auto"/>
        <w:ind w:left="3549" w:right="100" w:hanging="2240"/>
      </w:pPr>
      <w:r>
        <w:rPr/>
        <w:t>Al Consejo Nacional de Ciencia y Tecnología (CONACYT) por el apoyo proporcionado durante mis estudios de doctorado.</w:t>
      </w:r>
    </w:p>
    <w:p>
      <w:pPr>
        <w:pStyle w:val="BodyText"/>
      </w:pPr>
    </w:p>
    <w:p>
      <w:pPr>
        <w:pStyle w:val="BodyText"/>
        <w:spacing w:before="142"/>
        <w:ind w:left="3228"/>
      </w:pPr>
      <w:r>
        <w:rPr/>
        <w:t>A los revisores por sus observaciones y comentarios.</w:t>
      </w:r>
    </w:p>
    <w:p>
      <w:pPr>
        <w:spacing w:after="0"/>
        <w:sectPr>
          <w:pgSz w:w="12240" w:h="15840"/>
          <w:pgMar w:header="0" w:footer="689" w:top="1500" w:bottom="880" w:left="1640" w:right="1580"/>
        </w:sectPr>
      </w:pPr>
    </w:p>
    <w:p>
      <w:pPr>
        <w:pStyle w:val="Heading1"/>
        <w:spacing w:before="54"/>
        <w:ind w:left="2385" w:right="2385"/>
      </w:pPr>
      <w:r>
        <w:rPr/>
        <w:t>Índice General</w:t>
      </w:r>
    </w:p>
    <w:p>
      <w:pPr>
        <w:pStyle w:val="BodyText"/>
        <w:spacing w:before="8" w:after="1"/>
        <w:rPr>
          <w:b/>
          <w:sz w:val="14"/>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09"/>
        <w:gridCol w:w="1542"/>
      </w:tblGrid>
      <w:tr>
        <w:trPr>
          <w:trHeight w:val="278" w:hRule="exact"/>
        </w:trPr>
        <w:tc>
          <w:tcPr>
            <w:tcW w:w="7309" w:type="dxa"/>
          </w:tcPr>
          <w:p>
            <w:pPr/>
          </w:p>
        </w:tc>
        <w:tc>
          <w:tcPr>
            <w:tcW w:w="1542" w:type="dxa"/>
          </w:tcPr>
          <w:p>
            <w:pPr>
              <w:pStyle w:val="TableParagraph"/>
              <w:spacing w:line="245" w:lineRule="exact"/>
              <w:ind w:left="533" w:right="180"/>
              <w:jc w:val="center"/>
              <w:rPr>
                <w:b/>
                <w:sz w:val="24"/>
              </w:rPr>
            </w:pPr>
            <w:r>
              <w:rPr>
                <w:b/>
                <w:sz w:val="24"/>
              </w:rPr>
              <w:t>Página</w:t>
            </w:r>
          </w:p>
        </w:tc>
      </w:tr>
      <w:tr>
        <w:trPr>
          <w:trHeight w:val="476" w:hRule="exact"/>
        </w:trPr>
        <w:tc>
          <w:tcPr>
            <w:tcW w:w="7309" w:type="dxa"/>
          </w:tcPr>
          <w:p>
            <w:pPr>
              <w:pStyle w:val="TableParagraph"/>
              <w:spacing w:before="7"/>
              <w:ind w:left="200" w:right="792"/>
              <w:rPr>
                <w:b/>
                <w:sz w:val="24"/>
              </w:rPr>
            </w:pPr>
            <w:r>
              <w:rPr>
                <w:b/>
                <w:sz w:val="24"/>
              </w:rPr>
              <w:t>Introducción</w:t>
            </w:r>
          </w:p>
        </w:tc>
        <w:tc>
          <w:tcPr>
            <w:tcW w:w="1542" w:type="dxa"/>
          </w:tcPr>
          <w:p>
            <w:pPr/>
          </w:p>
        </w:tc>
      </w:tr>
      <w:tr>
        <w:trPr>
          <w:trHeight w:val="476" w:hRule="exact"/>
        </w:trPr>
        <w:tc>
          <w:tcPr>
            <w:tcW w:w="7309" w:type="dxa"/>
          </w:tcPr>
          <w:p>
            <w:pPr>
              <w:pStyle w:val="TableParagraph"/>
              <w:spacing w:before="167"/>
              <w:ind w:left="200" w:right="792"/>
              <w:rPr>
                <w:b/>
                <w:sz w:val="24"/>
              </w:rPr>
            </w:pPr>
            <w:r>
              <w:rPr>
                <w:b/>
                <w:sz w:val="24"/>
              </w:rPr>
              <w:t>Capítulo I.  Propuesta Metateórica</w:t>
            </w:r>
          </w:p>
        </w:tc>
        <w:tc>
          <w:tcPr>
            <w:tcW w:w="1542" w:type="dxa"/>
          </w:tcPr>
          <w:p>
            <w:pPr/>
          </w:p>
        </w:tc>
      </w:tr>
      <w:tr>
        <w:trPr>
          <w:trHeight w:val="317" w:hRule="exact"/>
        </w:trPr>
        <w:tc>
          <w:tcPr>
            <w:tcW w:w="7309" w:type="dxa"/>
          </w:tcPr>
          <w:p>
            <w:pPr>
              <w:pStyle w:val="TableParagraph"/>
              <w:spacing w:before="7"/>
              <w:ind w:left="200" w:right="792"/>
              <w:rPr>
                <w:sz w:val="24"/>
              </w:rPr>
            </w:pPr>
            <w:r>
              <w:rPr>
                <w:sz w:val="24"/>
              </w:rPr>
              <w:t>1.1. Filosofía de la ciencia</w:t>
            </w:r>
          </w:p>
        </w:tc>
        <w:tc>
          <w:tcPr>
            <w:tcW w:w="1542" w:type="dxa"/>
          </w:tcPr>
          <w:p>
            <w:pPr>
              <w:pStyle w:val="TableParagraph"/>
              <w:spacing w:before="7"/>
              <w:ind w:left="532" w:right="180"/>
              <w:jc w:val="center"/>
              <w:rPr>
                <w:sz w:val="24"/>
              </w:rPr>
            </w:pPr>
            <w:r>
              <w:rPr>
                <w:sz w:val="24"/>
              </w:rPr>
              <w:t>34</w:t>
            </w:r>
          </w:p>
        </w:tc>
      </w:tr>
      <w:tr>
        <w:trPr>
          <w:trHeight w:val="317" w:hRule="exact"/>
        </w:trPr>
        <w:tc>
          <w:tcPr>
            <w:tcW w:w="7309" w:type="dxa"/>
          </w:tcPr>
          <w:p>
            <w:pPr>
              <w:pStyle w:val="TableParagraph"/>
              <w:spacing w:before="7"/>
              <w:ind w:left="200" w:right="792"/>
              <w:rPr>
                <w:sz w:val="24"/>
              </w:rPr>
            </w:pPr>
            <w:r>
              <w:rPr>
                <w:sz w:val="24"/>
              </w:rPr>
              <w:t>1.1.a. Origen de la Filosofía de la Ciencia</w:t>
            </w:r>
          </w:p>
        </w:tc>
        <w:tc>
          <w:tcPr>
            <w:tcW w:w="1542" w:type="dxa"/>
          </w:tcPr>
          <w:p>
            <w:pPr>
              <w:pStyle w:val="TableParagraph"/>
              <w:spacing w:before="7"/>
              <w:ind w:left="531" w:right="180"/>
              <w:jc w:val="center"/>
              <w:rPr>
                <w:sz w:val="24"/>
              </w:rPr>
            </w:pPr>
            <w:r>
              <w:rPr>
                <w:sz w:val="24"/>
              </w:rPr>
              <w:t>38</w:t>
            </w:r>
          </w:p>
        </w:tc>
      </w:tr>
      <w:tr>
        <w:trPr>
          <w:trHeight w:val="319" w:hRule="exact"/>
        </w:trPr>
        <w:tc>
          <w:tcPr>
            <w:tcW w:w="7309" w:type="dxa"/>
          </w:tcPr>
          <w:p>
            <w:pPr>
              <w:pStyle w:val="TableParagraph"/>
              <w:spacing w:before="7"/>
              <w:ind w:left="200" w:right="792"/>
              <w:rPr>
                <w:sz w:val="24"/>
              </w:rPr>
            </w:pPr>
            <w:r>
              <w:rPr>
                <w:sz w:val="24"/>
              </w:rPr>
              <w:t>1.1.b. Reunificación entre filosofía e historia de la ciencia</w:t>
            </w:r>
          </w:p>
        </w:tc>
        <w:tc>
          <w:tcPr>
            <w:tcW w:w="1542" w:type="dxa"/>
          </w:tcPr>
          <w:p>
            <w:pPr>
              <w:pStyle w:val="TableParagraph"/>
              <w:spacing w:before="7"/>
              <w:ind w:left="532" w:right="180"/>
              <w:jc w:val="center"/>
              <w:rPr>
                <w:sz w:val="24"/>
              </w:rPr>
            </w:pPr>
            <w:r>
              <w:rPr>
                <w:sz w:val="24"/>
              </w:rPr>
              <w:t>42</w:t>
            </w:r>
          </w:p>
        </w:tc>
      </w:tr>
      <w:tr>
        <w:trPr>
          <w:trHeight w:val="636" w:hRule="exact"/>
        </w:trPr>
        <w:tc>
          <w:tcPr>
            <w:tcW w:w="7309" w:type="dxa"/>
          </w:tcPr>
          <w:p>
            <w:pPr>
              <w:pStyle w:val="TableParagraph"/>
              <w:spacing w:line="276" w:lineRule="auto" w:before="10"/>
              <w:ind w:left="200" w:right="792"/>
              <w:rPr>
                <w:sz w:val="24"/>
              </w:rPr>
            </w:pPr>
            <w:r>
              <w:rPr>
                <w:sz w:val="24"/>
              </w:rPr>
              <w:t>1.1.c. Demarcación disciplinar entre filosofía de la ciencia y epistemología</w:t>
            </w:r>
          </w:p>
        </w:tc>
        <w:tc>
          <w:tcPr>
            <w:tcW w:w="1542" w:type="dxa"/>
          </w:tcPr>
          <w:p>
            <w:pPr>
              <w:pStyle w:val="TableParagraph"/>
              <w:spacing w:before="10"/>
              <w:ind w:left="532" w:right="180"/>
              <w:jc w:val="center"/>
              <w:rPr>
                <w:sz w:val="24"/>
              </w:rPr>
            </w:pPr>
            <w:r>
              <w:rPr>
                <w:sz w:val="24"/>
              </w:rPr>
              <w:t>47</w:t>
            </w:r>
          </w:p>
        </w:tc>
      </w:tr>
      <w:tr>
        <w:trPr>
          <w:trHeight w:val="317" w:hRule="exact"/>
        </w:trPr>
        <w:tc>
          <w:tcPr>
            <w:tcW w:w="7309" w:type="dxa"/>
          </w:tcPr>
          <w:p>
            <w:pPr>
              <w:pStyle w:val="TableParagraph"/>
              <w:spacing w:before="8"/>
              <w:ind w:left="200" w:right="792"/>
              <w:rPr>
                <w:sz w:val="24"/>
              </w:rPr>
            </w:pPr>
            <w:r>
              <w:rPr>
                <w:sz w:val="24"/>
              </w:rPr>
              <w:t>1.2. Aspectos de la ciencia</w:t>
            </w:r>
          </w:p>
        </w:tc>
        <w:tc>
          <w:tcPr>
            <w:tcW w:w="1542" w:type="dxa"/>
          </w:tcPr>
          <w:p>
            <w:pPr>
              <w:pStyle w:val="TableParagraph"/>
              <w:spacing w:before="8"/>
              <w:ind w:left="531" w:right="180"/>
              <w:jc w:val="center"/>
              <w:rPr>
                <w:sz w:val="24"/>
              </w:rPr>
            </w:pPr>
            <w:r>
              <w:rPr>
                <w:sz w:val="24"/>
              </w:rPr>
              <w:t>48</w:t>
            </w:r>
          </w:p>
        </w:tc>
      </w:tr>
      <w:tr>
        <w:trPr>
          <w:trHeight w:val="476" w:hRule="exact"/>
        </w:trPr>
        <w:tc>
          <w:tcPr>
            <w:tcW w:w="7309" w:type="dxa"/>
          </w:tcPr>
          <w:p>
            <w:pPr>
              <w:pStyle w:val="TableParagraph"/>
              <w:spacing w:before="7"/>
              <w:ind w:left="200" w:right="792"/>
              <w:rPr>
                <w:sz w:val="24"/>
              </w:rPr>
            </w:pPr>
            <w:r>
              <w:rPr>
                <w:sz w:val="24"/>
              </w:rPr>
              <w:t>1.3. Paradigmas de la ciencia</w:t>
            </w:r>
          </w:p>
        </w:tc>
        <w:tc>
          <w:tcPr>
            <w:tcW w:w="1542" w:type="dxa"/>
          </w:tcPr>
          <w:p>
            <w:pPr>
              <w:pStyle w:val="TableParagraph"/>
              <w:spacing w:before="7"/>
              <w:ind w:left="531" w:right="180"/>
              <w:jc w:val="center"/>
              <w:rPr>
                <w:sz w:val="24"/>
              </w:rPr>
            </w:pPr>
            <w:r>
              <w:rPr>
                <w:sz w:val="24"/>
              </w:rPr>
              <w:t>55</w:t>
            </w:r>
          </w:p>
        </w:tc>
      </w:tr>
      <w:tr>
        <w:trPr>
          <w:trHeight w:val="476" w:hRule="exact"/>
        </w:trPr>
        <w:tc>
          <w:tcPr>
            <w:tcW w:w="7309" w:type="dxa"/>
          </w:tcPr>
          <w:p>
            <w:pPr>
              <w:pStyle w:val="TableParagraph"/>
              <w:spacing w:before="167"/>
              <w:ind w:left="200" w:right="792"/>
              <w:rPr>
                <w:b/>
                <w:sz w:val="24"/>
              </w:rPr>
            </w:pPr>
            <w:r>
              <w:rPr>
                <w:b/>
                <w:sz w:val="24"/>
              </w:rPr>
              <w:t>Capítulo II. Ciencia social y disciplinas sociales</w:t>
            </w:r>
          </w:p>
        </w:tc>
        <w:tc>
          <w:tcPr>
            <w:tcW w:w="1542" w:type="dxa"/>
          </w:tcPr>
          <w:p>
            <w:pPr/>
          </w:p>
        </w:tc>
      </w:tr>
      <w:tr>
        <w:trPr>
          <w:trHeight w:val="318" w:hRule="exact"/>
        </w:trPr>
        <w:tc>
          <w:tcPr>
            <w:tcW w:w="7309" w:type="dxa"/>
          </w:tcPr>
          <w:p>
            <w:pPr>
              <w:pStyle w:val="TableParagraph"/>
              <w:spacing w:before="7"/>
              <w:ind w:left="200" w:right="792"/>
              <w:rPr>
                <w:sz w:val="24"/>
              </w:rPr>
            </w:pPr>
            <w:r>
              <w:rPr>
                <w:sz w:val="24"/>
              </w:rPr>
              <w:t>2.1 Surgimiento de las disciplinas científicas</w:t>
            </w:r>
          </w:p>
        </w:tc>
        <w:tc>
          <w:tcPr>
            <w:tcW w:w="1542" w:type="dxa"/>
          </w:tcPr>
          <w:p>
            <w:pPr>
              <w:pStyle w:val="TableParagraph"/>
              <w:spacing w:before="7"/>
              <w:ind w:left="531" w:right="180"/>
              <w:jc w:val="center"/>
              <w:rPr>
                <w:sz w:val="24"/>
              </w:rPr>
            </w:pPr>
            <w:r>
              <w:rPr>
                <w:sz w:val="24"/>
              </w:rPr>
              <w:t>65</w:t>
            </w:r>
          </w:p>
        </w:tc>
      </w:tr>
      <w:tr>
        <w:trPr>
          <w:trHeight w:val="367" w:hRule="exact"/>
        </w:trPr>
        <w:tc>
          <w:tcPr>
            <w:tcW w:w="7309" w:type="dxa"/>
          </w:tcPr>
          <w:p>
            <w:pPr>
              <w:pStyle w:val="TableParagraph"/>
              <w:spacing w:before="9"/>
              <w:ind w:left="200" w:right="792"/>
              <w:rPr>
                <w:sz w:val="24"/>
              </w:rPr>
            </w:pPr>
            <w:r>
              <w:rPr>
                <w:sz w:val="24"/>
              </w:rPr>
              <w:t>2.2 Surgimiento de las disciplinas científicas sociales</w:t>
            </w:r>
          </w:p>
        </w:tc>
        <w:tc>
          <w:tcPr>
            <w:tcW w:w="1542" w:type="dxa"/>
          </w:tcPr>
          <w:p>
            <w:pPr>
              <w:pStyle w:val="TableParagraph"/>
              <w:spacing w:before="9"/>
              <w:ind w:left="532" w:right="180"/>
              <w:jc w:val="center"/>
              <w:rPr>
                <w:sz w:val="24"/>
              </w:rPr>
            </w:pPr>
            <w:r>
              <w:rPr>
                <w:sz w:val="24"/>
              </w:rPr>
              <w:t>69</w:t>
            </w:r>
          </w:p>
        </w:tc>
      </w:tr>
      <w:tr>
        <w:trPr>
          <w:trHeight w:val="575" w:hRule="exact"/>
        </w:trPr>
        <w:tc>
          <w:tcPr>
            <w:tcW w:w="7309" w:type="dxa"/>
          </w:tcPr>
          <w:p>
            <w:pPr>
              <w:pStyle w:val="TableParagraph"/>
              <w:spacing w:before="57"/>
              <w:ind w:left="200" w:right="792"/>
              <w:rPr>
                <w:sz w:val="24"/>
              </w:rPr>
            </w:pPr>
            <w:r>
              <w:rPr>
                <w:sz w:val="24"/>
              </w:rPr>
              <w:t>2.3. Disciplinas científicas sociales en el siglo XXI</w:t>
            </w:r>
          </w:p>
        </w:tc>
        <w:tc>
          <w:tcPr>
            <w:tcW w:w="1542" w:type="dxa"/>
          </w:tcPr>
          <w:p>
            <w:pPr>
              <w:pStyle w:val="TableParagraph"/>
              <w:spacing w:before="57"/>
              <w:ind w:left="532" w:right="180"/>
              <w:jc w:val="center"/>
              <w:rPr>
                <w:sz w:val="24"/>
              </w:rPr>
            </w:pPr>
            <w:r>
              <w:rPr>
                <w:sz w:val="24"/>
              </w:rPr>
              <w:t>81</w:t>
            </w:r>
          </w:p>
        </w:tc>
      </w:tr>
      <w:tr>
        <w:trPr>
          <w:trHeight w:val="526" w:hRule="exact"/>
        </w:trPr>
        <w:tc>
          <w:tcPr>
            <w:tcW w:w="7309" w:type="dxa"/>
          </w:tcPr>
          <w:p>
            <w:pPr>
              <w:pStyle w:val="TableParagraph"/>
              <w:spacing w:before="9"/>
              <w:rPr>
                <w:b/>
                <w:sz w:val="18"/>
              </w:rPr>
            </w:pPr>
          </w:p>
          <w:p>
            <w:pPr>
              <w:pStyle w:val="TableParagraph"/>
              <w:ind w:left="200" w:right="792"/>
              <w:rPr>
                <w:b/>
                <w:sz w:val="24"/>
              </w:rPr>
            </w:pPr>
            <w:r>
              <w:rPr>
                <w:b/>
                <w:sz w:val="24"/>
              </w:rPr>
              <w:t>Capítulo III. Investigación urbana en Latinoamérica</w:t>
            </w:r>
          </w:p>
        </w:tc>
        <w:tc>
          <w:tcPr>
            <w:tcW w:w="1542" w:type="dxa"/>
          </w:tcPr>
          <w:p>
            <w:pPr/>
          </w:p>
        </w:tc>
      </w:tr>
      <w:tr>
        <w:trPr>
          <w:trHeight w:val="317" w:hRule="exact"/>
        </w:trPr>
        <w:tc>
          <w:tcPr>
            <w:tcW w:w="7309" w:type="dxa"/>
          </w:tcPr>
          <w:p>
            <w:pPr>
              <w:pStyle w:val="TableParagraph"/>
              <w:spacing w:before="8"/>
              <w:ind w:left="200" w:right="792"/>
              <w:rPr>
                <w:sz w:val="24"/>
              </w:rPr>
            </w:pPr>
            <w:r>
              <w:rPr>
                <w:sz w:val="24"/>
              </w:rPr>
              <w:t>3.1 La investigación urbana en Latinoamérica</w:t>
            </w:r>
          </w:p>
        </w:tc>
        <w:tc>
          <w:tcPr>
            <w:tcW w:w="1542" w:type="dxa"/>
          </w:tcPr>
          <w:p>
            <w:pPr>
              <w:pStyle w:val="TableParagraph"/>
              <w:spacing w:before="8"/>
              <w:ind w:left="532" w:right="180"/>
              <w:jc w:val="center"/>
              <w:rPr>
                <w:sz w:val="24"/>
              </w:rPr>
            </w:pPr>
            <w:r>
              <w:rPr>
                <w:sz w:val="24"/>
              </w:rPr>
              <w:t>90</w:t>
            </w:r>
          </w:p>
        </w:tc>
      </w:tr>
      <w:tr>
        <w:trPr>
          <w:trHeight w:val="278" w:hRule="exact"/>
        </w:trPr>
        <w:tc>
          <w:tcPr>
            <w:tcW w:w="7309" w:type="dxa"/>
          </w:tcPr>
          <w:p>
            <w:pPr>
              <w:pStyle w:val="TableParagraph"/>
              <w:spacing w:before="7"/>
              <w:ind w:left="200" w:right="792"/>
              <w:rPr>
                <w:sz w:val="24"/>
              </w:rPr>
            </w:pPr>
            <w:r>
              <w:rPr>
                <w:sz w:val="24"/>
              </w:rPr>
              <w:t>3.2 Disciplinas de la investigación urbana</w:t>
            </w:r>
          </w:p>
        </w:tc>
        <w:tc>
          <w:tcPr>
            <w:tcW w:w="1542" w:type="dxa"/>
          </w:tcPr>
          <w:p>
            <w:pPr>
              <w:pStyle w:val="TableParagraph"/>
              <w:spacing w:before="7"/>
              <w:ind w:left="531" w:right="180"/>
              <w:jc w:val="center"/>
              <w:rPr>
                <w:sz w:val="24"/>
              </w:rPr>
            </w:pPr>
            <w:r>
              <w:rPr>
                <w:sz w:val="24"/>
              </w:rPr>
              <w:t>98</w:t>
            </w:r>
          </w:p>
        </w:tc>
      </w:tr>
    </w:tbl>
    <w:p>
      <w:pPr>
        <w:pStyle w:val="BodyText"/>
        <w:rPr>
          <w:b/>
          <w:sz w:val="20"/>
        </w:rPr>
      </w:pPr>
    </w:p>
    <w:p>
      <w:pPr>
        <w:pStyle w:val="BodyText"/>
        <w:spacing w:before="5"/>
        <w:rPr>
          <w:b/>
          <w:sz w:val="14"/>
        </w:rPr>
      </w:pPr>
    </w:p>
    <w:tbl>
      <w:tblPr>
        <w:tblW w:w="0" w:type="auto"/>
        <w:jc w:val="left"/>
        <w:tblInd w:w="1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78"/>
        <w:gridCol w:w="1487"/>
      </w:tblGrid>
      <w:tr>
        <w:trPr>
          <w:trHeight w:val="278" w:hRule="exact"/>
        </w:trPr>
        <w:tc>
          <w:tcPr>
            <w:tcW w:w="7178" w:type="dxa"/>
          </w:tcPr>
          <w:p>
            <w:pPr>
              <w:pStyle w:val="TableParagraph"/>
              <w:spacing w:line="245" w:lineRule="exact"/>
              <w:ind w:left="200"/>
              <w:rPr>
                <w:b/>
                <w:sz w:val="24"/>
              </w:rPr>
            </w:pPr>
            <w:r>
              <w:rPr>
                <w:b/>
                <w:sz w:val="24"/>
              </w:rPr>
              <w:t>Capítulo IV. Difusión de la ciencia</w:t>
            </w:r>
          </w:p>
        </w:tc>
        <w:tc>
          <w:tcPr>
            <w:tcW w:w="1487" w:type="dxa"/>
          </w:tcPr>
          <w:p>
            <w:pPr/>
          </w:p>
        </w:tc>
      </w:tr>
      <w:tr>
        <w:trPr>
          <w:trHeight w:val="317" w:hRule="exact"/>
        </w:trPr>
        <w:tc>
          <w:tcPr>
            <w:tcW w:w="7178" w:type="dxa"/>
          </w:tcPr>
          <w:p>
            <w:pPr>
              <w:pStyle w:val="TableParagraph"/>
              <w:spacing w:before="7"/>
              <w:ind w:left="200"/>
              <w:rPr>
                <w:sz w:val="24"/>
              </w:rPr>
            </w:pPr>
            <w:r>
              <w:rPr>
                <w:sz w:val="24"/>
              </w:rPr>
              <w:t>4.1 Prácticas científicas</w:t>
            </w:r>
          </w:p>
        </w:tc>
        <w:tc>
          <w:tcPr>
            <w:tcW w:w="1487" w:type="dxa"/>
          </w:tcPr>
          <w:p>
            <w:pPr>
              <w:pStyle w:val="TableParagraph"/>
              <w:spacing w:before="7"/>
              <w:ind w:right="198"/>
              <w:jc w:val="right"/>
              <w:rPr>
                <w:sz w:val="24"/>
              </w:rPr>
            </w:pPr>
            <w:r>
              <w:rPr>
                <w:w w:val="95"/>
                <w:sz w:val="24"/>
              </w:rPr>
              <w:t>114</w:t>
            </w:r>
          </w:p>
        </w:tc>
      </w:tr>
      <w:tr>
        <w:trPr>
          <w:trHeight w:val="317" w:hRule="exact"/>
        </w:trPr>
        <w:tc>
          <w:tcPr>
            <w:tcW w:w="7178" w:type="dxa"/>
          </w:tcPr>
          <w:p>
            <w:pPr>
              <w:pStyle w:val="TableParagraph"/>
              <w:spacing w:before="7"/>
              <w:ind w:left="200"/>
              <w:rPr>
                <w:sz w:val="24"/>
              </w:rPr>
            </w:pPr>
            <w:r>
              <w:rPr>
                <w:sz w:val="24"/>
              </w:rPr>
              <w:t>4.2 Conocimiento científico y construcción de su discurso</w:t>
            </w:r>
          </w:p>
        </w:tc>
        <w:tc>
          <w:tcPr>
            <w:tcW w:w="1487" w:type="dxa"/>
          </w:tcPr>
          <w:p>
            <w:pPr>
              <w:pStyle w:val="TableParagraph"/>
              <w:spacing w:before="7"/>
              <w:ind w:right="198"/>
              <w:jc w:val="right"/>
              <w:rPr>
                <w:sz w:val="24"/>
              </w:rPr>
            </w:pPr>
            <w:r>
              <w:rPr>
                <w:w w:val="95"/>
                <w:sz w:val="24"/>
              </w:rPr>
              <w:t>120</w:t>
            </w:r>
          </w:p>
        </w:tc>
      </w:tr>
      <w:tr>
        <w:trPr>
          <w:trHeight w:val="278" w:hRule="exact"/>
        </w:trPr>
        <w:tc>
          <w:tcPr>
            <w:tcW w:w="7178" w:type="dxa"/>
          </w:tcPr>
          <w:p>
            <w:pPr>
              <w:pStyle w:val="TableParagraph"/>
              <w:spacing w:before="7"/>
              <w:ind w:left="200"/>
              <w:rPr>
                <w:sz w:val="24"/>
              </w:rPr>
            </w:pPr>
            <w:r>
              <w:rPr>
                <w:sz w:val="24"/>
              </w:rPr>
              <w:t>4.3 Comunicación científica a principios del siglo XXI</w:t>
            </w:r>
          </w:p>
        </w:tc>
        <w:tc>
          <w:tcPr>
            <w:tcW w:w="1487" w:type="dxa"/>
          </w:tcPr>
          <w:p>
            <w:pPr>
              <w:pStyle w:val="TableParagraph"/>
              <w:spacing w:before="7"/>
              <w:ind w:right="198"/>
              <w:jc w:val="right"/>
              <w:rPr>
                <w:sz w:val="24"/>
              </w:rPr>
            </w:pPr>
            <w:r>
              <w:rPr>
                <w:w w:val="95"/>
                <w:sz w:val="24"/>
              </w:rPr>
              <w:t>126</w:t>
            </w:r>
          </w:p>
        </w:tc>
      </w:tr>
    </w:tbl>
    <w:p>
      <w:pPr>
        <w:pStyle w:val="BodyText"/>
        <w:rPr>
          <w:b/>
          <w:sz w:val="20"/>
        </w:rPr>
      </w:pPr>
    </w:p>
    <w:p>
      <w:pPr>
        <w:pStyle w:val="BodyText"/>
        <w:spacing w:before="5"/>
        <w:rPr>
          <w:b/>
          <w:sz w:val="14"/>
        </w:rPr>
      </w:pPr>
    </w:p>
    <w:tbl>
      <w:tblPr>
        <w:tblW w:w="0" w:type="auto"/>
        <w:jc w:val="left"/>
        <w:tblInd w:w="2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2"/>
        <w:gridCol w:w="2255"/>
      </w:tblGrid>
      <w:tr>
        <w:trPr>
          <w:trHeight w:val="437" w:hRule="exact"/>
        </w:trPr>
        <w:tc>
          <w:tcPr>
            <w:tcW w:w="6292" w:type="dxa"/>
          </w:tcPr>
          <w:p>
            <w:pPr>
              <w:pStyle w:val="TableParagraph"/>
              <w:spacing w:line="245" w:lineRule="exact"/>
              <w:ind w:left="200"/>
              <w:rPr>
                <w:b/>
                <w:sz w:val="24"/>
              </w:rPr>
            </w:pPr>
            <w:r>
              <w:rPr>
                <w:b/>
                <w:sz w:val="24"/>
              </w:rPr>
              <w:t>Capítulo V. Eure como caso de estudio</w:t>
            </w:r>
          </w:p>
        </w:tc>
        <w:tc>
          <w:tcPr>
            <w:tcW w:w="2255" w:type="dxa"/>
          </w:tcPr>
          <w:p>
            <w:pPr>
              <w:pStyle w:val="TableParagraph"/>
              <w:spacing w:line="245" w:lineRule="exact"/>
              <w:ind w:right="199"/>
              <w:jc w:val="right"/>
              <w:rPr>
                <w:sz w:val="24"/>
              </w:rPr>
            </w:pPr>
            <w:r>
              <w:rPr>
                <w:w w:val="95"/>
                <w:sz w:val="24"/>
              </w:rPr>
              <w:t>135</w:t>
            </w:r>
          </w:p>
        </w:tc>
      </w:tr>
      <w:tr>
        <w:trPr>
          <w:trHeight w:val="635" w:hRule="exact"/>
        </w:trPr>
        <w:tc>
          <w:tcPr>
            <w:tcW w:w="6292" w:type="dxa"/>
          </w:tcPr>
          <w:p>
            <w:pPr>
              <w:pStyle w:val="TableParagraph"/>
              <w:spacing w:before="166"/>
              <w:ind w:left="200"/>
              <w:rPr>
                <w:b/>
                <w:sz w:val="24"/>
              </w:rPr>
            </w:pPr>
            <w:r>
              <w:rPr>
                <w:b/>
                <w:sz w:val="24"/>
              </w:rPr>
              <w:t>Discusión y Conclusiones</w:t>
            </w:r>
          </w:p>
        </w:tc>
        <w:tc>
          <w:tcPr>
            <w:tcW w:w="2255" w:type="dxa"/>
          </w:tcPr>
          <w:p>
            <w:pPr>
              <w:pStyle w:val="TableParagraph"/>
              <w:spacing w:before="166"/>
              <w:ind w:right="199"/>
              <w:jc w:val="right"/>
              <w:rPr>
                <w:sz w:val="24"/>
              </w:rPr>
            </w:pPr>
            <w:r>
              <w:rPr>
                <w:w w:val="95"/>
                <w:sz w:val="24"/>
              </w:rPr>
              <w:t>155</w:t>
            </w:r>
          </w:p>
        </w:tc>
      </w:tr>
      <w:tr>
        <w:trPr>
          <w:trHeight w:val="638" w:hRule="exact"/>
        </w:trPr>
        <w:tc>
          <w:tcPr>
            <w:tcW w:w="6292" w:type="dxa"/>
          </w:tcPr>
          <w:p>
            <w:pPr>
              <w:pStyle w:val="TableParagraph"/>
              <w:spacing w:before="167"/>
              <w:ind w:left="200"/>
              <w:rPr>
                <w:b/>
                <w:sz w:val="24"/>
              </w:rPr>
            </w:pPr>
            <w:r>
              <w:rPr>
                <w:b/>
                <w:sz w:val="24"/>
              </w:rPr>
              <w:t>Referencias bibliográficas</w:t>
            </w:r>
          </w:p>
        </w:tc>
        <w:tc>
          <w:tcPr>
            <w:tcW w:w="2255" w:type="dxa"/>
          </w:tcPr>
          <w:p>
            <w:pPr>
              <w:pStyle w:val="TableParagraph"/>
              <w:spacing w:before="167"/>
              <w:ind w:right="199"/>
              <w:jc w:val="right"/>
              <w:rPr>
                <w:sz w:val="24"/>
              </w:rPr>
            </w:pPr>
            <w:r>
              <w:rPr>
                <w:w w:val="95"/>
                <w:sz w:val="24"/>
              </w:rPr>
              <w:t>166</w:t>
            </w:r>
          </w:p>
        </w:tc>
      </w:tr>
      <w:tr>
        <w:trPr>
          <w:trHeight w:val="480" w:hRule="exact"/>
        </w:trPr>
        <w:tc>
          <w:tcPr>
            <w:tcW w:w="6292" w:type="dxa"/>
          </w:tcPr>
          <w:p>
            <w:pPr>
              <w:pStyle w:val="TableParagraph"/>
              <w:spacing w:before="169"/>
              <w:ind w:left="200"/>
              <w:rPr>
                <w:b/>
                <w:sz w:val="24"/>
              </w:rPr>
            </w:pPr>
            <w:r>
              <w:rPr>
                <w:b/>
                <w:sz w:val="24"/>
              </w:rPr>
              <w:t>Anexos</w:t>
            </w:r>
          </w:p>
        </w:tc>
        <w:tc>
          <w:tcPr>
            <w:tcW w:w="2255" w:type="dxa"/>
          </w:tcPr>
          <w:p>
            <w:pPr/>
          </w:p>
        </w:tc>
      </w:tr>
      <w:tr>
        <w:trPr>
          <w:trHeight w:val="319" w:hRule="exact"/>
        </w:trPr>
        <w:tc>
          <w:tcPr>
            <w:tcW w:w="6292" w:type="dxa"/>
          </w:tcPr>
          <w:p>
            <w:pPr>
              <w:pStyle w:val="TableParagraph"/>
              <w:spacing w:before="9"/>
              <w:ind w:left="200"/>
              <w:rPr>
                <w:b/>
                <w:sz w:val="24"/>
              </w:rPr>
            </w:pPr>
            <w:r>
              <w:rPr>
                <w:b/>
                <w:sz w:val="24"/>
              </w:rPr>
              <w:t>Artículos más citados Eure 2001-2013</w:t>
            </w:r>
          </w:p>
        </w:tc>
        <w:tc>
          <w:tcPr>
            <w:tcW w:w="2255" w:type="dxa"/>
          </w:tcPr>
          <w:p>
            <w:pPr>
              <w:pStyle w:val="TableParagraph"/>
              <w:spacing w:before="9"/>
              <w:ind w:right="199"/>
              <w:jc w:val="right"/>
              <w:rPr>
                <w:sz w:val="24"/>
              </w:rPr>
            </w:pPr>
            <w:r>
              <w:rPr>
                <w:w w:val="95"/>
                <w:sz w:val="24"/>
              </w:rPr>
              <w:t>176</w:t>
            </w:r>
          </w:p>
        </w:tc>
      </w:tr>
      <w:tr>
        <w:trPr>
          <w:trHeight w:val="320" w:hRule="exact"/>
        </w:trPr>
        <w:tc>
          <w:tcPr>
            <w:tcW w:w="6292" w:type="dxa"/>
          </w:tcPr>
          <w:p>
            <w:pPr>
              <w:pStyle w:val="TableParagraph"/>
              <w:spacing w:before="9"/>
              <w:ind w:left="200"/>
              <w:rPr>
                <w:b/>
                <w:sz w:val="24"/>
              </w:rPr>
            </w:pPr>
            <w:r>
              <w:rPr>
                <w:b/>
                <w:sz w:val="24"/>
              </w:rPr>
              <w:t>Artículos con citas Eure 2001-2015</w:t>
            </w:r>
          </w:p>
        </w:tc>
        <w:tc>
          <w:tcPr>
            <w:tcW w:w="2255" w:type="dxa"/>
          </w:tcPr>
          <w:p>
            <w:pPr>
              <w:pStyle w:val="TableParagraph"/>
              <w:spacing w:before="9"/>
              <w:ind w:right="199"/>
              <w:jc w:val="right"/>
              <w:rPr>
                <w:sz w:val="24"/>
              </w:rPr>
            </w:pPr>
            <w:r>
              <w:rPr>
                <w:w w:val="95"/>
                <w:sz w:val="24"/>
              </w:rPr>
              <w:t>178</w:t>
            </w:r>
          </w:p>
        </w:tc>
      </w:tr>
      <w:tr>
        <w:trPr>
          <w:trHeight w:val="281" w:hRule="exact"/>
        </w:trPr>
        <w:tc>
          <w:tcPr>
            <w:tcW w:w="6292" w:type="dxa"/>
          </w:tcPr>
          <w:p>
            <w:pPr>
              <w:pStyle w:val="TableParagraph"/>
              <w:spacing w:before="10"/>
              <w:ind w:left="200"/>
              <w:rPr>
                <w:b/>
                <w:sz w:val="24"/>
              </w:rPr>
            </w:pPr>
            <w:r>
              <w:rPr>
                <w:b/>
                <w:sz w:val="24"/>
              </w:rPr>
              <w:t>Base de Análisis cualitativo</w:t>
            </w:r>
          </w:p>
        </w:tc>
        <w:tc>
          <w:tcPr>
            <w:tcW w:w="2255" w:type="dxa"/>
          </w:tcPr>
          <w:p>
            <w:pPr>
              <w:pStyle w:val="TableParagraph"/>
              <w:spacing w:before="10"/>
              <w:ind w:right="199"/>
              <w:jc w:val="right"/>
              <w:rPr>
                <w:sz w:val="24"/>
              </w:rPr>
            </w:pPr>
            <w:r>
              <w:rPr>
                <w:w w:val="95"/>
                <w:sz w:val="24"/>
              </w:rPr>
              <w:t>188</w:t>
            </w:r>
          </w:p>
        </w:tc>
      </w:tr>
    </w:tbl>
    <w:p>
      <w:pPr>
        <w:spacing w:after="0"/>
        <w:jc w:val="right"/>
        <w:rPr>
          <w:sz w:val="24"/>
        </w:rPr>
        <w:sectPr>
          <w:pgSz w:w="12240" w:h="15840"/>
          <w:pgMar w:header="0" w:footer="689" w:top="1360" w:bottom="880" w:left="1580" w:right="15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2"/>
        </w:rPr>
      </w:pPr>
    </w:p>
    <w:p>
      <w:pPr>
        <w:spacing w:before="69"/>
        <w:ind w:left="3579" w:right="3579" w:firstLine="0"/>
        <w:jc w:val="center"/>
        <w:rPr>
          <w:b/>
          <w:sz w:val="24"/>
        </w:rPr>
      </w:pPr>
      <w:r>
        <w:rPr>
          <w:b/>
          <w:sz w:val="24"/>
        </w:rPr>
        <w:t>Índice de Cuadros</w:t>
      </w:r>
    </w:p>
    <w:p>
      <w:pPr>
        <w:pStyle w:val="BodyText"/>
        <w:rPr>
          <w:b/>
          <w:sz w:val="20"/>
        </w:rPr>
      </w:pPr>
    </w:p>
    <w:p>
      <w:pPr>
        <w:pStyle w:val="BodyText"/>
        <w:rPr>
          <w:b/>
          <w:sz w:val="20"/>
        </w:rPr>
      </w:pPr>
    </w:p>
    <w:p>
      <w:pPr>
        <w:pStyle w:val="BodyText"/>
        <w:spacing w:before="7"/>
        <w:rPr>
          <w:b/>
          <w:sz w:val="10"/>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3"/>
        <w:gridCol w:w="5968"/>
        <w:gridCol w:w="2578"/>
      </w:tblGrid>
      <w:tr>
        <w:trPr>
          <w:trHeight w:val="277" w:hRule="exact"/>
        </w:trPr>
        <w:tc>
          <w:tcPr>
            <w:tcW w:w="503" w:type="dxa"/>
          </w:tcPr>
          <w:p>
            <w:pPr/>
          </w:p>
        </w:tc>
        <w:tc>
          <w:tcPr>
            <w:tcW w:w="5968" w:type="dxa"/>
          </w:tcPr>
          <w:p>
            <w:pPr/>
          </w:p>
        </w:tc>
        <w:tc>
          <w:tcPr>
            <w:tcW w:w="2578" w:type="dxa"/>
          </w:tcPr>
          <w:p>
            <w:pPr>
              <w:pStyle w:val="TableParagraph"/>
              <w:spacing w:line="245" w:lineRule="exact"/>
              <w:ind w:left="1570" w:right="181"/>
              <w:jc w:val="center"/>
              <w:rPr>
                <w:b/>
                <w:sz w:val="24"/>
              </w:rPr>
            </w:pPr>
            <w:r>
              <w:rPr>
                <w:b/>
                <w:sz w:val="24"/>
              </w:rPr>
              <w:t>Página</w:t>
            </w:r>
          </w:p>
        </w:tc>
      </w:tr>
      <w:tr>
        <w:trPr>
          <w:trHeight w:val="318" w:hRule="exact"/>
        </w:trPr>
        <w:tc>
          <w:tcPr>
            <w:tcW w:w="503" w:type="dxa"/>
          </w:tcPr>
          <w:p>
            <w:pPr>
              <w:pStyle w:val="TableParagraph"/>
              <w:spacing w:before="9"/>
              <w:ind w:left="30"/>
              <w:jc w:val="center"/>
              <w:rPr>
                <w:sz w:val="24"/>
              </w:rPr>
            </w:pPr>
            <w:r>
              <w:rPr>
                <w:w w:val="99"/>
                <w:sz w:val="24"/>
              </w:rPr>
              <w:t>1</w:t>
            </w:r>
          </w:p>
        </w:tc>
        <w:tc>
          <w:tcPr>
            <w:tcW w:w="5968" w:type="dxa"/>
          </w:tcPr>
          <w:p>
            <w:pPr>
              <w:pStyle w:val="TableParagraph"/>
              <w:spacing w:before="6"/>
              <w:ind w:left="169"/>
              <w:rPr>
                <w:sz w:val="24"/>
              </w:rPr>
            </w:pPr>
            <w:r>
              <w:rPr>
                <w:sz w:val="24"/>
              </w:rPr>
              <w:t>Variables de estudio</w:t>
            </w:r>
          </w:p>
        </w:tc>
        <w:tc>
          <w:tcPr>
            <w:tcW w:w="2578" w:type="dxa"/>
          </w:tcPr>
          <w:p>
            <w:pPr>
              <w:pStyle w:val="TableParagraph"/>
              <w:spacing w:before="9"/>
              <w:ind w:left="1569" w:right="181"/>
              <w:jc w:val="center"/>
              <w:rPr>
                <w:sz w:val="24"/>
              </w:rPr>
            </w:pPr>
            <w:r>
              <w:rPr>
                <w:sz w:val="24"/>
              </w:rPr>
              <w:t>28</w:t>
            </w:r>
          </w:p>
        </w:tc>
      </w:tr>
      <w:tr>
        <w:trPr>
          <w:trHeight w:val="316" w:hRule="exact"/>
        </w:trPr>
        <w:tc>
          <w:tcPr>
            <w:tcW w:w="503" w:type="dxa"/>
          </w:tcPr>
          <w:p>
            <w:pPr>
              <w:pStyle w:val="TableParagraph"/>
              <w:spacing w:before="7"/>
              <w:ind w:left="30"/>
              <w:jc w:val="center"/>
              <w:rPr>
                <w:sz w:val="24"/>
              </w:rPr>
            </w:pPr>
            <w:r>
              <w:rPr>
                <w:w w:val="99"/>
                <w:sz w:val="24"/>
              </w:rPr>
              <w:t>2</w:t>
            </w:r>
          </w:p>
        </w:tc>
        <w:tc>
          <w:tcPr>
            <w:tcW w:w="5968" w:type="dxa"/>
          </w:tcPr>
          <w:p>
            <w:pPr>
              <w:pStyle w:val="TableParagraph"/>
              <w:spacing w:before="7"/>
              <w:ind w:left="169"/>
              <w:rPr>
                <w:sz w:val="24"/>
              </w:rPr>
            </w:pPr>
            <w:r>
              <w:rPr>
                <w:sz w:val="24"/>
              </w:rPr>
              <w:t>Revistas del área urban studies, WoS</w:t>
            </w:r>
          </w:p>
        </w:tc>
        <w:tc>
          <w:tcPr>
            <w:tcW w:w="2578" w:type="dxa"/>
          </w:tcPr>
          <w:p>
            <w:pPr>
              <w:pStyle w:val="TableParagraph"/>
              <w:spacing w:before="7"/>
              <w:ind w:left="1569" w:right="181"/>
              <w:jc w:val="center"/>
              <w:rPr>
                <w:sz w:val="24"/>
              </w:rPr>
            </w:pPr>
            <w:r>
              <w:rPr>
                <w:sz w:val="24"/>
              </w:rPr>
              <w:t>137</w:t>
            </w:r>
          </w:p>
        </w:tc>
      </w:tr>
      <w:tr>
        <w:trPr>
          <w:trHeight w:val="317" w:hRule="exact"/>
        </w:trPr>
        <w:tc>
          <w:tcPr>
            <w:tcW w:w="503" w:type="dxa"/>
          </w:tcPr>
          <w:p>
            <w:pPr>
              <w:pStyle w:val="TableParagraph"/>
              <w:spacing w:before="9"/>
              <w:ind w:left="30"/>
              <w:jc w:val="center"/>
              <w:rPr>
                <w:sz w:val="24"/>
              </w:rPr>
            </w:pPr>
            <w:r>
              <w:rPr>
                <w:w w:val="99"/>
                <w:sz w:val="24"/>
              </w:rPr>
              <w:t>3</w:t>
            </w:r>
          </w:p>
        </w:tc>
        <w:tc>
          <w:tcPr>
            <w:tcW w:w="5968" w:type="dxa"/>
          </w:tcPr>
          <w:p>
            <w:pPr>
              <w:pStyle w:val="TableParagraph"/>
              <w:spacing w:before="6"/>
              <w:ind w:left="169"/>
              <w:rPr>
                <w:sz w:val="24"/>
              </w:rPr>
            </w:pPr>
            <w:r>
              <w:rPr>
                <w:sz w:val="24"/>
              </w:rPr>
              <w:t>Citas por artículo</w:t>
            </w:r>
          </w:p>
        </w:tc>
        <w:tc>
          <w:tcPr>
            <w:tcW w:w="2578" w:type="dxa"/>
          </w:tcPr>
          <w:p>
            <w:pPr>
              <w:pStyle w:val="TableParagraph"/>
              <w:spacing w:before="9"/>
              <w:ind w:left="1570" w:right="181"/>
              <w:jc w:val="center"/>
              <w:rPr>
                <w:sz w:val="24"/>
              </w:rPr>
            </w:pPr>
            <w:r>
              <w:rPr>
                <w:sz w:val="24"/>
              </w:rPr>
              <w:t>143</w:t>
            </w:r>
          </w:p>
        </w:tc>
      </w:tr>
      <w:tr>
        <w:trPr>
          <w:trHeight w:val="280" w:hRule="exact"/>
        </w:trPr>
        <w:tc>
          <w:tcPr>
            <w:tcW w:w="503" w:type="dxa"/>
          </w:tcPr>
          <w:p>
            <w:pPr>
              <w:pStyle w:val="TableParagraph"/>
              <w:spacing w:before="9"/>
              <w:ind w:left="30"/>
              <w:jc w:val="center"/>
              <w:rPr>
                <w:sz w:val="24"/>
              </w:rPr>
            </w:pPr>
            <w:r>
              <w:rPr>
                <w:w w:val="99"/>
                <w:sz w:val="24"/>
              </w:rPr>
              <w:t>4</w:t>
            </w:r>
          </w:p>
        </w:tc>
        <w:tc>
          <w:tcPr>
            <w:tcW w:w="5968" w:type="dxa"/>
          </w:tcPr>
          <w:p>
            <w:pPr>
              <w:pStyle w:val="TableParagraph"/>
              <w:spacing w:before="6"/>
              <w:ind w:left="169"/>
              <w:rPr>
                <w:sz w:val="24"/>
              </w:rPr>
            </w:pPr>
            <w:r>
              <w:rPr>
                <w:sz w:val="24"/>
              </w:rPr>
              <w:t>Objeto de estudio de la investigación</w:t>
            </w:r>
          </w:p>
        </w:tc>
        <w:tc>
          <w:tcPr>
            <w:tcW w:w="2578" w:type="dxa"/>
          </w:tcPr>
          <w:p>
            <w:pPr>
              <w:pStyle w:val="TableParagraph"/>
              <w:spacing w:before="9"/>
              <w:ind w:left="1570" w:right="181"/>
              <w:jc w:val="center"/>
              <w:rPr>
                <w:sz w:val="24"/>
              </w:rPr>
            </w:pPr>
            <w:r>
              <w:rPr>
                <w:sz w:val="24"/>
              </w:rPr>
              <w:t>154</w:t>
            </w:r>
          </w:p>
        </w:tc>
      </w:tr>
    </w:tbl>
    <w:p>
      <w:pPr>
        <w:spacing w:after="0"/>
        <w:jc w:val="center"/>
        <w:rPr>
          <w:sz w:val="24"/>
        </w:rPr>
        <w:sectPr>
          <w:pgSz w:w="12240" w:h="15840"/>
          <w:pgMar w:header="0" w:footer="689" w:top="1500" w:bottom="880" w:left="1480" w:right="14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0"/>
        </w:rPr>
      </w:pPr>
    </w:p>
    <w:p>
      <w:pPr>
        <w:spacing w:before="0"/>
        <w:ind w:left="3579" w:right="3577" w:firstLine="0"/>
        <w:jc w:val="center"/>
        <w:rPr>
          <w:b/>
          <w:sz w:val="24"/>
        </w:rPr>
      </w:pPr>
      <w:r>
        <w:rPr>
          <w:b/>
          <w:sz w:val="24"/>
        </w:rPr>
        <w:t>Índice de Figuras</w:t>
      </w:r>
    </w:p>
    <w:p>
      <w:pPr>
        <w:pStyle w:val="BodyText"/>
        <w:rPr>
          <w:b/>
          <w:sz w:val="20"/>
        </w:rPr>
      </w:pPr>
    </w:p>
    <w:p>
      <w:pPr>
        <w:pStyle w:val="BodyText"/>
        <w:rPr>
          <w:b/>
          <w:sz w:val="20"/>
        </w:rPr>
      </w:pPr>
    </w:p>
    <w:p>
      <w:pPr>
        <w:pStyle w:val="BodyText"/>
        <w:spacing w:before="7"/>
        <w:rPr>
          <w:b/>
          <w:sz w:val="10"/>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7"/>
        <w:gridCol w:w="7333"/>
        <w:gridCol w:w="1140"/>
      </w:tblGrid>
      <w:tr>
        <w:trPr>
          <w:trHeight w:val="277" w:hRule="exact"/>
        </w:trPr>
        <w:tc>
          <w:tcPr>
            <w:tcW w:w="577" w:type="dxa"/>
          </w:tcPr>
          <w:p>
            <w:pPr/>
          </w:p>
        </w:tc>
        <w:tc>
          <w:tcPr>
            <w:tcW w:w="7333" w:type="dxa"/>
          </w:tcPr>
          <w:p>
            <w:pPr/>
          </w:p>
        </w:tc>
        <w:tc>
          <w:tcPr>
            <w:tcW w:w="1140" w:type="dxa"/>
          </w:tcPr>
          <w:p>
            <w:pPr>
              <w:pStyle w:val="TableParagraph"/>
              <w:spacing w:line="245" w:lineRule="exact"/>
              <w:ind w:left="133" w:right="179"/>
              <w:jc w:val="center"/>
              <w:rPr>
                <w:b/>
                <w:sz w:val="24"/>
              </w:rPr>
            </w:pPr>
            <w:r>
              <w:rPr>
                <w:b/>
                <w:sz w:val="24"/>
              </w:rPr>
              <w:t>Página</w:t>
            </w:r>
          </w:p>
        </w:tc>
      </w:tr>
      <w:tr>
        <w:trPr>
          <w:trHeight w:val="317" w:hRule="exact"/>
        </w:trPr>
        <w:tc>
          <w:tcPr>
            <w:tcW w:w="577" w:type="dxa"/>
          </w:tcPr>
          <w:p>
            <w:pPr>
              <w:pStyle w:val="TableParagraph"/>
              <w:spacing w:before="9"/>
              <w:ind w:left="86"/>
              <w:jc w:val="center"/>
              <w:rPr>
                <w:sz w:val="24"/>
              </w:rPr>
            </w:pPr>
            <w:r>
              <w:rPr>
                <w:color w:val="622322"/>
                <w:w w:val="99"/>
                <w:sz w:val="24"/>
              </w:rPr>
              <w:t>1</w:t>
            </w:r>
          </w:p>
        </w:tc>
        <w:tc>
          <w:tcPr>
            <w:tcW w:w="7333" w:type="dxa"/>
          </w:tcPr>
          <w:p>
            <w:pPr>
              <w:pStyle w:val="TableParagraph"/>
              <w:spacing w:before="6"/>
              <w:ind w:left="107"/>
              <w:rPr>
                <w:sz w:val="24"/>
              </w:rPr>
            </w:pPr>
            <w:r>
              <w:rPr>
                <w:sz w:val="24"/>
              </w:rPr>
              <w:t>Enfoques sobre la ciencia</w:t>
            </w:r>
          </w:p>
        </w:tc>
        <w:tc>
          <w:tcPr>
            <w:tcW w:w="1140" w:type="dxa"/>
          </w:tcPr>
          <w:p>
            <w:pPr>
              <w:pStyle w:val="TableParagraph"/>
              <w:spacing w:before="9"/>
              <w:ind w:left="132" w:right="179"/>
              <w:jc w:val="center"/>
              <w:rPr>
                <w:sz w:val="24"/>
              </w:rPr>
            </w:pPr>
            <w:r>
              <w:rPr>
                <w:sz w:val="24"/>
              </w:rPr>
              <w:t>37</w:t>
            </w:r>
          </w:p>
        </w:tc>
      </w:tr>
      <w:tr>
        <w:trPr>
          <w:trHeight w:val="318" w:hRule="exact"/>
        </w:trPr>
        <w:tc>
          <w:tcPr>
            <w:tcW w:w="577" w:type="dxa"/>
          </w:tcPr>
          <w:p>
            <w:pPr>
              <w:pStyle w:val="TableParagraph"/>
              <w:spacing w:before="9"/>
              <w:ind w:left="86"/>
              <w:jc w:val="center"/>
              <w:rPr>
                <w:sz w:val="24"/>
              </w:rPr>
            </w:pPr>
            <w:r>
              <w:rPr>
                <w:w w:val="99"/>
                <w:sz w:val="24"/>
              </w:rPr>
              <w:t>2</w:t>
            </w:r>
          </w:p>
        </w:tc>
        <w:tc>
          <w:tcPr>
            <w:tcW w:w="7333" w:type="dxa"/>
          </w:tcPr>
          <w:p>
            <w:pPr>
              <w:pStyle w:val="TableParagraph"/>
              <w:spacing w:before="6"/>
              <w:ind w:left="107"/>
              <w:rPr>
                <w:sz w:val="24"/>
              </w:rPr>
            </w:pPr>
            <w:r>
              <w:rPr>
                <w:sz w:val="24"/>
              </w:rPr>
              <w:t>Relación dicotómica entre teoría y datos experimentales</w:t>
            </w:r>
          </w:p>
        </w:tc>
        <w:tc>
          <w:tcPr>
            <w:tcW w:w="1140" w:type="dxa"/>
          </w:tcPr>
          <w:p>
            <w:pPr>
              <w:pStyle w:val="TableParagraph"/>
              <w:spacing w:before="9"/>
              <w:ind w:left="132" w:right="179"/>
              <w:jc w:val="center"/>
              <w:rPr>
                <w:sz w:val="24"/>
              </w:rPr>
            </w:pPr>
            <w:r>
              <w:rPr>
                <w:sz w:val="24"/>
              </w:rPr>
              <w:t>44</w:t>
            </w:r>
          </w:p>
        </w:tc>
      </w:tr>
      <w:tr>
        <w:trPr>
          <w:trHeight w:val="318" w:hRule="exact"/>
        </w:trPr>
        <w:tc>
          <w:tcPr>
            <w:tcW w:w="577" w:type="dxa"/>
          </w:tcPr>
          <w:p>
            <w:pPr>
              <w:pStyle w:val="TableParagraph"/>
              <w:spacing w:before="10"/>
              <w:ind w:left="86"/>
              <w:jc w:val="center"/>
              <w:rPr>
                <w:sz w:val="24"/>
              </w:rPr>
            </w:pPr>
            <w:r>
              <w:rPr>
                <w:w w:val="99"/>
                <w:sz w:val="24"/>
              </w:rPr>
              <w:t>3</w:t>
            </w:r>
          </w:p>
        </w:tc>
        <w:tc>
          <w:tcPr>
            <w:tcW w:w="7333" w:type="dxa"/>
          </w:tcPr>
          <w:p>
            <w:pPr>
              <w:pStyle w:val="TableParagraph"/>
              <w:spacing w:before="7"/>
              <w:ind w:left="107"/>
              <w:rPr>
                <w:sz w:val="24"/>
              </w:rPr>
            </w:pPr>
            <w:r>
              <w:rPr>
                <w:sz w:val="24"/>
              </w:rPr>
              <w:t>Relación sujeto - objeto</w:t>
            </w:r>
          </w:p>
        </w:tc>
        <w:tc>
          <w:tcPr>
            <w:tcW w:w="1140" w:type="dxa"/>
          </w:tcPr>
          <w:p>
            <w:pPr>
              <w:pStyle w:val="TableParagraph"/>
              <w:spacing w:before="10"/>
              <w:ind w:left="132" w:right="179"/>
              <w:jc w:val="center"/>
              <w:rPr>
                <w:sz w:val="24"/>
              </w:rPr>
            </w:pPr>
            <w:r>
              <w:rPr>
                <w:sz w:val="24"/>
              </w:rPr>
              <w:t>52</w:t>
            </w:r>
          </w:p>
        </w:tc>
      </w:tr>
      <w:tr>
        <w:trPr>
          <w:trHeight w:val="317" w:hRule="exact"/>
        </w:trPr>
        <w:tc>
          <w:tcPr>
            <w:tcW w:w="577" w:type="dxa"/>
          </w:tcPr>
          <w:p>
            <w:pPr>
              <w:pStyle w:val="TableParagraph"/>
              <w:spacing w:before="9"/>
              <w:ind w:left="86"/>
              <w:jc w:val="center"/>
              <w:rPr>
                <w:sz w:val="24"/>
              </w:rPr>
            </w:pPr>
            <w:r>
              <w:rPr>
                <w:w w:val="99"/>
                <w:sz w:val="24"/>
              </w:rPr>
              <w:t>4</w:t>
            </w:r>
          </w:p>
        </w:tc>
        <w:tc>
          <w:tcPr>
            <w:tcW w:w="7333" w:type="dxa"/>
          </w:tcPr>
          <w:p>
            <w:pPr>
              <w:pStyle w:val="TableParagraph"/>
              <w:spacing w:before="7"/>
              <w:ind w:left="107"/>
              <w:rPr>
                <w:sz w:val="24"/>
              </w:rPr>
            </w:pPr>
            <w:r>
              <w:rPr>
                <w:sz w:val="24"/>
              </w:rPr>
              <w:t>Construcciones a partir del real externo</w:t>
            </w:r>
          </w:p>
        </w:tc>
        <w:tc>
          <w:tcPr>
            <w:tcW w:w="1140" w:type="dxa"/>
          </w:tcPr>
          <w:p>
            <w:pPr>
              <w:pStyle w:val="TableParagraph"/>
              <w:spacing w:before="9"/>
              <w:ind w:left="132" w:right="179"/>
              <w:jc w:val="center"/>
              <w:rPr>
                <w:sz w:val="24"/>
              </w:rPr>
            </w:pPr>
            <w:r>
              <w:rPr>
                <w:sz w:val="24"/>
              </w:rPr>
              <w:t>53</w:t>
            </w:r>
          </w:p>
        </w:tc>
      </w:tr>
      <w:tr>
        <w:trPr>
          <w:trHeight w:val="318" w:hRule="exact"/>
        </w:trPr>
        <w:tc>
          <w:tcPr>
            <w:tcW w:w="577" w:type="dxa"/>
          </w:tcPr>
          <w:p>
            <w:pPr>
              <w:pStyle w:val="TableParagraph"/>
              <w:spacing w:before="9"/>
              <w:ind w:left="86"/>
              <w:jc w:val="center"/>
              <w:rPr>
                <w:sz w:val="24"/>
              </w:rPr>
            </w:pPr>
            <w:r>
              <w:rPr>
                <w:w w:val="99"/>
                <w:sz w:val="24"/>
              </w:rPr>
              <w:t>5</w:t>
            </w:r>
          </w:p>
        </w:tc>
        <w:tc>
          <w:tcPr>
            <w:tcW w:w="7333" w:type="dxa"/>
          </w:tcPr>
          <w:p>
            <w:pPr>
              <w:pStyle w:val="TableParagraph"/>
              <w:spacing w:before="6"/>
              <w:ind w:left="107"/>
              <w:rPr>
                <w:sz w:val="24"/>
              </w:rPr>
            </w:pPr>
            <w:r>
              <w:rPr>
                <w:sz w:val="24"/>
              </w:rPr>
              <w:t>División de la ciencia durante la segunda mitad del siglo XIX</w:t>
            </w:r>
          </w:p>
        </w:tc>
        <w:tc>
          <w:tcPr>
            <w:tcW w:w="1140" w:type="dxa"/>
          </w:tcPr>
          <w:p>
            <w:pPr>
              <w:pStyle w:val="TableParagraph"/>
              <w:spacing w:before="9"/>
              <w:ind w:left="132" w:right="179"/>
              <w:jc w:val="center"/>
              <w:rPr>
                <w:sz w:val="24"/>
              </w:rPr>
            </w:pPr>
            <w:r>
              <w:rPr>
                <w:sz w:val="24"/>
              </w:rPr>
              <w:t>72</w:t>
            </w:r>
          </w:p>
        </w:tc>
      </w:tr>
      <w:tr>
        <w:trPr>
          <w:trHeight w:val="319" w:hRule="exact"/>
        </w:trPr>
        <w:tc>
          <w:tcPr>
            <w:tcW w:w="577" w:type="dxa"/>
          </w:tcPr>
          <w:p>
            <w:pPr>
              <w:pStyle w:val="TableParagraph"/>
              <w:spacing w:before="10"/>
              <w:ind w:left="86"/>
              <w:jc w:val="center"/>
              <w:rPr>
                <w:sz w:val="24"/>
              </w:rPr>
            </w:pPr>
            <w:r>
              <w:rPr>
                <w:w w:val="99"/>
                <w:sz w:val="24"/>
              </w:rPr>
              <w:t>6</w:t>
            </w:r>
          </w:p>
        </w:tc>
        <w:tc>
          <w:tcPr>
            <w:tcW w:w="7333" w:type="dxa"/>
          </w:tcPr>
          <w:p>
            <w:pPr>
              <w:pStyle w:val="TableParagraph"/>
              <w:spacing w:before="7"/>
              <w:ind w:left="107"/>
              <w:rPr>
                <w:sz w:val="24"/>
              </w:rPr>
            </w:pPr>
            <w:r>
              <w:rPr>
                <w:sz w:val="24"/>
              </w:rPr>
              <w:t>Clasificación de la ciencia para Bunge</w:t>
            </w:r>
          </w:p>
        </w:tc>
        <w:tc>
          <w:tcPr>
            <w:tcW w:w="1140" w:type="dxa"/>
          </w:tcPr>
          <w:p>
            <w:pPr>
              <w:pStyle w:val="TableParagraph"/>
              <w:spacing w:before="10"/>
              <w:ind w:left="132" w:right="179"/>
              <w:jc w:val="center"/>
              <w:rPr>
                <w:sz w:val="24"/>
              </w:rPr>
            </w:pPr>
            <w:r>
              <w:rPr>
                <w:sz w:val="24"/>
              </w:rPr>
              <w:t>80</w:t>
            </w:r>
          </w:p>
        </w:tc>
      </w:tr>
      <w:tr>
        <w:trPr>
          <w:trHeight w:val="318" w:hRule="exact"/>
        </w:trPr>
        <w:tc>
          <w:tcPr>
            <w:tcW w:w="577" w:type="dxa"/>
          </w:tcPr>
          <w:p>
            <w:pPr>
              <w:pStyle w:val="TableParagraph"/>
              <w:spacing w:before="10"/>
              <w:ind w:left="86"/>
              <w:jc w:val="center"/>
              <w:rPr>
                <w:sz w:val="24"/>
              </w:rPr>
            </w:pPr>
            <w:r>
              <w:rPr>
                <w:w w:val="99"/>
                <w:sz w:val="24"/>
              </w:rPr>
              <w:t>7</w:t>
            </w:r>
          </w:p>
        </w:tc>
        <w:tc>
          <w:tcPr>
            <w:tcW w:w="7333" w:type="dxa"/>
          </w:tcPr>
          <w:p>
            <w:pPr>
              <w:pStyle w:val="TableParagraph"/>
              <w:spacing w:before="7"/>
              <w:ind w:left="107"/>
              <w:rPr>
                <w:sz w:val="24"/>
              </w:rPr>
            </w:pPr>
            <w:r>
              <w:rPr>
                <w:sz w:val="24"/>
              </w:rPr>
              <w:t>Campos de la ciencia UNESCO</w:t>
            </w:r>
          </w:p>
        </w:tc>
        <w:tc>
          <w:tcPr>
            <w:tcW w:w="1140" w:type="dxa"/>
          </w:tcPr>
          <w:p>
            <w:pPr>
              <w:pStyle w:val="TableParagraph"/>
              <w:spacing w:before="10"/>
              <w:ind w:left="132" w:right="179"/>
              <w:jc w:val="center"/>
              <w:rPr>
                <w:sz w:val="24"/>
              </w:rPr>
            </w:pPr>
            <w:r>
              <w:rPr>
                <w:sz w:val="24"/>
              </w:rPr>
              <w:t>84</w:t>
            </w:r>
          </w:p>
        </w:tc>
      </w:tr>
      <w:tr>
        <w:trPr>
          <w:trHeight w:val="317" w:hRule="exact"/>
        </w:trPr>
        <w:tc>
          <w:tcPr>
            <w:tcW w:w="577" w:type="dxa"/>
          </w:tcPr>
          <w:p>
            <w:pPr>
              <w:pStyle w:val="TableParagraph"/>
              <w:spacing w:before="9"/>
              <w:ind w:left="86"/>
              <w:jc w:val="center"/>
              <w:rPr>
                <w:sz w:val="24"/>
              </w:rPr>
            </w:pPr>
            <w:r>
              <w:rPr>
                <w:color w:val="622322"/>
                <w:w w:val="99"/>
                <w:sz w:val="24"/>
              </w:rPr>
              <w:t>8</w:t>
            </w:r>
          </w:p>
        </w:tc>
        <w:tc>
          <w:tcPr>
            <w:tcW w:w="7333" w:type="dxa"/>
          </w:tcPr>
          <w:p>
            <w:pPr>
              <w:pStyle w:val="TableParagraph"/>
              <w:spacing w:before="6"/>
              <w:ind w:left="107"/>
              <w:rPr>
                <w:sz w:val="24"/>
              </w:rPr>
            </w:pPr>
            <w:r>
              <w:rPr>
                <w:sz w:val="24"/>
              </w:rPr>
              <w:t>Desagregación de campos de la ciencia de la UNESCO</w:t>
            </w:r>
          </w:p>
        </w:tc>
        <w:tc>
          <w:tcPr>
            <w:tcW w:w="1140" w:type="dxa"/>
          </w:tcPr>
          <w:p>
            <w:pPr>
              <w:pStyle w:val="TableParagraph"/>
              <w:spacing w:before="9"/>
              <w:ind w:left="132" w:right="179"/>
              <w:jc w:val="center"/>
              <w:rPr>
                <w:sz w:val="24"/>
              </w:rPr>
            </w:pPr>
            <w:r>
              <w:rPr>
                <w:sz w:val="24"/>
              </w:rPr>
              <w:t>80</w:t>
            </w:r>
          </w:p>
        </w:tc>
      </w:tr>
      <w:tr>
        <w:trPr>
          <w:trHeight w:val="317" w:hRule="exact"/>
        </w:trPr>
        <w:tc>
          <w:tcPr>
            <w:tcW w:w="577" w:type="dxa"/>
          </w:tcPr>
          <w:p>
            <w:pPr>
              <w:pStyle w:val="TableParagraph"/>
              <w:spacing w:before="9"/>
              <w:ind w:left="86"/>
              <w:jc w:val="center"/>
              <w:rPr>
                <w:sz w:val="24"/>
              </w:rPr>
            </w:pPr>
            <w:r>
              <w:rPr>
                <w:w w:val="99"/>
                <w:sz w:val="24"/>
              </w:rPr>
              <w:t>9</w:t>
            </w:r>
          </w:p>
        </w:tc>
        <w:tc>
          <w:tcPr>
            <w:tcW w:w="7333" w:type="dxa"/>
          </w:tcPr>
          <w:p>
            <w:pPr>
              <w:pStyle w:val="TableParagraph"/>
              <w:spacing w:before="6"/>
              <w:ind w:left="107"/>
              <w:rPr>
                <w:sz w:val="24"/>
              </w:rPr>
            </w:pPr>
            <w:r>
              <w:rPr>
                <w:sz w:val="24"/>
              </w:rPr>
              <w:t>Objeto de estudio de la Investigación Urbana</w:t>
            </w:r>
          </w:p>
        </w:tc>
        <w:tc>
          <w:tcPr>
            <w:tcW w:w="1140" w:type="dxa"/>
          </w:tcPr>
          <w:p>
            <w:pPr>
              <w:pStyle w:val="TableParagraph"/>
              <w:spacing w:before="9"/>
              <w:ind w:left="132" w:right="179"/>
              <w:jc w:val="center"/>
              <w:rPr>
                <w:sz w:val="24"/>
              </w:rPr>
            </w:pPr>
            <w:r>
              <w:rPr>
                <w:sz w:val="24"/>
              </w:rPr>
              <w:t>93</w:t>
            </w:r>
          </w:p>
        </w:tc>
      </w:tr>
      <w:tr>
        <w:trPr>
          <w:trHeight w:val="319" w:hRule="exact"/>
        </w:trPr>
        <w:tc>
          <w:tcPr>
            <w:tcW w:w="577" w:type="dxa"/>
          </w:tcPr>
          <w:p>
            <w:pPr>
              <w:pStyle w:val="TableParagraph"/>
              <w:spacing w:before="9"/>
              <w:ind w:left="180" w:right="88"/>
              <w:jc w:val="center"/>
              <w:rPr>
                <w:sz w:val="24"/>
              </w:rPr>
            </w:pPr>
            <w:r>
              <w:rPr>
                <w:sz w:val="24"/>
              </w:rPr>
              <w:t>10</w:t>
            </w:r>
          </w:p>
        </w:tc>
        <w:tc>
          <w:tcPr>
            <w:tcW w:w="7333" w:type="dxa"/>
          </w:tcPr>
          <w:p>
            <w:pPr>
              <w:pStyle w:val="TableParagraph"/>
              <w:spacing w:before="6"/>
              <w:ind w:left="107"/>
              <w:rPr>
                <w:sz w:val="24"/>
              </w:rPr>
            </w:pPr>
            <w:r>
              <w:rPr>
                <w:sz w:val="24"/>
              </w:rPr>
              <w:t>Origen del Urbanismo como disciplina científica</w:t>
            </w:r>
          </w:p>
        </w:tc>
        <w:tc>
          <w:tcPr>
            <w:tcW w:w="1140" w:type="dxa"/>
          </w:tcPr>
          <w:p>
            <w:pPr>
              <w:pStyle w:val="TableParagraph"/>
              <w:spacing w:before="9"/>
              <w:ind w:left="131" w:right="179"/>
              <w:jc w:val="center"/>
              <w:rPr>
                <w:sz w:val="24"/>
              </w:rPr>
            </w:pPr>
            <w:r>
              <w:rPr>
                <w:sz w:val="24"/>
              </w:rPr>
              <w:t>99</w:t>
            </w:r>
          </w:p>
        </w:tc>
      </w:tr>
      <w:tr>
        <w:trPr>
          <w:trHeight w:val="367" w:hRule="exact"/>
        </w:trPr>
        <w:tc>
          <w:tcPr>
            <w:tcW w:w="577" w:type="dxa"/>
          </w:tcPr>
          <w:p>
            <w:pPr>
              <w:pStyle w:val="TableParagraph"/>
              <w:spacing w:before="11"/>
              <w:ind w:left="180" w:right="88"/>
              <w:jc w:val="center"/>
              <w:rPr>
                <w:sz w:val="24"/>
              </w:rPr>
            </w:pPr>
            <w:r>
              <w:rPr>
                <w:sz w:val="24"/>
              </w:rPr>
              <w:t>11</w:t>
            </w:r>
          </w:p>
        </w:tc>
        <w:tc>
          <w:tcPr>
            <w:tcW w:w="7333" w:type="dxa"/>
          </w:tcPr>
          <w:p>
            <w:pPr>
              <w:pStyle w:val="TableParagraph"/>
              <w:spacing w:before="9"/>
              <w:ind w:left="107"/>
              <w:rPr>
                <w:sz w:val="24"/>
              </w:rPr>
            </w:pPr>
            <w:r>
              <w:rPr>
                <w:sz w:val="24"/>
              </w:rPr>
              <w:t>Estructura del Conocimiento Científico, Nuevo Experimentalismo</w:t>
            </w:r>
          </w:p>
        </w:tc>
        <w:tc>
          <w:tcPr>
            <w:tcW w:w="1140" w:type="dxa"/>
          </w:tcPr>
          <w:p>
            <w:pPr>
              <w:pStyle w:val="TableParagraph"/>
              <w:spacing w:before="11"/>
              <w:ind w:left="131" w:right="179"/>
              <w:jc w:val="center"/>
              <w:rPr>
                <w:sz w:val="24"/>
              </w:rPr>
            </w:pPr>
            <w:r>
              <w:rPr>
                <w:sz w:val="24"/>
              </w:rPr>
              <w:t>115</w:t>
            </w:r>
          </w:p>
        </w:tc>
      </w:tr>
      <w:tr>
        <w:trPr>
          <w:trHeight w:val="414" w:hRule="exact"/>
        </w:trPr>
        <w:tc>
          <w:tcPr>
            <w:tcW w:w="577" w:type="dxa"/>
          </w:tcPr>
          <w:p>
            <w:pPr>
              <w:pStyle w:val="TableParagraph"/>
              <w:spacing w:before="57"/>
              <w:ind w:left="180" w:right="88"/>
              <w:jc w:val="center"/>
              <w:rPr>
                <w:sz w:val="24"/>
              </w:rPr>
            </w:pPr>
            <w:r>
              <w:rPr>
                <w:sz w:val="24"/>
              </w:rPr>
              <w:t>12</w:t>
            </w:r>
          </w:p>
        </w:tc>
        <w:tc>
          <w:tcPr>
            <w:tcW w:w="7333" w:type="dxa"/>
          </w:tcPr>
          <w:p>
            <w:pPr>
              <w:pStyle w:val="TableParagraph"/>
              <w:spacing w:before="54"/>
              <w:ind w:left="107"/>
              <w:rPr>
                <w:sz w:val="24"/>
              </w:rPr>
            </w:pPr>
            <w:r>
              <w:rPr>
                <w:sz w:val="24"/>
              </w:rPr>
              <w:t>Artículos Eure 2001-2013, Distribución por países</w:t>
            </w:r>
          </w:p>
        </w:tc>
        <w:tc>
          <w:tcPr>
            <w:tcW w:w="1140" w:type="dxa"/>
          </w:tcPr>
          <w:p>
            <w:pPr>
              <w:pStyle w:val="TableParagraph"/>
              <w:spacing w:before="57"/>
              <w:ind w:left="132" w:right="179"/>
              <w:jc w:val="center"/>
              <w:rPr>
                <w:sz w:val="24"/>
              </w:rPr>
            </w:pPr>
            <w:r>
              <w:rPr>
                <w:sz w:val="24"/>
              </w:rPr>
              <w:t>139</w:t>
            </w:r>
          </w:p>
        </w:tc>
      </w:tr>
      <w:tr>
        <w:trPr>
          <w:trHeight w:val="367" w:hRule="exact"/>
        </w:trPr>
        <w:tc>
          <w:tcPr>
            <w:tcW w:w="577" w:type="dxa"/>
          </w:tcPr>
          <w:p>
            <w:pPr>
              <w:pStyle w:val="TableParagraph"/>
              <w:spacing w:before="58"/>
              <w:ind w:left="180" w:right="88"/>
              <w:jc w:val="center"/>
              <w:rPr>
                <w:sz w:val="24"/>
              </w:rPr>
            </w:pPr>
            <w:r>
              <w:rPr>
                <w:color w:val="622322"/>
                <w:sz w:val="24"/>
              </w:rPr>
              <w:t>13</w:t>
            </w:r>
          </w:p>
        </w:tc>
        <w:tc>
          <w:tcPr>
            <w:tcW w:w="7333" w:type="dxa"/>
          </w:tcPr>
          <w:p>
            <w:pPr>
              <w:pStyle w:val="TableParagraph"/>
              <w:spacing w:before="56"/>
              <w:ind w:left="107"/>
              <w:rPr>
                <w:sz w:val="24"/>
              </w:rPr>
            </w:pPr>
            <w:r>
              <w:rPr>
                <w:sz w:val="24"/>
              </w:rPr>
              <w:t>Total de citas por año, 2001-2015</w:t>
            </w:r>
          </w:p>
        </w:tc>
        <w:tc>
          <w:tcPr>
            <w:tcW w:w="1140" w:type="dxa"/>
          </w:tcPr>
          <w:p>
            <w:pPr>
              <w:pStyle w:val="TableParagraph"/>
              <w:spacing w:before="58"/>
              <w:ind w:left="132" w:right="179"/>
              <w:jc w:val="center"/>
              <w:rPr>
                <w:sz w:val="24"/>
              </w:rPr>
            </w:pPr>
            <w:r>
              <w:rPr>
                <w:sz w:val="24"/>
              </w:rPr>
              <w:t>140</w:t>
            </w:r>
          </w:p>
        </w:tc>
      </w:tr>
      <w:tr>
        <w:trPr>
          <w:trHeight w:val="318" w:hRule="exact"/>
        </w:trPr>
        <w:tc>
          <w:tcPr>
            <w:tcW w:w="577" w:type="dxa"/>
          </w:tcPr>
          <w:p>
            <w:pPr>
              <w:pStyle w:val="TableParagraph"/>
              <w:spacing w:before="10"/>
              <w:ind w:left="180" w:right="88"/>
              <w:jc w:val="center"/>
              <w:rPr>
                <w:sz w:val="24"/>
              </w:rPr>
            </w:pPr>
            <w:r>
              <w:rPr>
                <w:sz w:val="24"/>
              </w:rPr>
              <w:t>14</w:t>
            </w:r>
          </w:p>
        </w:tc>
        <w:tc>
          <w:tcPr>
            <w:tcW w:w="7333" w:type="dxa"/>
          </w:tcPr>
          <w:p>
            <w:pPr>
              <w:pStyle w:val="TableParagraph"/>
              <w:spacing w:before="7"/>
              <w:ind w:left="107"/>
              <w:rPr>
                <w:sz w:val="24"/>
              </w:rPr>
            </w:pPr>
            <w:r>
              <w:rPr>
                <w:sz w:val="24"/>
              </w:rPr>
              <w:t>Porcentaje de artículos respecto a número de citas</w:t>
            </w:r>
          </w:p>
        </w:tc>
        <w:tc>
          <w:tcPr>
            <w:tcW w:w="1140" w:type="dxa"/>
          </w:tcPr>
          <w:p>
            <w:pPr>
              <w:pStyle w:val="TableParagraph"/>
              <w:spacing w:before="10"/>
              <w:ind w:left="132" w:right="179"/>
              <w:jc w:val="center"/>
              <w:rPr>
                <w:sz w:val="24"/>
              </w:rPr>
            </w:pPr>
            <w:r>
              <w:rPr>
                <w:sz w:val="24"/>
              </w:rPr>
              <w:t>141</w:t>
            </w:r>
          </w:p>
        </w:tc>
      </w:tr>
      <w:tr>
        <w:trPr>
          <w:trHeight w:val="317" w:hRule="exact"/>
        </w:trPr>
        <w:tc>
          <w:tcPr>
            <w:tcW w:w="577" w:type="dxa"/>
          </w:tcPr>
          <w:p>
            <w:pPr>
              <w:pStyle w:val="TableParagraph"/>
              <w:spacing w:before="9"/>
              <w:ind w:left="180" w:right="88"/>
              <w:jc w:val="center"/>
              <w:rPr>
                <w:sz w:val="24"/>
              </w:rPr>
            </w:pPr>
            <w:r>
              <w:rPr>
                <w:sz w:val="24"/>
              </w:rPr>
              <w:t>15</w:t>
            </w:r>
          </w:p>
        </w:tc>
        <w:tc>
          <w:tcPr>
            <w:tcW w:w="7333" w:type="dxa"/>
          </w:tcPr>
          <w:p>
            <w:pPr>
              <w:pStyle w:val="TableParagraph"/>
              <w:spacing w:before="6"/>
              <w:ind w:left="107"/>
              <w:rPr>
                <w:sz w:val="24"/>
              </w:rPr>
            </w:pPr>
            <w:r>
              <w:rPr>
                <w:sz w:val="24"/>
              </w:rPr>
              <w:t>Relación entre porcentaje de artículos y porcentaje de citas</w:t>
            </w:r>
          </w:p>
        </w:tc>
        <w:tc>
          <w:tcPr>
            <w:tcW w:w="1140" w:type="dxa"/>
          </w:tcPr>
          <w:p>
            <w:pPr>
              <w:pStyle w:val="TableParagraph"/>
              <w:spacing w:before="9"/>
              <w:ind w:left="131" w:right="179"/>
              <w:jc w:val="center"/>
              <w:rPr>
                <w:sz w:val="24"/>
              </w:rPr>
            </w:pPr>
            <w:r>
              <w:rPr>
                <w:sz w:val="24"/>
              </w:rPr>
              <w:t>142</w:t>
            </w:r>
          </w:p>
        </w:tc>
      </w:tr>
      <w:tr>
        <w:trPr>
          <w:trHeight w:val="318" w:hRule="exact"/>
        </w:trPr>
        <w:tc>
          <w:tcPr>
            <w:tcW w:w="577" w:type="dxa"/>
          </w:tcPr>
          <w:p>
            <w:pPr>
              <w:pStyle w:val="TableParagraph"/>
              <w:spacing w:before="9"/>
              <w:ind w:left="180" w:right="88"/>
              <w:jc w:val="center"/>
              <w:rPr>
                <w:sz w:val="24"/>
              </w:rPr>
            </w:pPr>
            <w:r>
              <w:rPr>
                <w:sz w:val="24"/>
              </w:rPr>
              <w:t>16</w:t>
            </w:r>
          </w:p>
        </w:tc>
        <w:tc>
          <w:tcPr>
            <w:tcW w:w="7333" w:type="dxa"/>
          </w:tcPr>
          <w:p>
            <w:pPr>
              <w:pStyle w:val="TableParagraph"/>
              <w:spacing w:before="6"/>
              <w:ind w:left="107"/>
              <w:rPr>
                <w:sz w:val="24"/>
              </w:rPr>
            </w:pPr>
            <w:r>
              <w:rPr>
                <w:sz w:val="24"/>
              </w:rPr>
              <w:t>30 artículos más citados de 2015</w:t>
            </w:r>
          </w:p>
        </w:tc>
        <w:tc>
          <w:tcPr>
            <w:tcW w:w="1140" w:type="dxa"/>
          </w:tcPr>
          <w:p>
            <w:pPr>
              <w:pStyle w:val="TableParagraph"/>
              <w:spacing w:before="9"/>
              <w:ind w:left="132" w:right="179"/>
              <w:jc w:val="center"/>
              <w:rPr>
                <w:sz w:val="24"/>
              </w:rPr>
            </w:pPr>
            <w:r>
              <w:rPr>
                <w:sz w:val="24"/>
              </w:rPr>
              <w:t>146</w:t>
            </w:r>
          </w:p>
        </w:tc>
      </w:tr>
      <w:tr>
        <w:trPr>
          <w:trHeight w:val="318" w:hRule="exact"/>
        </w:trPr>
        <w:tc>
          <w:tcPr>
            <w:tcW w:w="577" w:type="dxa"/>
          </w:tcPr>
          <w:p>
            <w:pPr>
              <w:pStyle w:val="TableParagraph"/>
              <w:spacing w:before="10"/>
              <w:ind w:left="180" w:right="88"/>
              <w:jc w:val="center"/>
              <w:rPr>
                <w:sz w:val="24"/>
              </w:rPr>
            </w:pPr>
            <w:r>
              <w:rPr>
                <w:sz w:val="24"/>
              </w:rPr>
              <w:t>17</w:t>
            </w:r>
          </w:p>
        </w:tc>
        <w:tc>
          <w:tcPr>
            <w:tcW w:w="7333" w:type="dxa"/>
          </w:tcPr>
          <w:p>
            <w:pPr>
              <w:pStyle w:val="TableParagraph"/>
              <w:spacing w:before="7"/>
              <w:ind w:left="107"/>
              <w:rPr>
                <w:sz w:val="24"/>
              </w:rPr>
            </w:pPr>
            <w:r>
              <w:rPr>
                <w:sz w:val="24"/>
              </w:rPr>
              <w:t>Autores por artículo</w:t>
            </w:r>
          </w:p>
        </w:tc>
        <w:tc>
          <w:tcPr>
            <w:tcW w:w="1140" w:type="dxa"/>
          </w:tcPr>
          <w:p>
            <w:pPr>
              <w:pStyle w:val="TableParagraph"/>
              <w:spacing w:before="10"/>
              <w:ind w:left="132" w:right="179"/>
              <w:jc w:val="center"/>
              <w:rPr>
                <w:sz w:val="24"/>
              </w:rPr>
            </w:pPr>
            <w:r>
              <w:rPr>
                <w:sz w:val="24"/>
              </w:rPr>
              <w:t>151</w:t>
            </w:r>
          </w:p>
        </w:tc>
      </w:tr>
      <w:tr>
        <w:trPr>
          <w:trHeight w:val="317" w:hRule="exact"/>
        </w:trPr>
        <w:tc>
          <w:tcPr>
            <w:tcW w:w="577" w:type="dxa"/>
          </w:tcPr>
          <w:p>
            <w:pPr>
              <w:pStyle w:val="TableParagraph"/>
              <w:spacing w:before="9"/>
              <w:ind w:left="180" w:right="88"/>
              <w:jc w:val="center"/>
              <w:rPr>
                <w:sz w:val="24"/>
              </w:rPr>
            </w:pPr>
            <w:r>
              <w:rPr>
                <w:sz w:val="24"/>
              </w:rPr>
              <w:t>18</w:t>
            </w:r>
          </w:p>
        </w:tc>
        <w:tc>
          <w:tcPr>
            <w:tcW w:w="7333" w:type="dxa"/>
          </w:tcPr>
          <w:p>
            <w:pPr>
              <w:pStyle w:val="TableParagraph"/>
              <w:spacing w:before="6"/>
              <w:ind w:left="107"/>
              <w:rPr>
                <w:sz w:val="24"/>
              </w:rPr>
            </w:pPr>
            <w:r>
              <w:rPr>
                <w:sz w:val="24"/>
              </w:rPr>
              <w:t>Artículos por año</w:t>
            </w:r>
          </w:p>
        </w:tc>
        <w:tc>
          <w:tcPr>
            <w:tcW w:w="1140" w:type="dxa"/>
          </w:tcPr>
          <w:p>
            <w:pPr>
              <w:pStyle w:val="TableParagraph"/>
              <w:spacing w:before="9"/>
              <w:ind w:left="132" w:right="179"/>
              <w:jc w:val="center"/>
              <w:rPr>
                <w:sz w:val="24"/>
              </w:rPr>
            </w:pPr>
            <w:r>
              <w:rPr>
                <w:sz w:val="24"/>
              </w:rPr>
              <w:t>151</w:t>
            </w:r>
          </w:p>
        </w:tc>
      </w:tr>
      <w:tr>
        <w:trPr>
          <w:trHeight w:val="317" w:hRule="exact"/>
        </w:trPr>
        <w:tc>
          <w:tcPr>
            <w:tcW w:w="577" w:type="dxa"/>
          </w:tcPr>
          <w:p>
            <w:pPr>
              <w:pStyle w:val="TableParagraph"/>
              <w:spacing w:before="9"/>
              <w:ind w:left="180" w:right="88"/>
              <w:jc w:val="center"/>
              <w:rPr>
                <w:sz w:val="24"/>
              </w:rPr>
            </w:pPr>
            <w:r>
              <w:rPr>
                <w:sz w:val="24"/>
              </w:rPr>
              <w:t>19</w:t>
            </w:r>
          </w:p>
        </w:tc>
        <w:tc>
          <w:tcPr>
            <w:tcW w:w="7333" w:type="dxa"/>
          </w:tcPr>
          <w:p>
            <w:pPr>
              <w:pStyle w:val="TableParagraph"/>
              <w:spacing w:before="6"/>
              <w:ind w:left="107"/>
              <w:rPr>
                <w:sz w:val="24"/>
              </w:rPr>
            </w:pPr>
            <w:r>
              <w:rPr>
                <w:sz w:val="24"/>
              </w:rPr>
              <w:t>Origen disciplinar de la investigación</w:t>
            </w:r>
          </w:p>
        </w:tc>
        <w:tc>
          <w:tcPr>
            <w:tcW w:w="1140" w:type="dxa"/>
          </w:tcPr>
          <w:p>
            <w:pPr>
              <w:pStyle w:val="TableParagraph"/>
              <w:spacing w:before="9"/>
              <w:ind w:left="132" w:right="179"/>
              <w:jc w:val="center"/>
              <w:rPr>
                <w:sz w:val="24"/>
              </w:rPr>
            </w:pPr>
            <w:r>
              <w:rPr>
                <w:sz w:val="24"/>
              </w:rPr>
              <w:t>152</w:t>
            </w:r>
          </w:p>
        </w:tc>
      </w:tr>
      <w:tr>
        <w:trPr>
          <w:trHeight w:val="318" w:hRule="exact"/>
        </w:trPr>
        <w:tc>
          <w:tcPr>
            <w:tcW w:w="577" w:type="dxa"/>
          </w:tcPr>
          <w:p>
            <w:pPr>
              <w:pStyle w:val="TableParagraph"/>
              <w:spacing w:before="9"/>
              <w:ind w:left="180" w:right="88"/>
              <w:jc w:val="center"/>
              <w:rPr>
                <w:sz w:val="24"/>
              </w:rPr>
            </w:pPr>
            <w:r>
              <w:rPr>
                <w:sz w:val="24"/>
              </w:rPr>
              <w:t>20</w:t>
            </w:r>
          </w:p>
        </w:tc>
        <w:tc>
          <w:tcPr>
            <w:tcW w:w="7333" w:type="dxa"/>
          </w:tcPr>
          <w:p>
            <w:pPr>
              <w:pStyle w:val="TableParagraph"/>
              <w:spacing w:before="6"/>
              <w:ind w:left="107"/>
              <w:rPr>
                <w:sz w:val="24"/>
              </w:rPr>
            </w:pPr>
            <w:r>
              <w:rPr>
                <w:sz w:val="24"/>
              </w:rPr>
              <w:t>Tipo de Investigación</w:t>
            </w:r>
          </w:p>
        </w:tc>
        <w:tc>
          <w:tcPr>
            <w:tcW w:w="1140" w:type="dxa"/>
          </w:tcPr>
          <w:p>
            <w:pPr>
              <w:pStyle w:val="TableParagraph"/>
              <w:spacing w:before="9"/>
              <w:ind w:left="132" w:right="179"/>
              <w:jc w:val="center"/>
              <w:rPr>
                <w:sz w:val="24"/>
              </w:rPr>
            </w:pPr>
            <w:r>
              <w:rPr>
                <w:sz w:val="24"/>
              </w:rPr>
              <w:t>153</w:t>
            </w:r>
          </w:p>
        </w:tc>
      </w:tr>
      <w:tr>
        <w:trPr>
          <w:trHeight w:val="281" w:hRule="exact"/>
        </w:trPr>
        <w:tc>
          <w:tcPr>
            <w:tcW w:w="577" w:type="dxa"/>
          </w:tcPr>
          <w:p>
            <w:pPr>
              <w:pStyle w:val="TableParagraph"/>
              <w:spacing w:before="10"/>
              <w:ind w:left="180" w:right="88"/>
              <w:jc w:val="center"/>
              <w:rPr>
                <w:sz w:val="24"/>
              </w:rPr>
            </w:pPr>
            <w:r>
              <w:rPr>
                <w:sz w:val="24"/>
              </w:rPr>
              <w:t>21</w:t>
            </w:r>
          </w:p>
        </w:tc>
        <w:tc>
          <w:tcPr>
            <w:tcW w:w="7333" w:type="dxa"/>
          </w:tcPr>
          <w:p>
            <w:pPr>
              <w:pStyle w:val="TableParagraph"/>
              <w:spacing w:before="7"/>
              <w:ind w:left="107"/>
              <w:rPr>
                <w:sz w:val="24"/>
              </w:rPr>
            </w:pPr>
            <w:r>
              <w:rPr>
                <w:sz w:val="24"/>
              </w:rPr>
              <w:t>Nivel metodológico</w:t>
            </w:r>
          </w:p>
        </w:tc>
        <w:tc>
          <w:tcPr>
            <w:tcW w:w="1140" w:type="dxa"/>
          </w:tcPr>
          <w:p>
            <w:pPr>
              <w:pStyle w:val="TableParagraph"/>
              <w:spacing w:before="10"/>
              <w:ind w:left="132" w:right="179"/>
              <w:jc w:val="center"/>
              <w:rPr>
                <w:sz w:val="24"/>
              </w:rPr>
            </w:pPr>
            <w:r>
              <w:rPr>
                <w:sz w:val="24"/>
              </w:rPr>
              <w:t>153</w:t>
            </w:r>
          </w:p>
        </w:tc>
      </w:tr>
    </w:tbl>
    <w:p>
      <w:pPr>
        <w:spacing w:after="0"/>
        <w:jc w:val="center"/>
        <w:rPr>
          <w:sz w:val="24"/>
        </w:rPr>
        <w:sectPr>
          <w:pgSz w:w="12240" w:h="15840"/>
          <w:pgMar w:header="0" w:footer="689" w:top="1500" w:bottom="880" w:left="1480" w:right="1480"/>
        </w:sectPr>
      </w:pPr>
    </w:p>
    <w:p>
      <w:pPr>
        <w:spacing w:before="54"/>
        <w:ind w:left="102" w:right="0" w:firstLine="7383"/>
        <w:jc w:val="left"/>
        <w:rPr>
          <w:b/>
          <w:sz w:val="24"/>
        </w:rPr>
      </w:pPr>
      <w:r>
        <w:rPr>
          <w:b/>
          <w:sz w:val="24"/>
        </w:rPr>
        <w:t>Introducción</w:t>
      </w:r>
    </w:p>
    <w:p>
      <w:pPr>
        <w:pStyle w:val="BodyText"/>
        <w:rPr>
          <w:b/>
        </w:rPr>
      </w:pPr>
    </w:p>
    <w:p>
      <w:pPr>
        <w:pStyle w:val="BodyText"/>
        <w:rPr>
          <w:b/>
        </w:rPr>
      </w:pPr>
    </w:p>
    <w:p>
      <w:pPr>
        <w:pStyle w:val="BodyText"/>
        <w:spacing w:line="360" w:lineRule="auto"/>
        <w:ind w:left="102" w:right="116"/>
        <w:jc w:val="both"/>
      </w:pPr>
      <w:r>
        <w:rPr/>
        <w:t>Cuando inicias un programa de posgrado ya sea maestría o doctorado, y finalmente has podido delimitar tu objeto de investigación, sin antes haberle dedicado muchísimas horas de clases y talleres de investigación, confirmas que para llegar a ese fin debiste cumplir con algunas </w:t>
      </w:r>
      <w:r>
        <w:rPr>
          <w:i/>
        </w:rPr>
        <w:t>formas </w:t>
      </w:r>
      <w:r>
        <w:rPr/>
        <w:t>que son propias de la investigación científica que, dicho sea de paso, son aspectos esenciales en tu formación académica.</w:t>
      </w:r>
    </w:p>
    <w:p>
      <w:pPr>
        <w:pStyle w:val="BodyText"/>
      </w:pPr>
    </w:p>
    <w:p>
      <w:pPr>
        <w:pStyle w:val="BodyText"/>
        <w:spacing w:line="360" w:lineRule="auto" w:before="142"/>
        <w:ind w:left="102" w:right="116"/>
        <w:jc w:val="both"/>
      </w:pPr>
      <w:r>
        <w:rPr/>
        <w:t>Que tus asesores y revisores acepten tu tema de investigación te lleva a  preguntas como ¿Quiénes son los principales investigadores que han tratado el tema? ¿Cuáles son los marcos teóricos existentes? ¿Cuáles son las principales corrientes de pensamiento sobre el objeto de estudio que planteo? y, por si fuera poco, ¿Qué estrategias de análisis se han propuesto? y ¿Cómo aplicarlas en nuestro caso de estudio? Estas preguntas nos ayudan a responder sobre lo que conocemos pero ¿Qué sucede con lo que a veces desconocemos? Tal parece </w:t>
      </w:r>
      <w:r>
        <w:rPr>
          <w:spacing w:val="-2"/>
        </w:rPr>
        <w:t>que </w:t>
      </w:r>
      <w:r>
        <w:rPr/>
        <w:t>como estudiante es necesario hacer el reconocimiento de que algunos elementos no son considerados en nuestra</w:t>
      </w:r>
      <w:r>
        <w:rPr>
          <w:spacing w:val="-14"/>
        </w:rPr>
        <w:t> </w:t>
      </w:r>
      <w:r>
        <w:rPr/>
        <w:t>investigación.</w:t>
      </w:r>
    </w:p>
    <w:p>
      <w:pPr>
        <w:pStyle w:val="BodyText"/>
      </w:pPr>
    </w:p>
    <w:p>
      <w:pPr>
        <w:pStyle w:val="BodyText"/>
        <w:spacing w:line="360" w:lineRule="auto" w:before="142"/>
        <w:ind w:left="102" w:right="116"/>
        <w:jc w:val="both"/>
      </w:pPr>
      <w:r>
        <w:rPr/>
        <w:t>Si bien nuestro tema de estudio fue aprobado, aún quedan algunas inquietudes sobre cómo cumplimos ese objetivo principalmente por lo complejo que es la investigación científica; ante las posibles certezas que te da el tener un problema de estudio definido, aún tratamos de hacer visible lo que ha quedado cubierto por ellas y te preguntas ¿Por qué implícita o explícitamente seleccionamos un tema de investigación en desestimación de otro? ¿Desde qué perspectiva realizamos esta selección? ¿Desde qué bases hacemos nuestra reflexión?</w:t>
      </w:r>
    </w:p>
    <w:p>
      <w:pPr>
        <w:pStyle w:val="BodyText"/>
      </w:pPr>
    </w:p>
    <w:p>
      <w:pPr>
        <w:pStyle w:val="BodyText"/>
        <w:spacing w:line="360" w:lineRule="auto" w:before="142"/>
        <w:ind w:left="102" w:right="114"/>
        <w:jc w:val="both"/>
      </w:pPr>
      <w:r>
        <w:rPr/>
        <w:t>Si estos cuestionamientos los trasladamos al ámbito de quienes profesionalmente realizan la investigación científica, entonces las preguntas a responder podrían ser</w:t>
      </w:r>
    </w:p>
    <w:p>
      <w:pPr>
        <w:pStyle w:val="BodyText"/>
        <w:spacing w:line="360" w:lineRule="auto" w:before="2"/>
        <w:ind w:left="102" w:right="117"/>
        <w:jc w:val="both"/>
      </w:pPr>
      <w:r>
        <w:rPr/>
        <w:t>¿Qué reglas definen si un tema es alentado o rechazado por una comunidad científica?  ¿Qué  factores  delimitan  la  agenda  de  investigación?  ¿Desde   qué</w:t>
      </w:r>
    </w:p>
    <w:p>
      <w:pPr>
        <w:spacing w:after="0" w:line="360" w:lineRule="auto"/>
        <w:jc w:val="both"/>
        <w:sectPr>
          <w:pgSz w:w="12240" w:h="15840"/>
          <w:pgMar w:header="0" w:footer="689" w:top="1360" w:bottom="880" w:left="1600" w:right="1580"/>
        </w:sectPr>
      </w:pPr>
    </w:p>
    <w:p>
      <w:pPr>
        <w:pStyle w:val="BodyText"/>
        <w:spacing w:line="360" w:lineRule="auto" w:before="54"/>
        <w:ind w:left="102" w:right="116"/>
        <w:jc w:val="both"/>
      </w:pPr>
      <w:r>
        <w:rPr/>
        <w:t>posturas los especialistas han contribuido a su estudio? ¿Qué implicaciones tienen estas acciones para la ciencia o disciplina?</w:t>
      </w:r>
    </w:p>
    <w:p>
      <w:pPr>
        <w:pStyle w:val="BodyText"/>
      </w:pPr>
    </w:p>
    <w:p>
      <w:pPr>
        <w:pStyle w:val="BodyText"/>
        <w:spacing w:line="360" w:lineRule="auto" w:before="142"/>
        <w:ind w:left="102" w:right="114"/>
        <w:jc w:val="both"/>
      </w:pPr>
      <w:r>
        <w:rPr/>
        <w:t>Sin duda para las diferentes disciplinas científicas las respuestas a estas interrogantes tendrán algunas particularidades, en el entendido que provienen desde cuestiones internas a la investigación (postulados teórico-metodológicos) y externas (pertenencia a una comunidad científica, financiamiento y difusión de hallazgos).</w:t>
      </w:r>
    </w:p>
    <w:p>
      <w:pPr>
        <w:pStyle w:val="BodyText"/>
      </w:pPr>
    </w:p>
    <w:p>
      <w:pPr>
        <w:pStyle w:val="BodyText"/>
        <w:spacing w:line="360" w:lineRule="auto" w:before="142"/>
        <w:ind w:left="102" w:right="115"/>
        <w:jc w:val="both"/>
      </w:pPr>
      <w:r>
        <w:rPr/>
        <w:t>Para el caso de la Investigación Urbana Latinoamericana (IUL) el panorama es  aún más complejo, primero porque es el área de confluencia de disciplinas, que en un primer acercamiento podemos establecer a la arquitectura, historia, geografía, economía y sociología como </w:t>
      </w:r>
      <w:r>
        <w:rPr>
          <w:i/>
        </w:rPr>
        <w:t>disciplinas base </w:t>
      </w:r>
      <w:r>
        <w:rPr/>
        <w:t>que posteriormente </w:t>
      </w:r>
      <w:r>
        <w:rPr>
          <w:i/>
        </w:rPr>
        <w:t>generaron </w:t>
      </w:r>
      <w:r>
        <w:rPr>
          <w:i/>
        </w:rPr>
        <w:t>disciplinas híbridas </w:t>
      </w:r>
      <w:r>
        <w:rPr/>
        <w:t>como la sociología urbana, planeación urbana, estudios urbanos, geografía urbana, demografía urbana que en conjunto abordarán los procesos sociales con un referente físico para delimitar su objeto de estudio. Segundo por la interrelación creciente de las disciplinas en favor de una mayor cooperación científica nacional e internacional y el uso de las Tecnologías de la Información y la Comunicación (TIC) que juega un papel</w:t>
      </w:r>
      <w:r>
        <w:rPr>
          <w:spacing w:val="-26"/>
        </w:rPr>
        <w:t> </w:t>
      </w:r>
      <w:r>
        <w:rPr/>
        <w:t>fundamental.</w:t>
      </w:r>
    </w:p>
    <w:p>
      <w:pPr>
        <w:pStyle w:val="BodyText"/>
      </w:pPr>
    </w:p>
    <w:p>
      <w:pPr>
        <w:pStyle w:val="BodyText"/>
        <w:spacing w:line="360" w:lineRule="auto" w:before="139"/>
        <w:ind w:left="102" w:right="120"/>
        <w:jc w:val="both"/>
      </w:pPr>
      <w:r>
        <w:rPr/>
        <w:t>Si bien Garza (1996) en su libro </w:t>
      </w:r>
      <w:r>
        <w:rPr>
          <w:i/>
        </w:rPr>
        <w:t>Cincuenta años de investigación urbana y regional </w:t>
      </w:r>
      <w:r>
        <w:rPr>
          <w:i/>
        </w:rPr>
        <w:t>en México 1940-1991 </w:t>
      </w:r>
      <w:r>
        <w:rPr/>
        <w:t>ofreció un panorama general de esta área de investigación para México, aún es necesario identificar las características de esta disciplina a nivel Latinoamérica porque en países como Brasil, Chile y Argentina hay una importante producción científica sobre esta área disciplinar.</w:t>
      </w:r>
    </w:p>
    <w:p>
      <w:pPr>
        <w:pStyle w:val="BodyText"/>
      </w:pPr>
    </w:p>
    <w:p>
      <w:pPr>
        <w:pStyle w:val="BodyText"/>
        <w:spacing w:line="360" w:lineRule="auto" w:before="142"/>
        <w:ind w:left="102" w:right="115"/>
        <w:jc w:val="both"/>
      </w:pPr>
      <w:r>
        <w:rPr/>
        <w:t>El estudio de la investigación urbana contemporánea en Latinoamérica a primera vista parece una propuesta llana sobre un proceso que por sí mismo ha sido explicado; es decir que a partir de la cientificidad que cada investigador otorga a sus aportaciones se da por entendida la disciplina y el área disciplinar; sin embargo, aún es necesario tener un panorama general de la disciplina donde se</w:t>
      </w:r>
    </w:p>
    <w:p>
      <w:pPr>
        <w:spacing w:after="0" w:line="360" w:lineRule="auto"/>
        <w:jc w:val="both"/>
        <w:sectPr>
          <w:pgSz w:w="12240" w:h="15840"/>
          <w:pgMar w:header="0" w:footer="689" w:top="1360" w:bottom="880" w:left="1600" w:right="1580"/>
        </w:sectPr>
      </w:pPr>
    </w:p>
    <w:p>
      <w:pPr>
        <w:pStyle w:val="BodyText"/>
        <w:spacing w:line="360" w:lineRule="auto" w:before="54"/>
        <w:ind w:left="102" w:right="115"/>
        <w:jc w:val="both"/>
      </w:pPr>
      <w:r>
        <w:rPr/>
        <w:t>hagan visibles los postulados teórico-metodológicos en el contexto de las prácticas científicas.</w:t>
      </w:r>
    </w:p>
    <w:p>
      <w:pPr>
        <w:pStyle w:val="BodyText"/>
      </w:pPr>
    </w:p>
    <w:p>
      <w:pPr>
        <w:pStyle w:val="BodyText"/>
        <w:spacing w:line="360" w:lineRule="auto" w:before="139"/>
        <w:ind w:left="102" w:right="116"/>
        <w:jc w:val="both"/>
      </w:pPr>
      <w:r>
        <w:rPr/>
        <w:t>En este sentido la idea de realizar una </w:t>
      </w:r>
      <w:r>
        <w:rPr>
          <w:i/>
        </w:rPr>
        <w:t>investigación sobre investigaciones </w:t>
      </w:r>
      <w:r>
        <w:rPr/>
        <w:t>puede generar algunas desconfianzas que apelen a que en el mejor de los casos se obtendrá un estado del arte o una lista de temas y autores que darán un panorama sobre las </w:t>
      </w:r>
      <w:r>
        <w:rPr>
          <w:i/>
        </w:rPr>
        <w:t>modas intelectuales </w:t>
      </w:r>
      <w:r>
        <w:rPr/>
        <w:t>y sobre el </w:t>
      </w:r>
      <w:r>
        <w:rPr>
          <w:i/>
        </w:rPr>
        <w:t>rating </w:t>
      </w:r>
      <w:r>
        <w:rPr/>
        <w:t>de popularidad de los especialistas en el tema, —aunque éste fuera el caso no sería un trabajo de menor importancia—; sin embargo verlo de esta forma deja de lado la complejidad del área y la discusión en torno a: 1) Su objeto de estudio y los problema de investigación, 2) Características teóricas metodológicas, 3) Propuestas teóricas </w:t>
      </w:r>
      <w:r>
        <w:rPr>
          <w:i/>
        </w:rPr>
        <w:t>poco reconocidas </w:t>
      </w:r>
      <w:r>
        <w:rPr/>
        <w:t>y 4) La divulgación del conocimiento de la disciplina como una práctica científica.</w:t>
      </w:r>
    </w:p>
    <w:p>
      <w:pPr>
        <w:pStyle w:val="BodyText"/>
      </w:pPr>
    </w:p>
    <w:p>
      <w:pPr>
        <w:pStyle w:val="BodyText"/>
        <w:spacing w:line="360" w:lineRule="auto" w:before="142"/>
        <w:ind w:left="102" w:right="115"/>
        <w:jc w:val="both"/>
      </w:pPr>
      <w:r>
        <w:rPr/>
        <w:t>Como actividad científica destaca el hecho de que es realizada por un grupo de especialistas de varias disciplinas cuyas prácticas científicas están vinculadas a la forma de producción, divulgación, evaluación y enseñanza. Como productos  finales podemos resaltar la publicación de artículos y libros, organización de seminarios, presentación de ponencias, elaboración de proyectos de investigación, obtención de fuentes de financiamiento y, si se diera el caso, registro de</w:t>
      </w:r>
      <w:r>
        <w:rPr>
          <w:spacing w:val="-19"/>
        </w:rPr>
        <w:t> </w:t>
      </w:r>
      <w:r>
        <w:rPr/>
        <w:t>patentes.</w:t>
      </w:r>
    </w:p>
    <w:p>
      <w:pPr>
        <w:pStyle w:val="BodyText"/>
      </w:pPr>
    </w:p>
    <w:p>
      <w:pPr>
        <w:pStyle w:val="BodyText"/>
        <w:spacing w:line="360" w:lineRule="auto" w:before="142"/>
        <w:ind w:left="102" w:right="115"/>
        <w:jc w:val="both"/>
      </w:pPr>
      <w:r>
        <w:rPr/>
        <w:t>Por lo tanto este trabajo de tesis se ubica dentro del contexto de discusión científica en torno a la IUL para resaltar los niveles que deben ser incluidos  cuando se realice un análisis de ella, que la mayoría de las veces se deja a un lado, y también para poner en la mesa de discusión la necesidad de abordar las prácticas científicas de la IUL como un elemento indispensable en su quehacer científico, sólo considerando estos ámbitos se podrá dar respuesta a las problemáticas que enfrenta la</w:t>
      </w:r>
      <w:r>
        <w:rPr>
          <w:spacing w:val="-14"/>
        </w:rPr>
        <w:t> </w:t>
      </w:r>
      <w:r>
        <w:rPr/>
        <w:t>IUL.</w:t>
      </w:r>
    </w:p>
    <w:p>
      <w:pPr>
        <w:spacing w:after="0" w:line="360" w:lineRule="auto"/>
        <w:jc w:val="both"/>
        <w:sectPr>
          <w:pgSz w:w="12240" w:h="15840"/>
          <w:pgMar w:header="0" w:footer="689" w:top="1360" w:bottom="880" w:left="1600" w:right="1580"/>
        </w:sectPr>
      </w:pPr>
    </w:p>
    <w:p>
      <w:pPr>
        <w:pStyle w:val="Heading1"/>
        <w:spacing w:before="54"/>
        <w:ind w:left="0" w:right="118"/>
        <w:jc w:val="right"/>
      </w:pPr>
      <w:r>
        <w:rPr/>
        <w:t>Protocolo</w:t>
      </w:r>
    </w:p>
    <w:p>
      <w:pPr>
        <w:pStyle w:val="BodyText"/>
        <w:rPr>
          <w:b/>
        </w:rPr>
      </w:pPr>
    </w:p>
    <w:p>
      <w:pPr>
        <w:pStyle w:val="BodyText"/>
        <w:rPr>
          <w:b/>
        </w:rPr>
      </w:pPr>
    </w:p>
    <w:p>
      <w:pPr>
        <w:pStyle w:val="BodyText"/>
        <w:spacing w:line="360" w:lineRule="auto"/>
        <w:ind w:left="102" w:right="118" w:firstLine="7196"/>
        <w:jc w:val="both"/>
      </w:pPr>
      <w:r>
        <w:rPr>
          <w:b/>
        </w:rPr>
        <w:t>Marco Teórico </w:t>
      </w:r>
      <w:r>
        <w:rPr/>
        <w:t>Para el análisis de la Investigación Urbana Latinoamericana (IUL) se parte de un enfoque metateórico con el que se reconoce que el estudio de la ciencias y las disciplinas científicas no debe realizarse sólo sobre la estructura de las teorías, sino además de sus prácticas científicas. De esta forma se parte de la propuesta de Lorenzano (2011), Olivé (2008) y Díez y Moulines (2008) para establecer lo que es un estudio metateórico.</w:t>
      </w:r>
    </w:p>
    <w:p>
      <w:pPr>
        <w:pStyle w:val="BodyText"/>
      </w:pPr>
    </w:p>
    <w:p>
      <w:pPr>
        <w:pStyle w:val="BodyText"/>
        <w:spacing w:line="360" w:lineRule="auto" w:before="142"/>
        <w:ind w:left="102" w:right="118"/>
        <w:jc w:val="both"/>
      </w:pPr>
      <w:r>
        <w:rPr/>
        <w:t>De las conceptuaciones de estos autores podemos señalar dos enfoques: a) Interno y b) Externo. En el primero se establece que el papel fundamental de los estudios sobre la ciencia es explicar sólo conceptos y teorías. En el segundo va más allá del contexto interno de las teorías y agrega el impacto recíproco entre la ciencia y el contexto social.</w:t>
      </w:r>
    </w:p>
    <w:p>
      <w:pPr>
        <w:pStyle w:val="BodyText"/>
      </w:pPr>
    </w:p>
    <w:p>
      <w:pPr>
        <w:pStyle w:val="BodyText"/>
        <w:spacing w:line="360" w:lineRule="auto" w:before="142"/>
        <w:ind w:left="102" w:right="117"/>
        <w:jc w:val="both"/>
      </w:pPr>
      <w:r>
        <w:rPr/>
        <w:t>Para establecer la demarcación disciplinar entre filosofía de la ciencia y la epistemología continuamos con Olivé (2000) y Lorenzano (2011), esta demarcación se realiza a causa de un cambio de paradigma en el estudio de la ciencia a partir de Ian Hacking (1985) que establece que la ciencia no puede reducirse al desarrollo y contrastación de teorías, sino además implica las prácticas que llevan a cabo los científicos. Con Martínez (1999) se establecen las características de la ciencia en cuanto a sus paradigmas</w:t>
      </w:r>
      <w:r>
        <w:rPr>
          <w:spacing w:val="-21"/>
        </w:rPr>
        <w:t> </w:t>
      </w:r>
      <w:r>
        <w:rPr/>
        <w:t>filosóficos.</w:t>
      </w:r>
    </w:p>
    <w:p>
      <w:pPr>
        <w:pStyle w:val="BodyText"/>
      </w:pPr>
    </w:p>
    <w:p>
      <w:pPr>
        <w:pStyle w:val="BodyText"/>
        <w:spacing w:line="360" w:lineRule="auto" w:before="142"/>
        <w:ind w:left="102" w:right="114"/>
        <w:jc w:val="both"/>
      </w:pPr>
      <w:r>
        <w:rPr/>
        <w:t>En el capítulo II se retoman las propuestas de Wallerstein (2001) y Pedroza (2003) para delimitar el surgimiento de las disciplinas; en este proceso se dieron varias demarcaciones, la primera de ellas fue entre la ciencia y la religión, posteriormente entre filosofía y ciencia, y por último entre ciencia natural y ciencia social. Las primeras disciplinas que se crearon fueron matemáticas, física, química y biología dentro de la ciencia natural, después en la ciencia social se crearon la   economía,</w:t>
      </w:r>
    </w:p>
    <w:p>
      <w:pPr>
        <w:spacing w:after="0" w:line="360" w:lineRule="auto"/>
        <w:jc w:val="both"/>
        <w:sectPr>
          <w:pgSz w:w="12240" w:h="15840"/>
          <w:pgMar w:header="0" w:footer="689" w:top="1360" w:bottom="880" w:left="1600" w:right="1580"/>
        </w:sectPr>
      </w:pPr>
    </w:p>
    <w:p>
      <w:pPr>
        <w:pStyle w:val="BodyText"/>
        <w:spacing w:line="360" w:lineRule="auto" w:before="54"/>
        <w:ind w:left="102" w:right="118"/>
        <w:jc w:val="both"/>
      </w:pPr>
      <w:r>
        <w:rPr/>
        <w:t>ciencia política y sociología. Con estas propuestas se aborda el papel  </w:t>
      </w:r>
      <w:r>
        <w:rPr>
          <w:spacing w:val="-2"/>
        </w:rPr>
        <w:t>que  </w:t>
      </w:r>
      <w:r>
        <w:rPr/>
        <w:t>tuvieron las universidades en el disciplinamiento del</w:t>
      </w:r>
      <w:r>
        <w:rPr>
          <w:spacing w:val="-16"/>
        </w:rPr>
        <w:t> </w:t>
      </w:r>
      <w:r>
        <w:rPr/>
        <w:t>conocimiento.</w:t>
      </w:r>
    </w:p>
    <w:p>
      <w:pPr>
        <w:pStyle w:val="BodyText"/>
      </w:pPr>
    </w:p>
    <w:p>
      <w:pPr>
        <w:pStyle w:val="BodyText"/>
        <w:spacing w:line="360" w:lineRule="auto" w:before="142"/>
        <w:ind w:left="102" w:right="116"/>
        <w:jc w:val="both"/>
      </w:pPr>
      <w:r>
        <w:rPr/>
        <w:t>También se retoma a Bunge (2000) como una de las principales categorizaciones de las disciplinas durante el siglo XX, para este autor la ciencia está divida en: a) Formal y b) Factual (natural, biosocial y social). La ciencia factual natural está integrada por la física, química, biología y psicología individual. La biosocial por la antropología, demografía, psicología social y bioeconomía. Finalmente la ciencia factual social está integrada por la sociología, economía, ciencia política, historia material e historia de las ideas. Finalmente se hace un análisis de los campos de la ciencia de la</w:t>
      </w:r>
      <w:r>
        <w:rPr>
          <w:spacing w:val="-4"/>
        </w:rPr>
        <w:t> </w:t>
      </w:r>
      <w:r>
        <w:rPr/>
        <w:t>UNESCO.</w:t>
      </w:r>
    </w:p>
    <w:p>
      <w:pPr>
        <w:pStyle w:val="BodyText"/>
      </w:pPr>
    </w:p>
    <w:p>
      <w:pPr>
        <w:pStyle w:val="BodyText"/>
        <w:spacing w:line="360" w:lineRule="auto" w:before="142"/>
        <w:ind w:left="102" w:right="116"/>
        <w:jc w:val="both"/>
      </w:pPr>
      <w:r>
        <w:rPr/>
        <w:t>En el capítulo III se retoman los trabajos de Kowarick (1990), Carrión (1990), Coraggio (1992), Lungo (1996), Schteingart (2000) y Méndez (2006) con  los cuales se identifica la complejidad de la investigación urbana a partir de cuatro particularidades: 1). El número de aportaciones que se hacen desde diversas disciplinas; 2). Las diferentes formas en que se construyen los objetos de estudio y los problemas de investigación; 3). La temporalidad y espacialidad  correspondiente a cada país, independientemente de las semejanzas socioeconómicas que pudieran encontrarse entre ellos; y 4). La influencia que pudieran tener las instituciones académicas así como de financiamiento sobre las agendas de</w:t>
      </w:r>
      <w:r>
        <w:rPr>
          <w:spacing w:val="-12"/>
        </w:rPr>
        <w:t> </w:t>
      </w:r>
      <w:r>
        <w:rPr/>
        <w:t>investigación.</w:t>
      </w:r>
    </w:p>
    <w:p>
      <w:pPr>
        <w:pStyle w:val="BodyText"/>
      </w:pPr>
    </w:p>
    <w:p>
      <w:pPr>
        <w:pStyle w:val="BodyText"/>
        <w:spacing w:line="360" w:lineRule="auto" w:before="142"/>
        <w:ind w:left="102" w:right="115"/>
        <w:jc w:val="both"/>
      </w:pPr>
      <w:r>
        <w:rPr/>
        <w:t>Se considera el urbanismo, la planeación territorial y los estudios urbanos como algunas de las principales disciplinas dentro de la IUL, por lo cual se toma la propuesta de Almandoz (2003) para identificar las demarcaciones de estas disciplinas, por último se hacen referencias a las principales propuestas teóricas  en los objetos de estudio de la</w:t>
      </w:r>
      <w:r>
        <w:rPr>
          <w:spacing w:val="-13"/>
        </w:rPr>
        <w:t> </w:t>
      </w:r>
      <w:r>
        <w:rPr/>
        <w:t>IUL.</w:t>
      </w:r>
    </w:p>
    <w:p>
      <w:pPr>
        <w:pStyle w:val="BodyText"/>
      </w:pPr>
    </w:p>
    <w:p>
      <w:pPr>
        <w:pStyle w:val="BodyText"/>
        <w:spacing w:line="360" w:lineRule="auto" w:before="139"/>
        <w:ind w:left="102" w:right="114"/>
        <w:jc w:val="both"/>
      </w:pPr>
      <w:r>
        <w:rPr/>
        <w:t>En el capítulo IV se considera a Suárez (2003) para hacer referencia a las características de las teorías y a las prácticas científicas, donde una práctica es  el</w:t>
      </w:r>
    </w:p>
    <w:p>
      <w:pPr>
        <w:spacing w:after="0" w:line="360" w:lineRule="auto"/>
        <w:jc w:val="both"/>
        <w:sectPr>
          <w:pgSz w:w="12240" w:h="15840"/>
          <w:pgMar w:header="0" w:footer="689" w:top="1360" w:bottom="880" w:left="1600" w:right="1580"/>
        </w:sectPr>
      </w:pPr>
    </w:p>
    <w:p>
      <w:pPr>
        <w:pStyle w:val="BodyText"/>
        <w:spacing w:line="360" w:lineRule="auto" w:before="54"/>
        <w:ind w:left="102" w:right="117"/>
        <w:jc w:val="both"/>
      </w:pPr>
      <w:r>
        <w:rPr/>
        <w:t>tipo de actividades que define a las comunidades y campos de investigación. Mientras que Foucault (1973) y Lvotard (1991) resaltan el papel de la tecnología sobre el discurso; sobre cómo la relación entre conocimiento científico y comunicación es sustancial en el proceso de significación del discurso.</w:t>
      </w:r>
    </w:p>
    <w:p>
      <w:pPr>
        <w:pStyle w:val="BodyText"/>
      </w:pPr>
    </w:p>
    <w:p>
      <w:pPr>
        <w:pStyle w:val="BodyText"/>
      </w:pPr>
    </w:p>
    <w:p>
      <w:pPr>
        <w:pStyle w:val="BodyText"/>
        <w:spacing w:before="2"/>
      </w:pPr>
    </w:p>
    <w:p>
      <w:pPr>
        <w:pStyle w:val="Heading1"/>
        <w:spacing w:before="1"/>
        <w:ind w:firstLine="5624"/>
        <w:jc w:val="left"/>
      </w:pPr>
      <w:r>
        <w:rPr/>
        <w:t>Planteamiento del Problema</w:t>
      </w:r>
    </w:p>
    <w:p>
      <w:pPr>
        <w:pStyle w:val="BodyText"/>
        <w:rPr>
          <w:b/>
        </w:rPr>
      </w:pPr>
    </w:p>
    <w:p>
      <w:pPr>
        <w:pStyle w:val="BodyText"/>
        <w:rPr>
          <w:b/>
        </w:rPr>
      </w:pPr>
    </w:p>
    <w:p>
      <w:pPr>
        <w:pStyle w:val="BodyText"/>
        <w:spacing w:line="360" w:lineRule="auto"/>
        <w:ind w:left="102" w:right="114"/>
        <w:jc w:val="both"/>
      </w:pPr>
      <w:r>
        <w:rPr/>
        <w:t>Según cifras del Banco Mundial (BM), en 2014 el 53% de la población  total mundial es clasificada como urbana. Para el caso de Latinoamérica —sólo para países en desarrollo— la proporción en promedio es del 78% del total, es decir 7 de cada 10 personas viven en zonas urbanas; en los casos específicos como Puerto Rico, Argentina, Brasil, Chile, Colombia y México los porcentajes corresponden a 94%, 92%, 85%, 89%, 76% y 79% respectivamente.</w:t>
      </w:r>
    </w:p>
    <w:p>
      <w:pPr>
        <w:pStyle w:val="BodyText"/>
      </w:pPr>
    </w:p>
    <w:p>
      <w:pPr>
        <w:pStyle w:val="BodyText"/>
        <w:spacing w:line="360" w:lineRule="auto" w:before="142"/>
        <w:ind w:left="102" w:right="115"/>
        <w:jc w:val="both"/>
      </w:pPr>
      <w:r>
        <w:rPr/>
        <w:t>Para tener una idea sobre la aglomeración en las ciudades de los países anteriormente descritos, necesitamos referirnos al indicador del BM sobre el porcentaje de la población urbana nacional que vive en la zona metropolitana más importante del país, para Puerto Rico corresponde el 74% de la población urbana, 38% en Argentina, 12% en Brasil, 41% para Chile, 26% en Colombia y 21% en México.</w:t>
      </w:r>
    </w:p>
    <w:p>
      <w:pPr>
        <w:pStyle w:val="BodyText"/>
      </w:pPr>
    </w:p>
    <w:p>
      <w:pPr>
        <w:pStyle w:val="BodyText"/>
        <w:spacing w:line="360" w:lineRule="auto" w:before="142"/>
        <w:ind w:left="102" w:right="117"/>
        <w:jc w:val="both"/>
      </w:pPr>
      <w:r>
        <w:rPr/>
        <w:t>El porcentaje de población urbana y la aglomeración de las ciudades, así como sus respectivos impactos socioeconómicos, son un tema de análisis en Latinoamérica que adquiere mayor importancia a partir del incremento de problemas como: inseguridad, vivienda, pobreza, transporte, pérdida de espacio públicos y deterioro del patrimonio urbano que se traducen en desigualdades espaciales y</w:t>
      </w:r>
      <w:r>
        <w:rPr>
          <w:spacing w:val="-5"/>
        </w:rPr>
        <w:t> </w:t>
      </w:r>
      <w:r>
        <w:rPr/>
        <w:t>sociales.</w:t>
      </w:r>
    </w:p>
    <w:p>
      <w:pPr>
        <w:pStyle w:val="BodyText"/>
      </w:pPr>
    </w:p>
    <w:p>
      <w:pPr>
        <w:pStyle w:val="BodyText"/>
        <w:spacing w:line="360" w:lineRule="auto" w:before="139"/>
        <w:ind w:left="102" w:right="118"/>
        <w:jc w:val="both"/>
        <w:rPr>
          <w:i/>
        </w:rPr>
      </w:pPr>
      <w:r>
        <w:rPr/>
        <w:t>El estudio de estos problemas puede tener como punto de partida la década de los años noventa  del siglo  pasado,  cuando  se aludió  a una  </w:t>
      </w:r>
      <w:r>
        <w:rPr>
          <w:i/>
        </w:rPr>
        <w:t>crisis de  las   ciudades</w:t>
      </w:r>
    </w:p>
    <w:p>
      <w:pPr>
        <w:spacing w:after="0" w:line="360" w:lineRule="auto"/>
        <w:jc w:val="both"/>
        <w:sectPr>
          <w:pgSz w:w="12240" w:h="15840"/>
          <w:pgMar w:header="0" w:footer="689" w:top="1360" w:bottom="880" w:left="1600" w:right="1580"/>
        </w:sectPr>
      </w:pPr>
    </w:p>
    <w:p>
      <w:pPr>
        <w:pStyle w:val="BodyText"/>
        <w:spacing w:line="360" w:lineRule="auto" w:before="54"/>
        <w:ind w:left="102" w:right="116"/>
        <w:jc w:val="both"/>
      </w:pPr>
      <w:r>
        <w:rPr/>
        <w:t>originada por los problemas ambientales, relacionados con la falta de recursos naturales y económicos para que las ciudades continuaran funcionando, un ejemplo de esta postura la observamos en el libro Ciudad y Crisis de Fabio Giraldo Isaza publicado en 1999.</w:t>
      </w:r>
    </w:p>
    <w:p>
      <w:pPr>
        <w:pStyle w:val="BodyText"/>
      </w:pPr>
    </w:p>
    <w:p>
      <w:pPr>
        <w:pStyle w:val="BodyText"/>
        <w:spacing w:line="360" w:lineRule="auto" w:before="142"/>
        <w:ind w:left="102" w:right="116"/>
        <w:jc w:val="both"/>
      </w:pPr>
      <w:r>
        <w:rPr/>
        <w:t>Los problemas físicos que experimentaron las ciudades tuvieron una repercusión en la forma en que estaban siendo estudiadas, se propuso que los problemas ambientales eran resultado de varios factores (económico, tecnológico, político y cultural), por lo que se tomó como método de análisis el pensamiento complejo establecido por Edgar Morin (1998) desde el cual se proponía un paradigma alterno para el estudio de la ciudad que influyó en las disciplinas vinculadas al estudio de fenómenos sociales respecto al espacio físico como por ejemplo el urbanismo, geografía, sociología, planificación territorial y estudios urbanos.</w:t>
      </w:r>
    </w:p>
    <w:p>
      <w:pPr>
        <w:pStyle w:val="BodyText"/>
      </w:pPr>
    </w:p>
    <w:p>
      <w:pPr>
        <w:pStyle w:val="BodyText"/>
        <w:spacing w:line="360" w:lineRule="auto" w:before="142"/>
        <w:ind w:left="102" w:right="116"/>
        <w:jc w:val="both"/>
      </w:pPr>
      <w:r>
        <w:rPr/>
        <w:t>En resumen, a partir de la década de los años noventa podemos observar que la crisis de la ciudad se advierte desde el aspecto físico ambiental hasta la forma en que se construye el conocimiento dentro de las disciplinas que la estudian; sin embargo, para el segundo caso el replanteamiento iba más allá de una </w:t>
      </w:r>
      <w:r>
        <w:rPr>
          <w:i/>
        </w:rPr>
        <w:t>reformulación </w:t>
      </w:r>
      <w:r>
        <w:rPr/>
        <w:t>de conceptos y se centró tanto a nivel metodológico como epistemológico.</w:t>
      </w:r>
    </w:p>
    <w:p>
      <w:pPr>
        <w:pStyle w:val="BodyText"/>
      </w:pPr>
    </w:p>
    <w:p>
      <w:pPr>
        <w:pStyle w:val="BodyText"/>
        <w:spacing w:line="360" w:lineRule="auto" w:before="142"/>
        <w:ind w:left="102" w:right="118"/>
        <w:jc w:val="both"/>
      </w:pPr>
      <w:r>
        <w:rPr/>
        <w:t>Esta situación puso en primer plano la metodología que era utilizada por la ciencia social general y de sus disciplinas en particular, el aspecto multidisciplinario de la ciencia fue una nueva condición para la investigación, abrió temas no explorados por algunas disciplinas, consolidó disciplinas de frontera y reforzó la confluencia  de disciplinas en áreas</w:t>
      </w:r>
      <w:r>
        <w:rPr>
          <w:spacing w:val="-9"/>
        </w:rPr>
        <w:t> </w:t>
      </w:r>
      <w:r>
        <w:rPr/>
        <w:t>específicas.</w:t>
      </w:r>
    </w:p>
    <w:p>
      <w:pPr>
        <w:pStyle w:val="BodyText"/>
      </w:pPr>
    </w:p>
    <w:p>
      <w:pPr>
        <w:pStyle w:val="BodyText"/>
        <w:spacing w:line="360" w:lineRule="auto" w:before="142"/>
        <w:ind w:left="102" w:right="117"/>
        <w:jc w:val="both"/>
      </w:pPr>
      <w:r>
        <w:rPr/>
        <w:t>En este contexto las disciplinas atrajeron discusiones en torno a la epistemología y retroalimentaron sus teorías que habían generado “un permanente rebasamiento cognoscitivo que constantemente reconfigura el contenido y el perfil del debate en torno  a los paradigmas dominantes que definían a  la ciudad” (López,  2003).  </w:t>
      </w:r>
      <w:r>
        <w:rPr>
          <w:spacing w:val="59"/>
        </w:rPr>
        <w:t> </w:t>
      </w:r>
      <w:r>
        <w:rPr/>
        <w:t>En</w:t>
      </w:r>
    </w:p>
    <w:p>
      <w:pPr>
        <w:spacing w:after="0" w:line="360" w:lineRule="auto"/>
        <w:jc w:val="both"/>
        <w:sectPr>
          <w:pgSz w:w="12240" w:h="15840"/>
          <w:pgMar w:header="0" w:footer="689" w:top="1360" w:bottom="880" w:left="1600" w:right="1580"/>
        </w:sectPr>
      </w:pPr>
    </w:p>
    <w:p>
      <w:pPr>
        <w:pStyle w:val="BodyText"/>
        <w:spacing w:line="360" w:lineRule="auto" w:before="54"/>
        <w:ind w:left="102" w:right="124"/>
        <w:jc w:val="both"/>
      </w:pPr>
      <w:r>
        <w:rPr/>
        <w:t>este sentido “la ciudad como entidad física y lo urbano como proceso social sobreviven a su muerte teórica; siguen, por lo tanto, constituyendo una dimensión de la realidad que exige ser explicada, independientemente del sentido y la perspectiva analítica de esta explicación” (Lezama, 1990).</w:t>
      </w:r>
    </w:p>
    <w:p>
      <w:pPr>
        <w:pStyle w:val="BodyText"/>
      </w:pPr>
    </w:p>
    <w:p>
      <w:pPr>
        <w:pStyle w:val="BodyText"/>
        <w:spacing w:line="360" w:lineRule="auto" w:before="142"/>
        <w:ind w:left="102" w:right="116"/>
        <w:jc w:val="both"/>
      </w:pPr>
      <w:r>
        <w:rPr/>
        <w:t>El arraigo del paradigma de sistemas complejos fue la base para una etapa de recuperación de la reflexión epistemológica dentro de la investigación urbana, como ejemplo podemos referirnos a los trabajos de Rodríguez, Espinoza y Herzer (1995); se puso en el centro del debate académico los esquemas teóricos, metodológicos y epistemológicos prevalecientes, que fueron abordados a través  de estudios metacientíficos (filosofía de la ciencia, sociología de la ciencia y psicología de la</w:t>
      </w:r>
      <w:r>
        <w:rPr>
          <w:spacing w:val="-8"/>
        </w:rPr>
        <w:t> </w:t>
      </w:r>
      <w:r>
        <w:rPr/>
        <w:t>ciencia).</w:t>
      </w:r>
    </w:p>
    <w:p>
      <w:pPr>
        <w:pStyle w:val="BodyText"/>
      </w:pPr>
    </w:p>
    <w:p>
      <w:pPr>
        <w:pStyle w:val="BodyText"/>
        <w:spacing w:line="360" w:lineRule="auto" w:before="142"/>
        <w:ind w:left="102" w:right="117"/>
        <w:jc w:val="both"/>
      </w:pPr>
      <w:r>
        <w:rPr/>
        <w:t>El panorama es más complejo cuando tomamos la propuesta de Ian Hacking (1985) que establece que la ciencia y las disciplinas no pueden ser estudiadas sólo por la </w:t>
      </w:r>
      <w:r>
        <w:rPr>
          <w:i/>
        </w:rPr>
        <w:t>construcción </w:t>
      </w:r>
      <w:r>
        <w:rPr/>
        <w:t>de teorías o conceptos, sino además deben considerarse las prácticas científicas. Entonces el estudio de la investigación urbana no sólo deberá considerar los aspectos de conceptos, métodos y la formulación y contrastación de teorías; sino además lo concerniente a las prácticas de la ciencia, el tipo de actividades que definen a las comunidades y los campos de investigación.</w:t>
      </w:r>
    </w:p>
    <w:p>
      <w:pPr>
        <w:pStyle w:val="BodyText"/>
      </w:pPr>
    </w:p>
    <w:p>
      <w:pPr>
        <w:pStyle w:val="BodyText"/>
        <w:spacing w:line="360" w:lineRule="auto" w:before="142"/>
        <w:ind w:left="102" w:right="118"/>
        <w:jc w:val="both"/>
      </w:pPr>
      <w:r>
        <w:rPr/>
        <w:t>Ian Hacking desde la década de los años ochenta del siglo XX planteó que la epistemología y la metodología no bastan para entender a la ciencia y que es necesaria una filosofía de la práctica científica. De esta forma nos encontramos frente a un nuevo horizonte que, dicho sea de paso, necesita ser estudiado para advertir nuevos rumbos en la investigación urbana y la manera como se  establecen instituciones y organizaciones dentro de la</w:t>
      </w:r>
      <w:r>
        <w:rPr>
          <w:spacing w:val="-24"/>
        </w:rPr>
        <w:t> </w:t>
      </w:r>
      <w:r>
        <w:rPr/>
        <w:t>ciencia.</w:t>
      </w:r>
    </w:p>
    <w:p>
      <w:pPr>
        <w:pStyle w:val="BodyText"/>
      </w:pPr>
    </w:p>
    <w:p>
      <w:pPr>
        <w:pStyle w:val="BodyText"/>
        <w:spacing w:line="360" w:lineRule="auto" w:before="139"/>
        <w:ind w:left="102" w:right="116"/>
        <w:jc w:val="both"/>
      </w:pPr>
      <w:r>
        <w:rPr/>
        <w:t>En la actualidad, a poco más de 15 años de esta condición de replanteamientos teóricos metodológicos, la investigación urbana se realiza entre la </w:t>
      </w:r>
      <w:r>
        <w:rPr>
          <w:spacing w:val="53"/>
        </w:rPr>
        <w:t> </w:t>
      </w:r>
      <w:r>
        <w:rPr/>
        <w:t>especialización</w:t>
      </w:r>
    </w:p>
    <w:p>
      <w:pPr>
        <w:spacing w:after="0" w:line="360" w:lineRule="auto"/>
        <w:jc w:val="both"/>
        <w:sectPr>
          <w:pgSz w:w="12240" w:h="15840"/>
          <w:pgMar w:header="0" w:footer="689" w:top="1360" w:bottom="880" w:left="1600" w:right="1580"/>
        </w:sectPr>
      </w:pPr>
    </w:p>
    <w:p>
      <w:pPr>
        <w:pStyle w:val="BodyText"/>
        <w:spacing w:line="360" w:lineRule="auto" w:before="54"/>
        <w:ind w:left="102" w:right="116"/>
        <w:jc w:val="both"/>
      </w:pPr>
      <w:r>
        <w:rPr/>
        <w:t>del conocimiento y por la nueva dinámica de producción y difusión de la actividad científica que, a pesar de la heterogeneidad de propuestas teóricas y metodológicas, puede devenir en una especie de conocimiento hegemónico promovido por las prácticas científicas </w:t>
      </w:r>
      <w:r>
        <w:rPr>
          <w:i/>
        </w:rPr>
        <w:t>dominantes </w:t>
      </w:r>
      <w:r>
        <w:rPr/>
        <w:t>cuya consecuencia sea un nuevo abandono de la reflexión teórica metodológica.</w:t>
      </w:r>
    </w:p>
    <w:p>
      <w:pPr>
        <w:pStyle w:val="BodyText"/>
      </w:pPr>
    </w:p>
    <w:p>
      <w:pPr>
        <w:pStyle w:val="BodyText"/>
      </w:pPr>
    </w:p>
    <w:p>
      <w:pPr>
        <w:pStyle w:val="BodyText"/>
        <w:spacing w:before="5"/>
      </w:pPr>
    </w:p>
    <w:p>
      <w:pPr>
        <w:pStyle w:val="Heading1"/>
        <w:ind w:firstLine="5717"/>
        <w:jc w:val="left"/>
      </w:pPr>
      <w:r>
        <w:rPr/>
        <w:t>Preguntas de investigación</w:t>
      </w:r>
    </w:p>
    <w:p>
      <w:pPr>
        <w:pStyle w:val="BodyText"/>
        <w:rPr>
          <w:b/>
        </w:rPr>
      </w:pPr>
    </w:p>
    <w:p>
      <w:pPr>
        <w:pStyle w:val="BodyText"/>
        <w:rPr>
          <w:b/>
        </w:rPr>
      </w:pPr>
    </w:p>
    <w:p>
      <w:pPr>
        <w:pStyle w:val="BodyText"/>
        <w:spacing w:line="360" w:lineRule="auto"/>
        <w:ind w:left="102" w:right="117"/>
        <w:jc w:val="both"/>
      </w:pPr>
      <w:r>
        <w:rPr/>
        <w:t>Con la finalidad de estudiar la investigación urbana en Latinoamérica (IUL) que ha sido generada a partir de los planteamientos de la crisis teórica metodológica enunciada durante la década de los noventa del siglo pasado —desde una propuesta metateórica— es necesario tener una visión crítica y advertir la complejidad de esta área de investigación ya que, como lo comentamos al principio, hay una confluencia entre disciplinas como el urbanismo, planificación urbana, sociología urbana, geografía urbana cuyo objeto de estudio surge de la unión del aspecto físico y algunos procesos sociales.</w:t>
      </w:r>
    </w:p>
    <w:p>
      <w:pPr>
        <w:pStyle w:val="BodyText"/>
      </w:pPr>
    </w:p>
    <w:p>
      <w:pPr>
        <w:pStyle w:val="BodyText"/>
        <w:spacing w:line="360" w:lineRule="auto" w:before="142"/>
        <w:ind w:left="102" w:right="116"/>
        <w:jc w:val="both"/>
      </w:pPr>
      <w:r>
        <w:rPr/>
        <w:t>Por tal motivo, en este trabajo de tesis nos enfocamos en el nivel de reflexión teórica metodológica de la investigación urbana latinoamericana a partir del año 2000, para lo cual nos centramos en las revistas científicas especializadas que están dentro de la </w:t>
      </w:r>
      <w:r>
        <w:rPr>
          <w:i/>
        </w:rPr>
        <w:t>Web of Science </w:t>
      </w:r>
      <w:r>
        <w:rPr/>
        <w:t>(</w:t>
      </w:r>
      <w:r>
        <w:rPr>
          <w:i/>
        </w:rPr>
        <w:t>WOS</w:t>
      </w:r>
      <w:r>
        <w:rPr/>
        <w:t>) —que hasta hace algunos años era conocida como </w:t>
      </w:r>
      <w:r>
        <w:rPr>
          <w:i/>
        </w:rPr>
        <w:t>ISI Web of Science</w:t>
      </w:r>
      <w:r>
        <w:rPr/>
        <w:t>—. Con la finalidad de abordar la problemática planteada se proponen las siguientes preguntas:</w:t>
      </w:r>
    </w:p>
    <w:p>
      <w:pPr>
        <w:spacing w:after="0" w:line="360" w:lineRule="auto"/>
        <w:jc w:val="both"/>
        <w:sectPr>
          <w:pgSz w:w="12240" w:h="15840"/>
          <w:pgMar w:header="0" w:footer="689" w:top="1360" w:bottom="880" w:left="1600" w:right="1580"/>
        </w:sectPr>
      </w:pPr>
    </w:p>
    <w:p>
      <w:pPr>
        <w:pStyle w:val="ListParagraph"/>
        <w:numPr>
          <w:ilvl w:val="0"/>
          <w:numId w:val="1"/>
        </w:numPr>
        <w:tabs>
          <w:tab w:pos="822" w:val="left" w:leader="none"/>
        </w:tabs>
        <w:spacing w:line="360" w:lineRule="auto" w:before="54" w:after="0"/>
        <w:ind w:left="822" w:right="119" w:hanging="360"/>
        <w:jc w:val="left"/>
        <w:rPr>
          <w:b/>
          <w:i/>
          <w:sz w:val="24"/>
        </w:rPr>
      </w:pPr>
      <w:r>
        <w:rPr>
          <w:b/>
          <w:i/>
          <w:sz w:val="24"/>
        </w:rPr>
        <w:t>¿Cuáles son las principales disciplinas que integran la investigación </w:t>
      </w:r>
      <w:r>
        <w:rPr>
          <w:b/>
          <w:i/>
          <w:sz w:val="24"/>
        </w:rPr>
        <w:t>urbana</w:t>
      </w:r>
      <w:r>
        <w:rPr>
          <w:b/>
          <w:i/>
          <w:spacing w:val="-4"/>
          <w:sz w:val="24"/>
        </w:rPr>
        <w:t> </w:t>
      </w:r>
      <w:r>
        <w:rPr>
          <w:b/>
          <w:i/>
          <w:sz w:val="24"/>
        </w:rPr>
        <w:t>latinoamericana?</w:t>
      </w:r>
    </w:p>
    <w:p>
      <w:pPr>
        <w:pStyle w:val="ListParagraph"/>
        <w:numPr>
          <w:ilvl w:val="0"/>
          <w:numId w:val="1"/>
        </w:numPr>
        <w:tabs>
          <w:tab w:pos="822" w:val="left" w:leader="none"/>
          <w:tab w:pos="1817" w:val="left" w:leader="none"/>
          <w:tab w:pos="3879" w:val="left" w:leader="none"/>
          <w:tab w:pos="4541" w:val="left" w:leader="none"/>
          <w:tab w:pos="5640" w:val="left" w:leader="none"/>
          <w:tab w:pos="6227" w:val="left" w:leader="none"/>
          <w:tab w:pos="8142" w:val="left" w:leader="none"/>
        </w:tabs>
        <w:spacing w:line="360" w:lineRule="auto" w:before="2" w:after="0"/>
        <w:ind w:left="822" w:right="117" w:hanging="360"/>
        <w:jc w:val="left"/>
        <w:rPr>
          <w:b/>
          <w:i/>
          <w:sz w:val="24"/>
        </w:rPr>
      </w:pPr>
      <w:r>
        <w:rPr>
          <w:b/>
          <w:i/>
          <w:sz w:val="24"/>
        </w:rPr>
        <w:t>¿Qué</w:t>
        <w:tab/>
        <w:t>características</w:t>
        <w:tab/>
        <w:t>ha</w:t>
        <w:tab/>
        <w:t>tenido</w:t>
        <w:tab/>
        <w:t>la</w:t>
        <w:tab/>
        <w:t>investigación</w:t>
        <w:tab/>
      </w:r>
      <w:r>
        <w:rPr>
          <w:b/>
          <w:i/>
          <w:spacing w:val="-1"/>
          <w:sz w:val="24"/>
        </w:rPr>
        <w:t>urbana </w:t>
      </w:r>
      <w:r>
        <w:rPr>
          <w:b/>
          <w:i/>
          <w:sz w:val="24"/>
        </w:rPr>
        <w:t>latinoamericana en los últimos</w:t>
      </w:r>
      <w:r>
        <w:rPr>
          <w:b/>
          <w:i/>
          <w:spacing w:val="-5"/>
          <w:sz w:val="24"/>
        </w:rPr>
        <w:t> </w:t>
      </w:r>
      <w:r>
        <w:rPr>
          <w:b/>
          <w:i/>
          <w:sz w:val="24"/>
        </w:rPr>
        <w:t>años?</w:t>
      </w:r>
    </w:p>
    <w:p>
      <w:pPr>
        <w:pStyle w:val="ListParagraph"/>
        <w:numPr>
          <w:ilvl w:val="0"/>
          <w:numId w:val="1"/>
        </w:numPr>
        <w:tabs>
          <w:tab w:pos="822" w:val="left" w:leader="none"/>
        </w:tabs>
        <w:spacing w:line="360" w:lineRule="auto" w:before="2" w:after="0"/>
        <w:ind w:left="822" w:right="116" w:hanging="360"/>
        <w:jc w:val="left"/>
        <w:rPr>
          <w:b/>
          <w:i/>
          <w:sz w:val="24"/>
        </w:rPr>
      </w:pPr>
      <w:r>
        <w:rPr>
          <w:b/>
          <w:i/>
          <w:sz w:val="24"/>
        </w:rPr>
        <w:t>¿Cuáles son las estructuras teóricas de los artículos de las disciplinas </w:t>
      </w:r>
      <w:r>
        <w:rPr>
          <w:b/>
          <w:i/>
          <w:sz w:val="24"/>
        </w:rPr>
        <w:t>investigación urbana</w:t>
      </w:r>
      <w:r>
        <w:rPr>
          <w:b/>
          <w:i/>
          <w:spacing w:val="-11"/>
          <w:sz w:val="24"/>
        </w:rPr>
        <w:t> </w:t>
      </w:r>
      <w:r>
        <w:rPr>
          <w:b/>
          <w:i/>
          <w:sz w:val="24"/>
        </w:rPr>
        <w:t>latinoamericana?</w:t>
      </w:r>
    </w:p>
    <w:p>
      <w:pPr>
        <w:pStyle w:val="ListParagraph"/>
        <w:numPr>
          <w:ilvl w:val="0"/>
          <w:numId w:val="1"/>
        </w:numPr>
        <w:tabs>
          <w:tab w:pos="822" w:val="left" w:leader="none"/>
        </w:tabs>
        <w:spacing w:line="360" w:lineRule="auto" w:before="2" w:after="0"/>
        <w:ind w:left="822" w:right="116" w:hanging="360"/>
        <w:jc w:val="left"/>
        <w:rPr>
          <w:b/>
          <w:i/>
          <w:sz w:val="24"/>
        </w:rPr>
      </w:pPr>
      <w:r>
        <w:rPr>
          <w:b/>
          <w:i/>
          <w:sz w:val="24"/>
        </w:rPr>
        <w:t>¿Qué tipo de prácticas científicas son particulares de investigación </w:t>
      </w:r>
      <w:r>
        <w:rPr>
          <w:b/>
          <w:i/>
          <w:sz w:val="24"/>
        </w:rPr>
        <w:t>urbana</w:t>
      </w:r>
      <w:r>
        <w:rPr>
          <w:b/>
          <w:i/>
          <w:spacing w:val="-4"/>
          <w:sz w:val="24"/>
        </w:rPr>
        <w:t> </w:t>
      </w:r>
      <w:r>
        <w:rPr>
          <w:b/>
          <w:i/>
          <w:sz w:val="24"/>
        </w:rPr>
        <w:t>latinoamericana?</w:t>
      </w:r>
    </w:p>
    <w:p>
      <w:pPr>
        <w:pStyle w:val="BodyText"/>
        <w:rPr>
          <w:b/>
          <w:i/>
        </w:rPr>
      </w:pPr>
    </w:p>
    <w:p>
      <w:pPr>
        <w:spacing w:before="142"/>
        <w:ind w:left="102" w:right="0" w:firstLine="7368"/>
        <w:jc w:val="left"/>
        <w:rPr>
          <w:b/>
          <w:sz w:val="24"/>
        </w:rPr>
      </w:pPr>
      <w:r>
        <w:rPr>
          <w:b/>
          <w:sz w:val="24"/>
        </w:rPr>
        <w:t>Justificación</w:t>
      </w:r>
    </w:p>
    <w:p>
      <w:pPr>
        <w:pStyle w:val="BodyText"/>
        <w:rPr>
          <w:b/>
        </w:rPr>
      </w:pPr>
    </w:p>
    <w:p>
      <w:pPr>
        <w:pStyle w:val="BodyText"/>
        <w:spacing w:before="9"/>
        <w:rPr>
          <w:b/>
          <w:sz w:val="23"/>
        </w:rPr>
      </w:pPr>
    </w:p>
    <w:p>
      <w:pPr>
        <w:pStyle w:val="BodyText"/>
        <w:spacing w:line="360" w:lineRule="auto"/>
        <w:ind w:left="102" w:right="115"/>
        <w:jc w:val="both"/>
      </w:pPr>
      <w:r>
        <w:rPr/>
        <w:t>El </w:t>
      </w:r>
      <w:r>
        <w:rPr>
          <w:i/>
        </w:rPr>
        <w:t>Web of Science </w:t>
      </w:r>
      <w:r>
        <w:rPr/>
        <w:t>(WoS) de Thomson Reuters ha tenido un papel medular en la última década porque contiene a las revistas de la corriente principal de la ciencia, las cuales han alcanzado esta categoría a partir de la cantidad de citas obtenidas en la propia base. La publicación en estas revistas permite una mayor visibilidad internacional y el reconocimiento de los consejos de investigación nacionales, por lo que es una oportunidad importante para los investigadores de obtener reconocimiento por parte de la comunidad científica y es un significativo antecedente para obtener recursos para proyectos de investigación.</w:t>
      </w:r>
    </w:p>
    <w:p>
      <w:pPr>
        <w:pStyle w:val="BodyText"/>
      </w:pPr>
    </w:p>
    <w:p>
      <w:pPr>
        <w:pStyle w:val="BodyText"/>
        <w:spacing w:line="360" w:lineRule="auto" w:before="142"/>
        <w:ind w:left="102" w:right="114"/>
        <w:jc w:val="both"/>
      </w:pPr>
      <w:r>
        <w:rPr/>
        <w:t>Según la página wokinfo  de Thomson Reuters, administradores del sistema ISI,  en 2012 hubo 295 revistas latinoamericanas, distribuidas de la siguiente forma: Brasil 139, Chile 49, México 43, Colombia 23, Argentina 21, Venezuela 14, Uruguay, Perú, Cuba, Ecuador, Jamaica y Costa Rica tienen una revista. De los  12 países que tienen revistas en ISI Brasil, Chile y México concentran el 47%,  17% y 15% respectivamente que en conjunto agrupan aproximadamente el 80% del total de revistas. De estas revistas aproximadamente el 85% pertenecen al  área de la ciencia natural y sólo el 15% es del área de la ciencia</w:t>
      </w:r>
      <w:r>
        <w:rPr>
          <w:spacing w:val="-27"/>
        </w:rPr>
        <w:t> </w:t>
      </w:r>
      <w:r>
        <w:rPr/>
        <w:t>social.</w:t>
      </w:r>
    </w:p>
    <w:p>
      <w:pPr>
        <w:pStyle w:val="BodyText"/>
      </w:pPr>
    </w:p>
    <w:p>
      <w:pPr>
        <w:pStyle w:val="BodyText"/>
        <w:spacing w:line="360" w:lineRule="auto" w:before="139"/>
        <w:ind w:left="102" w:right="125"/>
        <w:jc w:val="both"/>
      </w:pPr>
      <w:r>
        <w:rPr/>
        <w:t>Estos datos nos dan un contexto por demás interesante sobre la dinámica y el comportamiento  de  la  generación  de  conocimiento  de  Latinoamérica;  primero</w:t>
      </w:r>
    </w:p>
    <w:p>
      <w:pPr>
        <w:spacing w:after="0" w:line="360" w:lineRule="auto"/>
        <w:jc w:val="both"/>
        <w:sectPr>
          <w:pgSz w:w="12240" w:h="15840"/>
          <w:pgMar w:header="0" w:footer="689" w:top="1360" w:bottom="880" w:left="1600" w:right="1580"/>
        </w:sectPr>
      </w:pPr>
    </w:p>
    <w:p>
      <w:pPr>
        <w:pStyle w:val="BodyText"/>
        <w:spacing w:line="360" w:lineRule="auto" w:before="54"/>
        <w:ind w:left="102" w:right="122"/>
        <w:jc w:val="both"/>
      </w:pPr>
      <w:r>
        <w:rPr/>
        <w:t>resaltar el papel fundamental que juega la ciencia natural en el contexto regional, la forma en que sus respectivas comunidades científicas consolidan los medios de difusión académica que promueven una mayor integración de la comunidad internacional a través de estos</w:t>
      </w:r>
      <w:r>
        <w:rPr>
          <w:spacing w:val="-15"/>
        </w:rPr>
        <w:t> </w:t>
      </w:r>
      <w:r>
        <w:rPr/>
        <w:t>medios.</w:t>
      </w:r>
    </w:p>
    <w:p>
      <w:pPr>
        <w:pStyle w:val="BodyText"/>
      </w:pPr>
    </w:p>
    <w:p>
      <w:pPr>
        <w:pStyle w:val="BodyText"/>
        <w:spacing w:line="360" w:lineRule="auto" w:before="142"/>
        <w:ind w:left="102" w:right="122"/>
        <w:jc w:val="both"/>
      </w:pPr>
      <w:r>
        <w:rPr/>
        <w:t>Segundo, el papel central que tiene Brasil dentro de la divulgación del conocimiento en el contexto latinoamericano, ya que concentra aproximadamente el 50% del total de revistas, además podemos advertir que el área de la investigación urbana latinoamericana, en el caso de la corriente principal sólo se tiene a la revista Eure.</w:t>
      </w:r>
    </w:p>
    <w:p>
      <w:pPr>
        <w:pStyle w:val="BodyText"/>
        <w:spacing w:line="360" w:lineRule="auto" w:before="2"/>
        <w:ind w:left="102" w:right="116"/>
        <w:jc w:val="both"/>
      </w:pPr>
      <w:r>
        <w:rPr/>
        <w:t>La utilización de un sistema de información científica, tal es el caso de WOS-ISI, nos permite corroborar algunos supuestos en torno a la IUL, que las revistas científicas son una herramienta indiscutible para la consolidación de  un paradigma, ya que es el único medio que tiene una revisión que le otorga calidad y legitimidad a los contenidos.</w:t>
      </w:r>
    </w:p>
    <w:p>
      <w:pPr>
        <w:pStyle w:val="BodyText"/>
      </w:pPr>
    </w:p>
    <w:p>
      <w:pPr>
        <w:pStyle w:val="Heading1"/>
        <w:spacing w:before="142"/>
        <w:ind w:firstLine="7758"/>
        <w:jc w:val="left"/>
      </w:pPr>
      <w:r>
        <w:rPr/>
        <w:t>Hipótesis</w:t>
      </w:r>
    </w:p>
    <w:p>
      <w:pPr>
        <w:pStyle w:val="BodyText"/>
        <w:rPr>
          <w:b/>
        </w:rPr>
      </w:pPr>
    </w:p>
    <w:p>
      <w:pPr>
        <w:pStyle w:val="BodyText"/>
        <w:rPr>
          <w:b/>
        </w:rPr>
      </w:pPr>
    </w:p>
    <w:p>
      <w:pPr>
        <w:spacing w:line="360" w:lineRule="auto" w:before="0"/>
        <w:ind w:left="102" w:right="116" w:firstLine="0"/>
        <w:jc w:val="both"/>
        <w:rPr>
          <w:b/>
          <w:i/>
          <w:sz w:val="24"/>
        </w:rPr>
      </w:pPr>
      <w:r>
        <w:rPr>
          <w:sz w:val="24"/>
        </w:rPr>
        <w:t>La hipótesis que aquí se plantea es que: </w:t>
      </w:r>
      <w:r>
        <w:rPr>
          <w:b/>
          <w:i/>
          <w:sz w:val="24"/>
        </w:rPr>
        <w:t>La investigación urbana </w:t>
      </w:r>
      <w:r>
        <w:rPr>
          <w:b/>
          <w:i/>
          <w:sz w:val="24"/>
        </w:rPr>
        <w:t>latinoamericana aún está sujeta a prácticas científicas sustentadas en marcos teóricos metodológicos que dan prioridad a la objetividad y  medición cuantitativa generado principalmente por la comunidad científica prevaleciente; por lo que no hay un enfoque consolidado sobre los postulados de subjetividad y medición cualitativa que supuestamente se realizarían a partir de las críticas realizadas en la época de los años</w:t>
      </w:r>
      <w:r>
        <w:rPr>
          <w:b/>
          <w:i/>
          <w:spacing w:val="-22"/>
          <w:sz w:val="24"/>
        </w:rPr>
        <w:t> </w:t>
      </w:r>
      <w:r>
        <w:rPr>
          <w:b/>
          <w:i/>
          <w:sz w:val="24"/>
        </w:rPr>
        <w:t>noventa.</w:t>
      </w:r>
    </w:p>
    <w:p>
      <w:pPr>
        <w:spacing w:after="0" w:line="360" w:lineRule="auto"/>
        <w:jc w:val="both"/>
        <w:rPr>
          <w:sz w:val="24"/>
        </w:rPr>
        <w:sectPr>
          <w:pgSz w:w="12240" w:h="15840"/>
          <w:pgMar w:header="0" w:footer="689" w:top="1360" w:bottom="880" w:left="1600" w:right="1580"/>
        </w:sectPr>
      </w:pPr>
    </w:p>
    <w:p>
      <w:pPr>
        <w:spacing w:before="54"/>
        <w:ind w:left="0" w:right="117" w:firstLine="0"/>
        <w:jc w:val="right"/>
        <w:rPr>
          <w:b/>
          <w:sz w:val="24"/>
        </w:rPr>
      </w:pPr>
      <w:r>
        <w:rPr>
          <w:b/>
          <w:sz w:val="24"/>
        </w:rPr>
        <w:t>Objetivos de la investigación</w:t>
      </w:r>
    </w:p>
    <w:p>
      <w:pPr>
        <w:pStyle w:val="BodyText"/>
        <w:rPr>
          <w:b/>
        </w:rPr>
      </w:pPr>
    </w:p>
    <w:p>
      <w:pPr>
        <w:pStyle w:val="BodyText"/>
        <w:rPr>
          <w:b/>
        </w:rPr>
      </w:pPr>
    </w:p>
    <w:p>
      <w:pPr>
        <w:pStyle w:val="BodyText"/>
        <w:spacing w:line="360" w:lineRule="auto"/>
        <w:ind w:left="102" w:right="115"/>
        <w:jc w:val="both"/>
      </w:pPr>
      <w:r>
        <w:rPr/>
        <w:t>El estudio de la Investigación Urbana Latinoamericana debe partir del reconocimiento de una vinculación entre sus fundamentos  metodológicos, sistemas argumentativos y estrategias de análisis; los cuales son abastecidos por cada disciplina cuyas condiciones iniciales cambian y crecen las evidencias acerca de la existencia de importantes intersecciones entre conocimiento y las prácticas de la comunidad científica.</w:t>
      </w:r>
    </w:p>
    <w:p>
      <w:pPr>
        <w:pStyle w:val="BodyText"/>
      </w:pPr>
    </w:p>
    <w:p>
      <w:pPr>
        <w:pStyle w:val="BodyText"/>
        <w:spacing w:line="360" w:lineRule="auto" w:before="142"/>
        <w:ind w:left="102" w:right="116"/>
        <w:jc w:val="both"/>
      </w:pPr>
      <w:r>
        <w:rPr/>
        <w:t>Así, esta investigación no sólo busca reconocer las aportaciones de las disciplinas que conforman a la IUL y comprender los </w:t>
      </w:r>
      <w:r>
        <w:rPr>
          <w:i/>
        </w:rPr>
        <w:t>significados </w:t>
      </w:r>
      <w:r>
        <w:rPr/>
        <w:t>dentro de la multiplicidad de enfoques que constituyen el conocimiento de la investigación urbana; sino además propone un intento por desentrañar las prácticas científicas producidas por la especialización del conocimiento y por la nueva dinámica de producción y difusión de la actividad científica.</w:t>
      </w:r>
    </w:p>
    <w:p>
      <w:pPr>
        <w:pStyle w:val="BodyText"/>
      </w:pPr>
    </w:p>
    <w:p>
      <w:pPr>
        <w:pStyle w:val="BodyText"/>
        <w:spacing w:line="360" w:lineRule="auto" w:before="142"/>
        <w:ind w:left="102" w:right="119"/>
        <w:jc w:val="both"/>
      </w:pPr>
      <w:r>
        <w:rPr/>
        <w:t>Se propone investigar el conocimiento generado por la investigación urbana a partir de su estructura conceptual metodológica y sus prácticas científicas desde una propuesta metateórica, para lo cual se toma como referencia a Eure, revista latinoamericana de estudios urbanos regionales (</w:t>
      </w:r>
      <w:hyperlink r:id="rId9">
        <w:r>
          <w:rPr>
            <w:color w:val="0000FF"/>
            <w:u w:val="single" w:color="0000FF"/>
          </w:rPr>
          <w:t>www.eure.cl</w:t>
        </w:r>
      </w:hyperlink>
      <w:r>
        <w:rPr/>
        <w:t>) que es considerada como la principal revista de Latinoamérica sobre Investigación</w:t>
      </w:r>
      <w:r>
        <w:rPr>
          <w:spacing w:val="-18"/>
        </w:rPr>
        <w:t> </w:t>
      </w:r>
      <w:r>
        <w:rPr/>
        <w:t>Urbana.</w:t>
      </w:r>
    </w:p>
    <w:p>
      <w:pPr>
        <w:pStyle w:val="BodyText"/>
      </w:pPr>
    </w:p>
    <w:p>
      <w:pPr>
        <w:pStyle w:val="Heading1"/>
        <w:spacing w:before="142"/>
        <w:ind w:left="0" w:right="120"/>
        <w:jc w:val="right"/>
      </w:pPr>
      <w:r>
        <w:rPr/>
        <w:t>Objetivos particulares</w:t>
      </w:r>
    </w:p>
    <w:p>
      <w:pPr>
        <w:pStyle w:val="BodyText"/>
        <w:rPr>
          <w:b/>
        </w:rPr>
      </w:pPr>
    </w:p>
    <w:p>
      <w:pPr>
        <w:pStyle w:val="BodyText"/>
        <w:rPr>
          <w:b/>
        </w:rPr>
      </w:pPr>
    </w:p>
    <w:p>
      <w:pPr>
        <w:pStyle w:val="ListParagraph"/>
        <w:numPr>
          <w:ilvl w:val="0"/>
          <w:numId w:val="2"/>
        </w:numPr>
        <w:tabs>
          <w:tab w:pos="822" w:val="left" w:leader="none"/>
        </w:tabs>
        <w:spacing w:line="240" w:lineRule="auto" w:before="0" w:after="0"/>
        <w:ind w:left="822" w:right="0" w:hanging="360"/>
        <w:jc w:val="left"/>
        <w:rPr>
          <w:sz w:val="24"/>
        </w:rPr>
      </w:pPr>
      <w:r>
        <w:rPr>
          <w:sz w:val="24"/>
        </w:rPr>
        <w:t>Delimitar las disciplinas que integran la investigación</w:t>
      </w:r>
      <w:r>
        <w:rPr>
          <w:spacing w:val="-17"/>
          <w:sz w:val="24"/>
        </w:rPr>
        <w:t> </w:t>
      </w:r>
      <w:r>
        <w:rPr>
          <w:sz w:val="24"/>
        </w:rPr>
        <w:t>urbana.</w:t>
      </w:r>
    </w:p>
    <w:p>
      <w:pPr>
        <w:pStyle w:val="ListParagraph"/>
        <w:numPr>
          <w:ilvl w:val="0"/>
          <w:numId w:val="2"/>
        </w:numPr>
        <w:tabs>
          <w:tab w:pos="822" w:val="left" w:leader="none"/>
        </w:tabs>
        <w:spacing w:line="360" w:lineRule="auto" w:before="139" w:after="0"/>
        <w:ind w:left="822" w:right="498" w:hanging="360"/>
        <w:jc w:val="left"/>
        <w:rPr>
          <w:sz w:val="24"/>
        </w:rPr>
      </w:pPr>
      <w:r>
        <w:rPr>
          <w:sz w:val="24"/>
        </w:rPr>
        <w:t>Ofrecer un panorama general de la investigación urbana</w:t>
      </w:r>
      <w:r>
        <w:rPr>
          <w:spacing w:val="-26"/>
          <w:sz w:val="24"/>
        </w:rPr>
        <w:t> </w:t>
      </w:r>
      <w:r>
        <w:rPr>
          <w:sz w:val="24"/>
        </w:rPr>
        <w:t>contemporánea actual.</w:t>
      </w:r>
    </w:p>
    <w:p>
      <w:pPr>
        <w:pStyle w:val="ListParagraph"/>
        <w:numPr>
          <w:ilvl w:val="0"/>
          <w:numId w:val="2"/>
        </w:numPr>
        <w:tabs>
          <w:tab w:pos="822" w:val="left" w:leader="none"/>
        </w:tabs>
        <w:spacing w:line="360" w:lineRule="auto" w:before="5" w:after="0"/>
        <w:ind w:left="822" w:right="116" w:hanging="360"/>
        <w:jc w:val="both"/>
        <w:rPr>
          <w:sz w:val="24"/>
        </w:rPr>
      </w:pPr>
      <w:r>
        <w:rPr>
          <w:sz w:val="24"/>
        </w:rPr>
        <w:t>Identificar y caracterizar los aspectos teóricos y metodológicos de la Investigación Urbana Latinoamericana tomando como caso de estudio a la revista</w:t>
      </w:r>
      <w:r>
        <w:rPr>
          <w:spacing w:val="-4"/>
          <w:sz w:val="24"/>
        </w:rPr>
        <w:t> </w:t>
      </w:r>
      <w:r>
        <w:rPr>
          <w:sz w:val="24"/>
        </w:rPr>
        <w:t>Eure.</w:t>
      </w:r>
    </w:p>
    <w:p>
      <w:pPr>
        <w:spacing w:after="0" w:line="360" w:lineRule="auto"/>
        <w:jc w:val="both"/>
        <w:rPr>
          <w:sz w:val="24"/>
        </w:rPr>
        <w:sectPr>
          <w:pgSz w:w="12240" w:h="15840"/>
          <w:pgMar w:header="0" w:footer="689" w:top="1360" w:bottom="880" w:left="1600" w:right="1580"/>
        </w:sectPr>
      </w:pPr>
    </w:p>
    <w:p>
      <w:pPr>
        <w:pStyle w:val="Heading1"/>
        <w:spacing w:before="54"/>
        <w:ind w:firstLine="7424"/>
        <w:jc w:val="left"/>
      </w:pPr>
      <w:r>
        <w:rPr/>
        <w:t>Metodología</w:t>
      </w:r>
    </w:p>
    <w:p>
      <w:pPr>
        <w:pStyle w:val="BodyText"/>
        <w:rPr>
          <w:b/>
        </w:rPr>
      </w:pPr>
    </w:p>
    <w:p>
      <w:pPr>
        <w:pStyle w:val="BodyText"/>
        <w:rPr>
          <w:b/>
        </w:rPr>
      </w:pPr>
    </w:p>
    <w:p>
      <w:pPr>
        <w:pStyle w:val="BodyText"/>
        <w:spacing w:line="355" w:lineRule="auto"/>
        <w:ind w:left="102" w:right="114"/>
        <w:jc w:val="both"/>
      </w:pPr>
      <w:r>
        <w:rPr/>
        <w:t>Desde la propuesta de Ritzer (1993:425) hay tres tipos de metateorización a partir de los productos a alcanzar: a) Medio para obtener una comprensión más  profunda de la teoría (M</w:t>
      </w:r>
      <w:r>
        <w:rPr>
          <w:position w:val="-2"/>
          <w:sz w:val="16"/>
        </w:rPr>
        <w:t>u</w:t>
      </w:r>
      <w:r>
        <w:rPr/>
        <w:t>), b) Como preludio al desarrollo de una teoría (M</w:t>
      </w:r>
      <w:r>
        <w:rPr>
          <w:position w:val="-2"/>
          <w:sz w:val="16"/>
        </w:rPr>
        <w:t>p</w:t>
      </w:r>
      <w:r>
        <w:rPr/>
        <w:t>), y c) Como fuente de las perspectivas que sostiene toda teoría sociológica (M</w:t>
      </w:r>
      <w:r>
        <w:rPr>
          <w:position w:val="-2"/>
          <w:sz w:val="16"/>
        </w:rPr>
        <w:t>o</w:t>
      </w:r>
      <w:r>
        <w:rPr/>
        <w:t>). Para el primer caso (M</w:t>
      </w:r>
      <w:r>
        <w:rPr>
          <w:position w:val="-2"/>
          <w:sz w:val="16"/>
        </w:rPr>
        <w:t>u</w:t>
      </w:r>
      <w:r>
        <w:rPr/>
        <w:t>), el autor considera que implica una comprensión más profunda  de la teoría existente, se ocupa del estudio de las teorías, de los teóricos y las comunidades. Para el segundo (M</w:t>
      </w:r>
      <w:r>
        <w:rPr>
          <w:position w:val="-2"/>
          <w:sz w:val="16"/>
        </w:rPr>
        <w:t>p</w:t>
      </w:r>
      <w:r>
        <w:rPr/>
        <w:t>), es el estudio de las teorías existentes para producir una teoría nueva. En el tercero se hace un estudio de la teoría para generar una perspectiva o una</w:t>
      </w:r>
      <w:r>
        <w:rPr>
          <w:spacing w:val="-17"/>
        </w:rPr>
        <w:t> </w:t>
      </w:r>
      <w:r>
        <w:rPr/>
        <w:t>metateoría.</w:t>
      </w:r>
    </w:p>
    <w:p>
      <w:pPr>
        <w:pStyle w:val="BodyText"/>
      </w:pPr>
    </w:p>
    <w:p>
      <w:pPr>
        <w:pStyle w:val="BodyText"/>
        <w:spacing w:line="360" w:lineRule="auto" w:before="147"/>
        <w:ind w:left="102" w:right="122"/>
        <w:jc w:val="both"/>
      </w:pPr>
      <w:r>
        <w:rPr/>
        <w:t>Si bien la delimitación entre cada uno de los tipos de metateorización es poco clara, las tres visiones nos dan un panorama sobre los resultados a los que se podrían llegar, para fines de este trabajo de investigación, el estudio metateórico que planteamos busca identificar y profundizar en las propuestas  contemporáneas.</w:t>
      </w:r>
    </w:p>
    <w:p>
      <w:pPr>
        <w:pStyle w:val="BodyText"/>
      </w:pPr>
    </w:p>
    <w:p>
      <w:pPr>
        <w:pStyle w:val="BodyText"/>
        <w:spacing w:line="360" w:lineRule="auto" w:before="142"/>
        <w:ind w:left="102" w:right="115"/>
        <w:jc w:val="both"/>
      </w:pPr>
      <w:r>
        <w:rPr/>
        <w:t>Para la propuesta de una estrategia de análisis metateórico sobre la investigación urbana es necesario partir de algunas condiciones: primero, el reconocimiento de una diversidad en torno a la investigación urbana (sobre objetos de estudio, marcos teóricos y estrategias de análisis propuestos por las disciplinas científicas involucradas); segundo, reconocimiento de las proposiciones teóricas de la investigación urbana como construcciones de primer nivel, tercero, resaltar que las proposiciones de la investigación urbana no sólo responden a principios lógicos científicos en la construcción del conocimiento, sino además a un contexto de prácticas científicas.</w:t>
      </w:r>
    </w:p>
    <w:p>
      <w:pPr>
        <w:pStyle w:val="BodyText"/>
      </w:pPr>
    </w:p>
    <w:p>
      <w:pPr>
        <w:pStyle w:val="BodyText"/>
        <w:spacing w:line="360" w:lineRule="auto" w:before="142"/>
        <w:ind w:left="102" w:right="118"/>
        <w:jc w:val="both"/>
      </w:pPr>
      <w:r>
        <w:rPr/>
        <w:t>Si bien “la publicación en una revista de prestigio reconocido asegura la prioridad en la producción de un resultado, acrecienta el crédito académico de un científico, legitima su actividad y permite la existencia de sistemas de comunicación científica</w:t>
      </w:r>
    </w:p>
    <w:p>
      <w:pPr>
        <w:spacing w:after="0" w:line="360" w:lineRule="auto"/>
        <w:jc w:val="both"/>
        <w:sectPr>
          <w:pgSz w:w="12240" w:h="15840"/>
          <w:pgMar w:header="0" w:footer="689" w:top="1360" w:bottom="880" w:left="1600" w:right="1580"/>
        </w:sectPr>
      </w:pPr>
    </w:p>
    <w:p>
      <w:pPr>
        <w:pStyle w:val="BodyText"/>
        <w:spacing w:line="360" w:lineRule="auto" w:before="54"/>
        <w:ind w:left="102" w:right="118"/>
        <w:jc w:val="both"/>
      </w:pPr>
      <w:r>
        <w:rPr/>
        <w:t>ligados a procesos activos de persuasión, negociación, refutación y modificación,  a través de los cuales el significado de las observaciones científicas, al igual </w:t>
      </w:r>
      <w:r>
        <w:rPr>
          <w:spacing w:val="-2"/>
        </w:rPr>
        <w:t>que </w:t>
      </w:r>
      <w:r>
        <w:rPr/>
        <w:t>las interpretaciones teóricas, tiende a ser selectivamente construido y reconstruido el campo científico” (Saavedra et al, 2002:</w:t>
      </w:r>
      <w:r>
        <w:rPr>
          <w:spacing w:val="-17"/>
        </w:rPr>
        <w:t> </w:t>
      </w:r>
      <w:r>
        <w:rPr/>
        <w:t>153).</w:t>
      </w:r>
    </w:p>
    <w:p>
      <w:pPr>
        <w:pStyle w:val="BodyText"/>
      </w:pPr>
    </w:p>
    <w:p>
      <w:pPr>
        <w:pStyle w:val="BodyText"/>
        <w:spacing w:line="360" w:lineRule="auto" w:before="142"/>
        <w:ind w:left="102" w:right="120"/>
        <w:jc w:val="both"/>
      </w:pPr>
      <w:r>
        <w:rPr/>
        <w:t>Según Espinosa (2009) “la ciencia es una red de especialidades interconectadas entre sí, algunas exportadoras y otras importadoras de conocimiento que se pueden contemplar utilizando como base el análisis cuantitativo de la producción escrita” (Espinosa et. al. 2009: 10), entonces el estudio de estas redes se puede hacer desde “la bibliometría [que] estudia la organización de los sectores científicos y tecnológicos a partir de las fuentes bibliográficas y patentes para identificar a los autores, sus relaciones, y sus tendencias” (Spinak, 1998:143</w:t>
      </w:r>
      <w:r>
        <w:rPr>
          <w:spacing w:val="-22"/>
        </w:rPr>
        <w:t> </w:t>
      </w:r>
      <w:r>
        <w:rPr/>
        <w:t>).</w:t>
      </w:r>
    </w:p>
    <w:p>
      <w:pPr>
        <w:pStyle w:val="BodyText"/>
      </w:pPr>
    </w:p>
    <w:p>
      <w:pPr>
        <w:pStyle w:val="BodyText"/>
        <w:spacing w:line="360" w:lineRule="auto" w:before="142"/>
        <w:ind w:left="102" w:right="116"/>
        <w:jc w:val="both"/>
      </w:pPr>
      <w:r>
        <w:rPr/>
        <w:t>Para Spinak (1998) la importancia de las técnicas bibliométricas y cienciométricas radica en: a) Identificar las tendencias y el crecimiento del conocimiento en las distintas disciplinas, b) Estimar la cobertura de las revistas secundarias, c) Identificar los usuarios de las distintas disciplinas, d) Identificar autores y tendencias en distintas disciplinas, e) Medir la utilidad de los servicios de diseminación selectiva de información, f) Predecir las tendencias de publicación, g) Identificar las revistas núcleo de cada disciplina, h) Formular políticas de adquisición ajustadas al presupuesto, i) Adaptar políticas de descarte de publicaciones, j) Estudiar la dispersión y la obsolescencia de la literatura científica,</w:t>
      </w:r>
    </w:p>
    <w:p>
      <w:pPr>
        <w:pStyle w:val="ListParagraph"/>
        <w:numPr>
          <w:ilvl w:val="0"/>
          <w:numId w:val="3"/>
        </w:numPr>
        <w:tabs>
          <w:tab w:pos="446" w:val="left" w:leader="none"/>
        </w:tabs>
        <w:spacing w:line="360" w:lineRule="auto" w:before="2" w:after="0"/>
        <w:ind w:left="102" w:right="125" w:firstLine="0"/>
        <w:jc w:val="both"/>
        <w:rPr>
          <w:sz w:val="24"/>
        </w:rPr>
      </w:pPr>
      <w:r>
        <w:rPr>
          <w:sz w:val="24"/>
        </w:rPr>
        <w:t>Diseñar normas para estandarización, l) Diseñar procesos automáticos de indización, clasificación y confección de resúmenes. m) Predecir la productividad de editores, autores individuales, organizaciones,</w:t>
      </w:r>
      <w:r>
        <w:rPr>
          <w:spacing w:val="-16"/>
          <w:sz w:val="24"/>
        </w:rPr>
        <w:t> </w:t>
      </w:r>
      <w:r>
        <w:rPr>
          <w:sz w:val="24"/>
        </w:rPr>
        <w:t>países.</w:t>
      </w:r>
    </w:p>
    <w:p>
      <w:pPr>
        <w:pStyle w:val="BodyText"/>
      </w:pPr>
    </w:p>
    <w:p>
      <w:pPr>
        <w:pStyle w:val="BodyText"/>
        <w:spacing w:line="360" w:lineRule="auto" w:before="142"/>
        <w:ind w:left="102" w:right="124"/>
        <w:jc w:val="both"/>
      </w:pPr>
      <w:r>
        <w:rPr/>
        <w:t>En este trabajo de investigación busca identificar los aspectos metodológicos conceptuales de las teorías y las prácticas científicas propias de la investigación urbana latinoamericana, por lo que hacemos un vínculo entre el estudio cienciométrico y el metateórico; es decir primero se hará un análisis cuantitativo sobre las características de la investigación a partir de las citas y posteriormente</w:t>
      </w:r>
    </w:p>
    <w:p>
      <w:pPr>
        <w:spacing w:after="0" w:line="360" w:lineRule="auto"/>
        <w:jc w:val="both"/>
        <w:sectPr>
          <w:pgSz w:w="12240" w:h="15840"/>
          <w:pgMar w:header="0" w:footer="689" w:top="1360" w:bottom="880" w:left="1600" w:right="1580"/>
        </w:sectPr>
      </w:pPr>
    </w:p>
    <w:p>
      <w:pPr>
        <w:pStyle w:val="BodyText"/>
        <w:spacing w:line="360" w:lineRule="auto" w:before="54"/>
        <w:ind w:left="102" w:right="118"/>
        <w:jc w:val="both"/>
      </w:pPr>
      <w:r>
        <w:rPr/>
        <w:t>se hará un análisis cualitativo sobre los artículos más citados. Para alcanzar este objetivo son necesarias las siguientes fases:</w:t>
      </w:r>
    </w:p>
    <w:p>
      <w:pPr>
        <w:pStyle w:val="BodyText"/>
      </w:pPr>
    </w:p>
    <w:p>
      <w:pPr>
        <w:pStyle w:val="Heading1"/>
        <w:spacing w:before="142"/>
        <w:jc w:val="both"/>
      </w:pPr>
      <w:r>
        <w:rPr/>
        <w:t>Fase 1</w:t>
      </w:r>
    </w:p>
    <w:p>
      <w:pPr>
        <w:spacing w:line="360" w:lineRule="auto" w:before="134"/>
        <w:ind w:left="102" w:right="115" w:firstLine="0"/>
        <w:jc w:val="both"/>
        <w:rPr>
          <w:sz w:val="24"/>
        </w:rPr>
      </w:pPr>
      <w:r>
        <w:rPr>
          <w:sz w:val="24"/>
        </w:rPr>
        <w:t>Se utiliza la plataforma </w:t>
      </w:r>
      <w:r>
        <w:rPr>
          <w:i/>
          <w:sz w:val="24"/>
        </w:rPr>
        <w:t>ISI Web of Science (WoS) </w:t>
      </w:r>
      <w:r>
        <w:rPr>
          <w:sz w:val="24"/>
        </w:rPr>
        <w:t>de </w:t>
      </w:r>
      <w:r>
        <w:rPr>
          <w:i/>
          <w:sz w:val="24"/>
        </w:rPr>
        <w:t>Thomson Reuters </w:t>
      </w:r>
      <w:r>
        <w:rPr>
          <w:sz w:val="24"/>
        </w:rPr>
        <w:t>(</w:t>
      </w:r>
      <w:hyperlink r:id="rId10">
        <w:r>
          <w:rPr>
            <w:sz w:val="24"/>
          </w:rPr>
          <w:t>http://wokinfo.com/</w:t>
        </w:r>
      </w:hyperlink>
      <w:r>
        <w:rPr>
          <w:sz w:val="24"/>
        </w:rPr>
        <w:t>) para identificar las áreas y revistas científicas de la corriente principal de la Investigación Urbana Latinoamericana. El WoS consta de  tres bases de datos, </w:t>
      </w:r>
      <w:r>
        <w:rPr>
          <w:i/>
          <w:sz w:val="24"/>
        </w:rPr>
        <w:t>Science Citation Index </w:t>
      </w:r>
      <w:r>
        <w:rPr>
          <w:sz w:val="24"/>
        </w:rPr>
        <w:t>(SCI), S</w:t>
      </w:r>
      <w:r>
        <w:rPr>
          <w:i/>
          <w:sz w:val="24"/>
        </w:rPr>
        <w:t>ocial Sciences Citation Index </w:t>
      </w:r>
      <w:r>
        <w:rPr>
          <w:sz w:val="24"/>
        </w:rPr>
        <w:t>(SCCI) </w:t>
      </w:r>
      <w:r>
        <w:rPr>
          <w:i/>
          <w:sz w:val="24"/>
        </w:rPr>
        <w:t>y Arts and Humanities Citation Inde</w:t>
      </w:r>
      <w:r>
        <w:rPr>
          <w:sz w:val="24"/>
        </w:rPr>
        <w:t>x (A&amp;HCI). El impacto de las revistas incluidas en el WOS se da a conocer en el </w:t>
      </w:r>
      <w:r>
        <w:rPr>
          <w:i/>
          <w:sz w:val="24"/>
        </w:rPr>
        <w:t>Journal of Citation Reports </w:t>
      </w:r>
      <w:r>
        <w:rPr>
          <w:sz w:val="24"/>
        </w:rPr>
        <w:t>(</w:t>
      </w:r>
      <w:r>
        <w:rPr>
          <w:i/>
          <w:sz w:val="24"/>
        </w:rPr>
        <w:t>JCR</w:t>
      </w:r>
      <w:r>
        <w:rPr>
          <w:sz w:val="24"/>
        </w:rPr>
        <w:t>) en sus tres ediciones (ciencias, ciencias sociales y artes y humanidades). La información más detallada sobre estas bases de datos está disponible</w:t>
      </w:r>
      <w:r>
        <w:rPr>
          <w:spacing w:val="-29"/>
          <w:sz w:val="24"/>
        </w:rPr>
        <w:t> </w:t>
      </w:r>
      <w:r>
        <w:rPr>
          <w:sz w:val="24"/>
        </w:rPr>
        <w:t>en:</w:t>
      </w:r>
    </w:p>
    <w:p>
      <w:pPr>
        <w:pStyle w:val="BodyText"/>
      </w:pPr>
    </w:p>
    <w:p>
      <w:pPr>
        <w:pStyle w:val="ListParagraph"/>
        <w:numPr>
          <w:ilvl w:val="1"/>
          <w:numId w:val="3"/>
        </w:numPr>
        <w:tabs>
          <w:tab w:pos="821" w:val="left" w:leader="none"/>
          <w:tab w:pos="822" w:val="left" w:leader="none"/>
        </w:tabs>
        <w:spacing w:line="240" w:lineRule="auto" w:before="142" w:after="0"/>
        <w:ind w:left="822" w:right="0" w:hanging="360"/>
        <w:jc w:val="left"/>
        <w:rPr>
          <w:sz w:val="24"/>
        </w:rPr>
      </w:pPr>
      <w:hyperlink r:id="rId11">
        <w:r>
          <w:rPr>
            <w:sz w:val="24"/>
          </w:rPr>
          <w:t>http://wokinfo.com/products_tools/multidisciplinary/webofscience/</w:t>
        </w:r>
      </w:hyperlink>
      <w:r>
        <w:rPr>
          <w:spacing w:val="-24"/>
          <w:sz w:val="24"/>
        </w:rPr>
        <w:t> </w:t>
      </w:r>
      <w:r>
        <w:rPr>
          <w:sz w:val="24"/>
        </w:rPr>
        <w:t>y</w:t>
      </w:r>
    </w:p>
    <w:p>
      <w:pPr>
        <w:pStyle w:val="ListParagraph"/>
        <w:numPr>
          <w:ilvl w:val="1"/>
          <w:numId w:val="3"/>
        </w:numPr>
        <w:tabs>
          <w:tab w:pos="821" w:val="left" w:leader="none"/>
          <w:tab w:pos="822" w:val="left" w:leader="none"/>
        </w:tabs>
        <w:spacing w:line="240" w:lineRule="auto" w:before="135" w:after="0"/>
        <w:ind w:left="822" w:right="0" w:hanging="360"/>
        <w:jc w:val="left"/>
        <w:rPr>
          <w:sz w:val="24"/>
        </w:rPr>
      </w:pPr>
      <w:hyperlink r:id="rId12">
        <w:r>
          <w:rPr>
            <w:sz w:val="24"/>
          </w:rPr>
          <w:t>http://wokinfo.com/products_</w:t>
        </w:r>
      </w:hyperlink>
      <w:r>
        <w:rPr>
          <w:spacing w:val="-19"/>
          <w:sz w:val="24"/>
        </w:rPr>
        <w:t> </w:t>
      </w:r>
      <w:r>
        <w:rPr>
          <w:sz w:val="24"/>
        </w:rPr>
        <w:t>tools/analytical/jcr/.</w:t>
      </w:r>
    </w:p>
    <w:p>
      <w:pPr>
        <w:pStyle w:val="BodyText"/>
      </w:pPr>
    </w:p>
    <w:p>
      <w:pPr>
        <w:pStyle w:val="BodyText"/>
        <w:spacing w:before="10"/>
        <w:rPr>
          <w:sz w:val="23"/>
        </w:rPr>
      </w:pPr>
    </w:p>
    <w:p>
      <w:pPr>
        <w:pStyle w:val="BodyText"/>
        <w:spacing w:line="360" w:lineRule="auto"/>
        <w:ind w:left="102" w:right="118"/>
        <w:jc w:val="both"/>
      </w:pPr>
      <w:r>
        <w:rPr/>
        <w:t>La información que se utiliza para este trabajo de investigación fue obtenida en octubre de 2015 a partir de la última actualización de ese año, durante 2015 se hicieron alrededor de 12 consultas y se confirmó que no había cambios drásticos en las citas por revista y artículos.</w:t>
      </w:r>
    </w:p>
    <w:p>
      <w:pPr>
        <w:pStyle w:val="BodyText"/>
      </w:pPr>
    </w:p>
    <w:p>
      <w:pPr>
        <w:pStyle w:val="BodyText"/>
        <w:spacing w:line="360" w:lineRule="auto" w:before="142"/>
        <w:ind w:left="102" w:right="123"/>
        <w:jc w:val="both"/>
      </w:pPr>
      <w:r>
        <w:rPr/>
        <w:t>En 2016 a partir de febrero no se pudo ingresar a la base a través de la página de la universidad, problema que continuó hasta la primeras semanas de marzo por lo que no se pudo hacer un comparativo con los datos de este año; en caso de que hubiera algún cambio no afectaría la clasificación aquí presentada porque como lo observamos en las consultas anteriores no había cambios significativos.</w:t>
      </w:r>
    </w:p>
    <w:p>
      <w:pPr>
        <w:pStyle w:val="BodyText"/>
      </w:pPr>
    </w:p>
    <w:p>
      <w:pPr>
        <w:pStyle w:val="Heading1"/>
        <w:spacing w:before="142"/>
        <w:jc w:val="both"/>
      </w:pPr>
      <w:r>
        <w:rPr/>
        <w:t>Fase 2</w:t>
      </w:r>
    </w:p>
    <w:p>
      <w:pPr>
        <w:pStyle w:val="BodyText"/>
        <w:spacing w:line="360" w:lineRule="auto" w:before="137"/>
        <w:ind w:left="102" w:right="121"/>
        <w:jc w:val="both"/>
      </w:pPr>
      <w:r>
        <w:rPr/>
        <w:t>A partir de la consulta de octubre de 2015 se delimita el universo de revistas científicas de Latinoamérica dentro de </w:t>
      </w:r>
      <w:r>
        <w:rPr>
          <w:i/>
        </w:rPr>
        <w:t>WoS</w:t>
      </w:r>
      <w:r>
        <w:rPr/>
        <w:t>, tanto de ciencias naturales como de ciencias  sociales  para  hacer  un  análisis  cuantitativo  sobre  sus      </w:t>
      </w:r>
      <w:r>
        <w:rPr>
          <w:spacing w:val="59"/>
        </w:rPr>
        <w:t> </w:t>
      </w:r>
      <w:r>
        <w:rPr/>
        <w:t>principales</w:t>
      </w:r>
    </w:p>
    <w:p>
      <w:pPr>
        <w:spacing w:after="0" w:line="360" w:lineRule="auto"/>
        <w:jc w:val="both"/>
        <w:sectPr>
          <w:pgSz w:w="12240" w:h="15840"/>
          <w:pgMar w:header="0" w:footer="689" w:top="1360" w:bottom="880" w:left="1600" w:right="1580"/>
        </w:sectPr>
      </w:pPr>
    </w:p>
    <w:p>
      <w:pPr>
        <w:pStyle w:val="BodyText"/>
        <w:spacing w:line="360" w:lineRule="auto" w:before="54"/>
        <w:ind w:left="122" w:right="122"/>
        <w:jc w:val="both"/>
      </w:pPr>
      <w:r>
        <w:rPr/>
        <w:t>características bibliométricas para identificar los principales países e instituciones productores de conocimiento, principales áreas temáticas y principales revistas dentro de la investigación urbana latinoamericana.</w:t>
      </w:r>
    </w:p>
    <w:p>
      <w:pPr>
        <w:pStyle w:val="BodyText"/>
      </w:pPr>
    </w:p>
    <w:p>
      <w:pPr>
        <w:pStyle w:val="Heading1"/>
        <w:spacing w:before="142"/>
        <w:ind w:left="122"/>
        <w:jc w:val="both"/>
      </w:pPr>
      <w:r>
        <w:rPr/>
        <w:t>Fase 3</w:t>
      </w:r>
    </w:p>
    <w:p>
      <w:pPr>
        <w:pStyle w:val="BodyText"/>
        <w:spacing w:line="352" w:lineRule="auto" w:before="139"/>
        <w:ind w:left="122" w:right="116"/>
        <w:jc w:val="both"/>
      </w:pPr>
      <w:r>
        <w:rPr/>
        <w:t>Se selecciona a la revista Eure por ser la revista latinoamericana de mayor posicionamiento dentro de </w:t>
      </w:r>
      <w:r>
        <w:rPr>
          <w:i/>
        </w:rPr>
        <w:t>WoS</w:t>
      </w:r>
      <w:r>
        <w:rPr/>
        <w:t>. En su página oficial de Eure (www.eure.cl) se menciona que desde 2001 es parte del proyecto </w:t>
      </w:r>
      <w:r>
        <w:rPr>
          <w:i/>
        </w:rPr>
        <w:t>Thomson Reuters ISI, </w:t>
      </w:r>
      <w:r>
        <w:rPr/>
        <w:t>desde  2008 forma parte de Scopus y desde 1997 está incorporada en ScIELO que en Chile es administrado por el CONICYT.</w:t>
      </w:r>
      <w:r>
        <w:rPr>
          <w:position w:val="11"/>
          <w:sz w:val="16"/>
        </w:rPr>
        <w:t>1  </w:t>
      </w:r>
      <w:r>
        <w:rPr/>
        <w:t>Dentro del </w:t>
      </w:r>
      <w:r>
        <w:rPr>
          <w:i/>
        </w:rPr>
        <w:t>WoS </w:t>
      </w:r>
      <w:r>
        <w:rPr/>
        <w:t>Eure se encuentra en  </w:t>
      </w:r>
      <w:r>
        <w:rPr>
          <w:spacing w:val="4"/>
        </w:rPr>
        <w:t> </w:t>
      </w:r>
      <w:r>
        <w:rPr/>
        <w:t>el</w:t>
      </w:r>
    </w:p>
    <w:p>
      <w:pPr>
        <w:spacing w:line="269" w:lineRule="exact" w:before="0"/>
        <w:ind w:left="122" w:right="0" w:firstLine="0"/>
        <w:jc w:val="both"/>
        <w:rPr>
          <w:sz w:val="24"/>
        </w:rPr>
      </w:pPr>
      <w:r>
        <w:rPr>
          <w:sz w:val="24"/>
        </w:rPr>
        <w:t>área de </w:t>
      </w:r>
      <w:r>
        <w:rPr>
          <w:i/>
          <w:sz w:val="24"/>
        </w:rPr>
        <w:t>urban studies</w:t>
      </w:r>
      <w:r>
        <w:rPr>
          <w:sz w:val="24"/>
        </w:rPr>
        <w:t>.</w:t>
      </w:r>
    </w:p>
    <w:p>
      <w:pPr>
        <w:pStyle w:val="BodyText"/>
      </w:pPr>
    </w:p>
    <w:p>
      <w:pPr>
        <w:pStyle w:val="BodyText"/>
        <w:spacing w:before="2"/>
      </w:pPr>
    </w:p>
    <w:p>
      <w:pPr>
        <w:pStyle w:val="BodyText"/>
        <w:spacing w:line="360" w:lineRule="auto"/>
        <w:ind w:left="122" w:right="118"/>
        <w:jc w:val="both"/>
      </w:pPr>
      <w:r>
        <w:rPr/>
        <w:t>Si bien Eure es una revista de Estudios Urbanos y Regionales partimos del supuesto de que en ella se publican artículos provenientes de disciplinas a fines a la investigación urbana, esto por ser la revista más citada de estudios urbanos y regionales de lengua hispana a nivel mundial. En esta fase se hace un análisis cuantitativo a nivel de revista de sus principales características de citación respecto al área y resto de revistas de la corriente principal</w:t>
      </w:r>
      <w:r>
        <w:rPr>
          <w:spacing w:val="-22"/>
        </w:rPr>
        <w:t> </w:t>
      </w:r>
      <w:r>
        <w:rPr/>
        <w:t>anglosajona.</w:t>
      </w:r>
    </w:p>
    <w:p>
      <w:pPr>
        <w:pStyle w:val="BodyText"/>
      </w:pPr>
    </w:p>
    <w:p>
      <w:pPr>
        <w:pStyle w:val="Heading1"/>
        <w:spacing w:before="142"/>
        <w:ind w:left="122"/>
        <w:jc w:val="both"/>
      </w:pPr>
      <w:r>
        <w:rPr/>
        <w:t>Fase 4</w:t>
      </w:r>
    </w:p>
    <w:p>
      <w:pPr>
        <w:pStyle w:val="BodyText"/>
        <w:spacing w:line="360" w:lineRule="auto" w:before="137"/>
        <w:ind w:left="122" w:right="118"/>
        <w:jc w:val="both"/>
      </w:pPr>
      <w:r>
        <w:rPr/>
        <w:t>En esta fase se identifican las citas exclusivamente de los artículos científicos por lo que no se consideran editoriales y reseñas tanto de libros </w:t>
      </w:r>
      <w:r>
        <w:rPr>
          <w:spacing w:val="2"/>
        </w:rPr>
        <w:t>como </w:t>
      </w:r>
      <w:r>
        <w:rPr/>
        <w:t>de artículos en proceso. En octubre de 2014 Eure contaba con 474 artículos de los cuales en conjunto tenían 1205 citas. Alrededor del 55% de los artículos no tienen citas por lo que sólo 212 artículos tienen una o más citas para un</w:t>
      </w:r>
      <w:r>
        <w:rPr>
          <w:spacing w:val="-23"/>
        </w:rPr>
        <w:t> </w:t>
      </w:r>
      <w:r>
        <w:rPr/>
        <w:t>análisis.</w:t>
      </w:r>
    </w:p>
    <w:p>
      <w:pPr>
        <w:pStyle w:val="BodyText"/>
      </w:pPr>
    </w:p>
    <w:p>
      <w:pPr>
        <w:pStyle w:val="BodyText"/>
        <w:spacing w:line="360" w:lineRule="auto" w:before="142"/>
        <w:ind w:left="122" w:right="123"/>
        <w:jc w:val="both"/>
      </w:pPr>
      <w:r>
        <w:rPr/>
        <w:t>De los artículos con citas, se seleccionan a los más citados, que son aproximadamente el 20% del total con citas, para el análisis cuantitativo ya que concentran entre el 80% y 85% del total de citas de la revista, por lo que son los</w:t>
      </w:r>
    </w:p>
    <w:p>
      <w:pPr>
        <w:pStyle w:val="BodyText"/>
        <w:spacing w:before="5"/>
        <w:rPr>
          <w:sz w:val="13"/>
        </w:rPr>
      </w:pPr>
      <w:r>
        <w:rPr/>
        <w:pict>
          <v:line style="position:absolute;mso-position-horizontal-relative:page;mso-position-vertical-relative:paragraph;z-index:1144;mso-wrap-distance-left:0;mso-wrap-distance-right:0" from="85.103996pt,10.013912pt" to="229.123996pt,10.013912pt" stroked="true" strokeweight=".599980pt" strokecolor="#000000">
            <w10:wrap type="topAndBottom"/>
          </v:line>
        </w:pict>
      </w:r>
    </w:p>
    <w:p>
      <w:pPr>
        <w:spacing w:before="44"/>
        <w:ind w:left="122" w:right="121" w:firstLine="0"/>
        <w:jc w:val="both"/>
        <w:rPr>
          <w:sz w:val="20"/>
        </w:rPr>
      </w:pPr>
      <w:r>
        <w:rPr>
          <w:position w:val="10"/>
          <w:sz w:val="13"/>
        </w:rPr>
        <w:t>1  </w:t>
      </w:r>
      <w:r>
        <w:rPr>
          <w:sz w:val="20"/>
        </w:rPr>
        <w:t>El total de indizaciones de la revista son, ISI Thomson Reuters; Scopus; Scielo; RedAlyC;  CLASE; Elsevier Geo Abstracts; HAPI; e-Revist@s; PAIS; Latindex; Social Sciences Citation Index; Sociological Abstracts; y, The International Bibliography of the Social</w:t>
      </w:r>
      <w:r>
        <w:rPr>
          <w:spacing w:val="-28"/>
          <w:sz w:val="20"/>
        </w:rPr>
        <w:t> </w:t>
      </w:r>
      <w:r>
        <w:rPr>
          <w:sz w:val="20"/>
        </w:rPr>
        <w:t>Sciences.</w:t>
      </w:r>
    </w:p>
    <w:p>
      <w:pPr>
        <w:spacing w:after="0"/>
        <w:jc w:val="both"/>
        <w:rPr>
          <w:sz w:val="20"/>
        </w:rPr>
        <w:sectPr>
          <w:pgSz w:w="12240" w:h="15840"/>
          <w:pgMar w:header="0" w:footer="689" w:top="1360" w:bottom="880" w:left="1580" w:right="1580"/>
        </w:sectPr>
      </w:pPr>
    </w:p>
    <w:p>
      <w:pPr>
        <w:pStyle w:val="BodyText"/>
        <w:spacing w:line="360" w:lineRule="auto" w:before="54"/>
        <w:ind w:left="102" w:right="121"/>
        <w:jc w:val="both"/>
      </w:pPr>
      <w:r>
        <w:rPr/>
        <w:t>de mayor visibilidad dentro del área y que tienen mayor influencia en la investigación que se realiza en Latinoamérica. A partir de estos datos se hace un análisis del número de artículos científicos, participación de países, instituciones y autores y, se identifican a los autores con mayor productividad dentro de la revista.</w:t>
      </w:r>
    </w:p>
    <w:p>
      <w:pPr>
        <w:pStyle w:val="BodyText"/>
      </w:pPr>
    </w:p>
    <w:p>
      <w:pPr>
        <w:pStyle w:val="Heading1"/>
        <w:spacing w:before="142"/>
        <w:jc w:val="both"/>
      </w:pPr>
      <w:r>
        <w:rPr/>
        <w:t>Fase 5</w:t>
      </w:r>
    </w:p>
    <w:p>
      <w:pPr>
        <w:pStyle w:val="BodyText"/>
        <w:spacing w:line="360" w:lineRule="auto" w:before="137"/>
        <w:ind w:left="102" w:right="120"/>
        <w:jc w:val="both"/>
      </w:pPr>
      <w:r>
        <w:rPr/>
        <w:t>Se hace una categorización de temas respecto a los artículos que han tenido una mayor participación del total de citas para identificar los temas que se están estudiando desde las disciplinas afines a esta área de investigación, para delimitar si existe un grupo de temas y autores hegemónicos.</w:t>
      </w:r>
    </w:p>
    <w:p>
      <w:pPr>
        <w:pStyle w:val="BodyText"/>
      </w:pPr>
    </w:p>
    <w:p>
      <w:pPr>
        <w:pStyle w:val="Heading1"/>
        <w:spacing w:before="142"/>
        <w:jc w:val="both"/>
      </w:pPr>
      <w:r>
        <w:rPr/>
        <w:t>Fase 6</w:t>
      </w:r>
    </w:p>
    <w:p>
      <w:pPr>
        <w:pStyle w:val="BodyText"/>
        <w:spacing w:line="360" w:lineRule="auto" w:before="137"/>
        <w:ind w:left="102" w:right="116"/>
        <w:jc w:val="both"/>
      </w:pPr>
      <w:r>
        <w:rPr/>
        <w:t>Se realiza el análisis cualitativo el metateórico propiamente dicho partir </w:t>
      </w:r>
      <w:r>
        <w:rPr>
          <w:spacing w:val="5"/>
        </w:rPr>
        <w:t>de </w:t>
      </w:r>
      <w:r>
        <w:rPr/>
        <w:t>la propuesta de Garcés (2007), se hace una revisión de los artículos que concentran el 50% del total de citas para tener un referente de la principal propuesta metodológica en la investigación urbana, a través de la identificación de tres niveles en la construcción del conocimiento: 1) Nivel epistemológico en el que hay dos opciones: a) científico positivista o b) pospositivista; 2) Nivel metodológico igual con dos opciones: a) nomotético o b) idiográfico; y 3) Corriente teórica. Además de identificar los tres niveles anteriormente referidos se hace un análisis de los marcos de referencia, teorías, prácticas de citación y relación entre las bibliografías citadas. De esta forma al final de la investigación se tendrán las particularidades de la IUL como elemento sustancial de la vinculación de las disciplinas que la conforman. Para la delimitación de estos niveles se utiliza el siguiente</w:t>
      </w:r>
      <w:r>
        <w:rPr>
          <w:spacing w:val="-6"/>
        </w:rPr>
        <w:t> </w:t>
      </w:r>
      <w:r>
        <w:rPr/>
        <w:t>formato:</w:t>
      </w:r>
    </w:p>
    <w:p>
      <w:pPr>
        <w:spacing w:after="0" w:line="360" w:lineRule="auto"/>
        <w:jc w:val="both"/>
        <w:sectPr>
          <w:pgSz w:w="12240" w:h="15840"/>
          <w:pgMar w:header="0" w:footer="689" w:top="1360" w:bottom="880" w:left="1600" w:right="1580"/>
        </w:sectPr>
      </w:pPr>
    </w:p>
    <w:p>
      <w:pPr>
        <w:pStyle w:val="Heading1"/>
        <w:spacing w:before="52" w:after="4"/>
        <w:ind w:left="3232" w:right="3353" w:firstLine="648"/>
        <w:jc w:val="left"/>
      </w:pPr>
      <w:r>
        <w:rPr/>
        <w:t>Cuadro 1 Variables de estudio</w:t>
      </w:r>
    </w:p>
    <w:tbl>
      <w:tblPr>
        <w:tblW w:w="0" w:type="auto"/>
        <w:jc w:val="left"/>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4"/>
        <w:gridCol w:w="619"/>
        <w:gridCol w:w="6789"/>
      </w:tblGrid>
      <w:tr>
        <w:trPr>
          <w:trHeight w:val="312" w:hRule="exact"/>
        </w:trPr>
        <w:tc>
          <w:tcPr>
            <w:tcW w:w="1034" w:type="dxa"/>
            <w:vMerge w:val="restart"/>
            <w:textDirection w:val="btLr"/>
          </w:tcPr>
          <w:p>
            <w:pPr>
              <w:pStyle w:val="TableParagraph"/>
              <w:rPr>
                <w:b/>
                <w:sz w:val="24"/>
              </w:rPr>
            </w:pPr>
          </w:p>
          <w:p>
            <w:pPr>
              <w:pStyle w:val="TableParagraph"/>
              <w:spacing w:before="10"/>
              <w:rPr>
                <w:b/>
                <w:sz w:val="34"/>
              </w:rPr>
            </w:pPr>
          </w:p>
          <w:p>
            <w:pPr>
              <w:pStyle w:val="TableParagraph"/>
              <w:ind w:left="1648"/>
              <w:rPr>
                <w:b/>
                <w:sz w:val="24"/>
              </w:rPr>
            </w:pPr>
            <w:r>
              <w:rPr>
                <w:b/>
                <w:sz w:val="24"/>
              </w:rPr>
              <w:t>V</w:t>
            </w:r>
            <w:r>
              <w:rPr>
                <w:b/>
                <w:w w:val="99"/>
                <w:sz w:val="24"/>
              </w:rPr>
              <w:t>ar</w:t>
            </w:r>
            <w:r>
              <w:rPr>
                <w:b/>
                <w:spacing w:val="-2"/>
                <w:w w:val="99"/>
                <w:sz w:val="24"/>
              </w:rPr>
              <w:t>i</w:t>
            </w:r>
            <w:r>
              <w:rPr>
                <w:b/>
                <w:w w:val="99"/>
                <w:sz w:val="24"/>
              </w:rPr>
              <w:t>a</w:t>
            </w:r>
            <w:r>
              <w:rPr>
                <w:b/>
                <w:w w:val="99"/>
                <w:sz w:val="24"/>
              </w:rPr>
              <w:t>bl</w:t>
            </w:r>
            <w:r>
              <w:rPr>
                <w:b/>
                <w:spacing w:val="-2"/>
                <w:w w:val="99"/>
                <w:sz w:val="24"/>
              </w:rPr>
              <w:t>e</w:t>
            </w:r>
            <w:r>
              <w:rPr>
                <w:b/>
                <w:w w:val="99"/>
                <w:sz w:val="24"/>
              </w:rPr>
              <w:t>s</w:t>
            </w:r>
            <w:r>
              <w:rPr>
                <w:b/>
                <w:sz w:val="24"/>
              </w:rPr>
              <w:t>  </w:t>
            </w:r>
            <w:r>
              <w:rPr>
                <w:b/>
                <w:spacing w:val="-1"/>
                <w:sz w:val="24"/>
              </w:rPr>
              <w:t> </w:t>
            </w:r>
            <w:r>
              <w:rPr>
                <w:b/>
                <w:w w:val="99"/>
                <w:sz w:val="24"/>
              </w:rPr>
              <w:t>a</w:t>
            </w:r>
            <w:r>
              <w:rPr>
                <w:b/>
                <w:w w:val="99"/>
                <w:sz w:val="24"/>
              </w:rPr>
              <w:t>u</w:t>
            </w:r>
            <w:r>
              <w:rPr>
                <w:b/>
                <w:spacing w:val="-1"/>
                <w:w w:val="99"/>
                <w:sz w:val="24"/>
              </w:rPr>
              <w:t>t</w:t>
            </w:r>
            <w:r>
              <w:rPr>
                <w:b/>
                <w:w w:val="99"/>
                <w:sz w:val="24"/>
              </w:rPr>
              <w:t>oría</w:t>
            </w:r>
          </w:p>
        </w:tc>
        <w:tc>
          <w:tcPr>
            <w:tcW w:w="619" w:type="dxa"/>
          </w:tcPr>
          <w:p>
            <w:pPr>
              <w:pStyle w:val="TableParagraph"/>
              <w:spacing w:before="22"/>
              <w:jc w:val="center"/>
              <w:rPr>
                <w:sz w:val="24"/>
              </w:rPr>
            </w:pPr>
            <w:r>
              <w:rPr>
                <w:w w:val="99"/>
                <w:sz w:val="24"/>
              </w:rPr>
              <w:t>1</w:t>
            </w:r>
          </w:p>
        </w:tc>
        <w:tc>
          <w:tcPr>
            <w:tcW w:w="6789" w:type="dxa"/>
          </w:tcPr>
          <w:p>
            <w:pPr>
              <w:pStyle w:val="TableParagraph"/>
              <w:spacing w:before="22"/>
              <w:ind w:left="64" w:right="705"/>
              <w:rPr>
                <w:sz w:val="24"/>
              </w:rPr>
            </w:pPr>
            <w:r>
              <w:rPr>
                <w:sz w:val="24"/>
              </w:rPr>
              <w:t>Número de unidad de análisis</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2</w:t>
            </w:r>
          </w:p>
        </w:tc>
        <w:tc>
          <w:tcPr>
            <w:tcW w:w="6789" w:type="dxa"/>
          </w:tcPr>
          <w:p>
            <w:pPr>
              <w:pStyle w:val="TableParagraph"/>
              <w:spacing w:before="19"/>
              <w:ind w:left="64" w:right="705"/>
              <w:rPr>
                <w:sz w:val="24"/>
              </w:rPr>
            </w:pPr>
            <w:r>
              <w:rPr>
                <w:sz w:val="24"/>
              </w:rPr>
              <w:t>Título</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3</w:t>
            </w:r>
          </w:p>
        </w:tc>
        <w:tc>
          <w:tcPr>
            <w:tcW w:w="6789" w:type="dxa"/>
          </w:tcPr>
          <w:p>
            <w:pPr>
              <w:pStyle w:val="TableParagraph"/>
              <w:spacing w:before="19"/>
              <w:ind w:left="64" w:right="705"/>
              <w:rPr>
                <w:sz w:val="24"/>
              </w:rPr>
            </w:pPr>
            <w:r>
              <w:rPr>
                <w:sz w:val="24"/>
              </w:rPr>
              <w:t>Palabras clave1</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4</w:t>
            </w:r>
          </w:p>
        </w:tc>
        <w:tc>
          <w:tcPr>
            <w:tcW w:w="6789" w:type="dxa"/>
          </w:tcPr>
          <w:p>
            <w:pPr>
              <w:pStyle w:val="TableParagraph"/>
              <w:spacing w:before="19"/>
              <w:ind w:left="64" w:right="705"/>
              <w:rPr>
                <w:sz w:val="24"/>
              </w:rPr>
            </w:pPr>
            <w:r>
              <w:rPr>
                <w:sz w:val="24"/>
              </w:rPr>
              <w:t>Palabras clave2</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5</w:t>
            </w:r>
          </w:p>
        </w:tc>
        <w:tc>
          <w:tcPr>
            <w:tcW w:w="6789" w:type="dxa"/>
          </w:tcPr>
          <w:p>
            <w:pPr>
              <w:pStyle w:val="TableParagraph"/>
              <w:spacing w:before="19"/>
              <w:ind w:left="64" w:right="705"/>
              <w:rPr>
                <w:sz w:val="24"/>
              </w:rPr>
            </w:pPr>
            <w:r>
              <w:rPr>
                <w:sz w:val="24"/>
              </w:rPr>
              <w:t>Palabras clave3</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6</w:t>
            </w:r>
          </w:p>
        </w:tc>
        <w:tc>
          <w:tcPr>
            <w:tcW w:w="6789" w:type="dxa"/>
          </w:tcPr>
          <w:p>
            <w:pPr>
              <w:pStyle w:val="TableParagraph"/>
              <w:spacing w:before="19"/>
              <w:ind w:left="64" w:right="705"/>
              <w:rPr>
                <w:sz w:val="24"/>
              </w:rPr>
            </w:pPr>
            <w:r>
              <w:rPr>
                <w:sz w:val="24"/>
              </w:rPr>
              <w:t>Palabras clave4</w:t>
            </w:r>
          </w:p>
        </w:tc>
      </w:tr>
      <w:tr>
        <w:trPr>
          <w:trHeight w:val="312" w:hRule="exact"/>
        </w:trPr>
        <w:tc>
          <w:tcPr>
            <w:tcW w:w="1034" w:type="dxa"/>
            <w:vMerge/>
            <w:textDirection w:val="btLr"/>
          </w:tcPr>
          <w:p>
            <w:pPr/>
          </w:p>
        </w:tc>
        <w:tc>
          <w:tcPr>
            <w:tcW w:w="619" w:type="dxa"/>
          </w:tcPr>
          <w:p>
            <w:pPr>
              <w:pStyle w:val="TableParagraph"/>
              <w:spacing w:before="22"/>
              <w:jc w:val="center"/>
              <w:rPr>
                <w:sz w:val="24"/>
              </w:rPr>
            </w:pPr>
            <w:r>
              <w:rPr>
                <w:w w:val="99"/>
                <w:sz w:val="24"/>
              </w:rPr>
              <w:t>7</w:t>
            </w:r>
          </w:p>
        </w:tc>
        <w:tc>
          <w:tcPr>
            <w:tcW w:w="6789" w:type="dxa"/>
          </w:tcPr>
          <w:p>
            <w:pPr>
              <w:pStyle w:val="TableParagraph"/>
              <w:spacing w:before="22"/>
              <w:ind w:left="64" w:right="705"/>
              <w:rPr>
                <w:sz w:val="24"/>
              </w:rPr>
            </w:pPr>
            <w:r>
              <w:rPr>
                <w:sz w:val="24"/>
              </w:rPr>
              <w:t>Año de publicación</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8</w:t>
            </w:r>
          </w:p>
        </w:tc>
        <w:tc>
          <w:tcPr>
            <w:tcW w:w="6789" w:type="dxa"/>
          </w:tcPr>
          <w:p>
            <w:pPr>
              <w:pStyle w:val="TableParagraph"/>
              <w:spacing w:before="19"/>
              <w:ind w:left="64" w:right="705"/>
              <w:rPr>
                <w:sz w:val="24"/>
              </w:rPr>
            </w:pPr>
            <w:r>
              <w:rPr>
                <w:sz w:val="24"/>
              </w:rPr>
              <w:t>Total de citas</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9</w:t>
            </w:r>
          </w:p>
        </w:tc>
        <w:tc>
          <w:tcPr>
            <w:tcW w:w="6789" w:type="dxa"/>
          </w:tcPr>
          <w:p>
            <w:pPr>
              <w:pStyle w:val="TableParagraph"/>
              <w:spacing w:before="19"/>
              <w:ind w:left="64" w:right="705"/>
              <w:rPr>
                <w:sz w:val="24"/>
              </w:rPr>
            </w:pPr>
            <w:r>
              <w:rPr>
                <w:sz w:val="24"/>
              </w:rPr>
              <w:t>Número de autores</w:t>
            </w:r>
          </w:p>
        </w:tc>
      </w:tr>
      <w:tr>
        <w:trPr>
          <w:trHeight w:val="324" w:hRule="exact"/>
        </w:trPr>
        <w:tc>
          <w:tcPr>
            <w:tcW w:w="1034" w:type="dxa"/>
            <w:vMerge/>
            <w:textDirection w:val="btLr"/>
          </w:tcPr>
          <w:p>
            <w:pPr/>
          </w:p>
        </w:tc>
        <w:tc>
          <w:tcPr>
            <w:tcW w:w="619" w:type="dxa"/>
          </w:tcPr>
          <w:p>
            <w:pPr>
              <w:pStyle w:val="TableParagraph"/>
              <w:spacing w:before="34"/>
              <w:ind w:left="151" w:right="151"/>
              <w:jc w:val="center"/>
              <w:rPr>
                <w:sz w:val="24"/>
              </w:rPr>
            </w:pPr>
            <w:r>
              <w:rPr>
                <w:sz w:val="24"/>
              </w:rPr>
              <w:t>10</w:t>
            </w:r>
          </w:p>
        </w:tc>
        <w:tc>
          <w:tcPr>
            <w:tcW w:w="6789" w:type="dxa"/>
          </w:tcPr>
          <w:p>
            <w:pPr>
              <w:pStyle w:val="TableParagraph"/>
              <w:spacing w:before="34"/>
              <w:ind w:left="64" w:right="705"/>
              <w:rPr>
                <w:sz w:val="24"/>
              </w:rPr>
            </w:pPr>
            <w:r>
              <w:rPr>
                <w:sz w:val="24"/>
              </w:rPr>
              <w:t>Autor/autores</w:t>
            </w:r>
          </w:p>
        </w:tc>
      </w:tr>
      <w:tr>
        <w:trPr>
          <w:trHeight w:val="310" w:hRule="exact"/>
        </w:trPr>
        <w:tc>
          <w:tcPr>
            <w:tcW w:w="1034" w:type="dxa"/>
            <w:vMerge/>
            <w:textDirection w:val="btLr"/>
          </w:tcPr>
          <w:p>
            <w:pPr/>
          </w:p>
        </w:tc>
        <w:tc>
          <w:tcPr>
            <w:tcW w:w="619" w:type="dxa"/>
          </w:tcPr>
          <w:p>
            <w:pPr>
              <w:pStyle w:val="TableParagraph"/>
              <w:spacing w:before="19"/>
              <w:ind w:left="151" w:right="151"/>
              <w:jc w:val="center"/>
              <w:rPr>
                <w:sz w:val="24"/>
              </w:rPr>
            </w:pPr>
            <w:r>
              <w:rPr>
                <w:sz w:val="24"/>
              </w:rPr>
              <w:t>11</w:t>
            </w:r>
          </w:p>
        </w:tc>
        <w:tc>
          <w:tcPr>
            <w:tcW w:w="6789" w:type="dxa"/>
          </w:tcPr>
          <w:p>
            <w:pPr>
              <w:pStyle w:val="TableParagraph"/>
              <w:spacing w:before="19"/>
              <w:ind w:left="64" w:right="705"/>
              <w:rPr>
                <w:sz w:val="24"/>
              </w:rPr>
            </w:pPr>
            <w:r>
              <w:rPr>
                <w:sz w:val="24"/>
              </w:rPr>
              <w:t>Institución autor 1</w:t>
            </w:r>
          </w:p>
        </w:tc>
      </w:tr>
      <w:tr>
        <w:trPr>
          <w:trHeight w:val="312" w:hRule="exact"/>
        </w:trPr>
        <w:tc>
          <w:tcPr>
            <w:tcW w:w="1034" w:type="dxa"/>
            <w:vMerge/>
            <w:textDirection w:val="btLr"/>
          </w:tcPr>
          <w:p>
            <w:pPr/>
          </w:p>
        </w:tc>
        <w:tc>
          <w:tcPr>
            <w:tcW w:w="619" w:type="dxa"/>
          </w:tcPr>
          <w:p>
            <w:pPr>
              <w:pStyle w:val="TableParagraph"/>
              <w:spacing w:before="22"/>
              <w:ind w:left="151" w:right="151"/>
              <w:jc w:val="center"/>
              <w:rPr>
                <w:sz w:val="24"/>
              </w:rPr>
            </w:pPr>
            <w:r>
              <w:rPr>
                <w:sz w:val="24"/>
              </w:rPr>
              <w:t>12</w:t>
            </w:r>
          </w:p>
        </w:tc>
        <w:tc>
          <w:tcPr>
            <w:tcW w:w="6789" w:type="dxa"/>
          </w:tcPr>
          <w:p>
            <w:pPr>
              <w:pStyle w:val="TableParagraph"/>
              <w:spacing w:before="22"/>
              <w:ind w:left="64" w:right="705"/>
              <w:rPr>
                <w:sz w:val="24"/>
              </w:rPr>
            </w:pPr>
            <w:r>
              <w:rPr>
                <w:sz w:val="24"/>
              </w:rPr>
              <w:t>País de origen institución autor 1</w:t>
            </w:r>
          </w:p>
        </w:tc>
      </w:tr>
      <w:tr>
        <w:trPr>
          <w:trHeight w:val="310" w:hRule="exact"/>
        </w:trPr>
        <w:tc>
          <w:tcPr>
            <w:tcW w:w="1034" w:type="dxa"/>
            <w:vMerge/>
            <w:textDirection w:val="btLr"/>
          </w:tcPr>
          <w:p>
            <w:pPr/>
          </w:p>
        </w:tc>
        <w:tc>
          <w:tcPr>
            <w:tcW w:w="619" w:type="dxa"/>
          </w:tcPr>
          <w:p>
            <w:pPr>
              <w:pStyle w:val="TableParagraph"/>
              <w:spacing w:before="19"/>
              <w:ind w:left="151" w:right="151"/>
              <w:jc w:val="center"/>
              <w:rPr>
                <w:sz w:val="24"/>
              </w:rPr>
            </w:pPr>
            <w:r>
              <w:rPr>
                <w:sz w:val="24"/>
              </w:rPr>
              <w:t>13</w:t>
            </w:r>
          </w:p>
        </w:tc>
        <w:tc>
          <w:tcPr>
            <w:tcW w:w="6789" w:type="dxa"/>
          </w:tcPr>
          <w:p>
            <w:pPr>
              <w:pStyle w:val="TableParagraph"/>
              <w:spacing w:before="19"/>
              <w:ind w:left="64" w:right="705"/>
              <w:rPr>
                <w:sz w:val="24"/>
              </w:rPr>
            </w:pPr>
            <w:r>
              <w:rPr>
                <w:sz w:val="24"/>
              </w:rPr>
              <w:t>Institución autor 2</w:t>
            </w:r>
          </w:p>
        </w:tc>
      </w:tr>
      <w:tr>
        <w:trPr>
          <w:trHeight w:val="310" w:hRule="exact"/>
        </w:trPr>
        <w:tc>
          <w:tcPr>
            <w:tcW w:w="1034" w:type="dxa"/>
            <w:vMerge/>
            <w:textDirection w:val="btLr"/>
          </w:tcPr>
          <w:p>
            <w:pPr/>
          </w:p>
        </w:tc>
        <w:tc>
          <w:tcPr>
            <w:tcW w:w="619" w:type="dxa"/>
          </w:tcPr>
          <w:p>
            <w:pPr>
              <w:pStyle w:val="TableParagraph"/>
              <w:spacing w:before="19"/>
              <w:ind w:left="151" w:right="151"/>
              <w:jc w:val="center"/>
              <w:rPr>
                <w:sz w:val="24"/>
              </w:rPr>
            </w:pPr>
            <w:r>
              <w:rPr>
                <w:sz w:val="24"/>
              </w:rPr>
              <w:t>14</w:t>
            </w:r>
          </w:p>
        </w:tc>
        <w:tc>
          <w:tcPr>
            <w:tcW w:w="6789" w:type="dxa"/>
          </w:tcPr>
          <w:p>
            <w:pPr>
              <w:pStyle w:val="TableParagraph"/>
              <w:spacing w:before="19"/>
              <w:ind w:left="64" w:right="705"/>
              <w:rPr>
                <w:sz w:val="24"/>
              </w:rPr>
            </w:pPr>
            <w:r>
              <w:rPr>
                <w:sz w:val="24"/>
              </w:rPr>
              <w:t>País de origen institución autor 2</w:t>
            </w:r>
          </w:p>
        </w:tc>
      </w:tr>
      <w:tr>
        <w:trPr>
          <w:trHeight w:val="310" w:hRule="exact"/>
        </w:trPr>
        <w:tc>
          <w:tcPr>
            <w:tcW w:w="1034" w:type="dxa"/>
            <w:vMerge/>
            <w:textDirection w:val="btLr"/>
          </w:tcPr>
          <w:p>
            <w:pPr/>
          </w:p>
        </w:tc>
        <w:tc>
          <w:tcPr>
            <w:tcW w:w="619" w:type="dxa"/>
          </w:tcPr>
          <w:p>
            <w:pPr>
              <w:pStyle w:val="TableParagraph"/>
              <w:spacing w:before="19"/>
              <w:ind w:left="151" w:right="151"/>
              <w:jc w:val="center"/>
              <w:rPr>
                <w:sz w:val="24"/>
              </w:rPr>
            </w:pPr>
            <w:r>
              <w:rPr>
                <w:sz w:val="24"/>
              </w:rPr>
              <w:t>15</w:t>
            </w:r>
          </w:p>
        </w:tc>
        <w:tc>
          <w:tcPr>
            <w:tcW w:w="6789" w:type="dxa"/>
          </w:tcPr>
          <w:p>
            <w:pPr>
              <w:pStyle w:val="TableParagraph"/>
              <w:spacing w:before="19"/>
              <w:ind w:left="64" w:right="705"/>
              <w:rPr>
                <w:sz w:val="24"/>
              </w:rPr>
            </w:pPr>
            <w:r>
              <w:rPr>
                <w:sz w:val="24"/>
              </w:rPr>
              <w:t>Disciplina autor 1</w:t>
            </w:r>
          </w:p>
        </w:tc>
      </w:tr>
      <w:tr>
        <w:trPr>
          <w:trHeight w:val="310" w:hRule="exact"/>
        </w:trPr>
        <w:tc>
          <w:tcPr>
            <w:tcW w:w="1034" w:type="dxa"/>
            <w:vMerge/>
            <w:textDirection w:val="btLr"/>
          </w:tcPr>
          <w:p>
            <w:pPr/>
          </w:p>
        </w:tc>
        <w:tc>
          <w:tcPr>
            <w:tcW w:w="619" w:type="dxa"/>
          </w:tcPr>
          <w:p>
            <w:pPr>
              <w:pStyle w:val="TableParagraph"/>
              <w:spacing w:before="19"/>
              <w:ind w:left="151" w:right="151"/>
              <w:jc w:val="center"/>
              <w:rPr>
                <w:sz w:val="24"/>
              </w:rPr>
            </w:pPr>
            <w:r>
              <w:rPr>
                <w:sz w:val="24"/>
              </w:rPr>
              <w:t>16</w:t>
            </w:r>
          </w:p>
        </w:tc>
        <w:tc>
          <w:tcPr>
            <w:tcW w:w="6789" w:type="dxa"/>
          </w:tcPr>
          <w:p>
            <w:pPr>
              <w:pStyle w:val="TableParagraph"/>
              <w:spacing w:before="19"/>
              <w:ind w:left="64" w:right="705"/>
              <w:rPr>
                <w:sz w:val="24"/>
              </w:rPr>
            </w:pPr>
            <w:r>
              <w:rPr>
                <w:sz w:val="24"/>
              </w:rPr>
              <w:t>Disciplina autor 2</w:t>
            </w:r>
          </w:p>
        </w:tc>
      </w:tr>
      <w:tr>
        <w:trPr>
          <w:trHeight w:val="310" w:hRule="exact"/>
        </w:trPr>
        <w:tc>
          <w:tcPr>
            <w:tcW w:w="1034" w:type="dxa"/>
            <w:vMerge w:val="restart"/>
            <w:textDirection w:val="btLr"/>
          </w:tcPr>
          <w:p>
            <w:pPr>
              <w:pStyle w:val="TableParagraph"/>
              <w:spacing w:before="3"/>
              <w:rPr>
                <w:b/>
                <w:sz w:val="34"/>
              </w:rPr>
            </w:pPr>
          </w:p>
          <w:p>
            <w:pPr>
              <w:pStyle w:val="TableParagraph"/>
              <w:spacing w:line="247" w:lineRule="auto"/>
              <w:ind w:left="468" w:right="451" w:firstLine="211"/>
              <w:rPr>
                <w:b/>
                <w:sz w:val="24"/>
              </w:rPr>
            </w:pPr>
            <w:r>
              <w:rPr>
                <w:b/>
                <w:sz w:val="24"/>
              </w:rPr>
              <w:t>Obj</w:t>
            </w:r>
            <w:r>
              <w:rPr>
                <w:b/>
                <w:w w:val="99"/>
                <w:sz w:val="24"/>
              </w:rPr>
              <w:t>e</w:t>
            </w:r>
            <w:r>
              <w:rPr>
                <w:b/>
                <w:w w:val="99"/>
                <w:sz w:val="24"/>
              </w:rPr>
              <w:t>to</w:t>
            </w:r>
            <w:r>
              <w:rPr>
                <w:b/>
                <w:spacing w:val="-1"/>
                <w:w w:val="99"/>
                <w:sz w:val="24"/>
              </w:rPr>
              <w:t> </w:t>
            </w:r>
            <w:r>
              <w:rPr>
                <w:b/>
                <w:w w:val="99"/>
                <w:sz w:val="24"/>
              </w:rPr>
              <w:t>de in</w:t>
            </w:r>
            <w:r>
              <w:rPr>
                <w:b/>
                <w:spacing w:val="1"/>
                <w:w w:val="99"/>
                <w:sz w:val="24"/>
              </w:rPr>
              <w:t>v</w:t>
            </w:r>
            <w:r>
              <w:rPr>
                <w:b/>
                <w:w w:val="99"/>
                <w:sz w:val="24"/>
              </w:rPr>
              <w:t>es</w:t>
            </w:r>
            <w:r>
              <w:rPr>
                <w:b/>
                <w:w w:val="99"/>
                <w:sz w:val="24"/>
              </w:rPr>
              <w:t>tig</w:t>
            </w:r>
            <w:r>
              <w:rPr>
                <w:b/>
                <w:spacing w:val="-2"/>
                <w:w w:val="99"/>
                <w:sz w:val="24"/>
              </w:rPr>
              <w:t>a</w:t>
            </w:r>
            <w:r>
              <w:rPr>
                <w:b/>
                <w:w w:val="99"/>
                <w:sz w:val="24"/>
              </w:rPr>
              <w:t>c</w:t>
            </w:r>
            <w:r>
              <w:rPr>
                <w:b/>
                <w:sz w:val="24"/>
              </w:rPr>
              <w:t>ión</w:t>
            </w:r>
          </w:p>
        </w:tc>
        <w:tc>
          <w:tcPr>
            <w:tcW w:w="619" w:type="dxa"/>
          </w:tcPr>
          <w:p>
            <w:pPr>
              <w:pStyle w:val="TableParagraph"/>
              <w:spacing w:before="19"/>
              <w:jc w:val="center"/>
              <w:rPr>
                <w:sz w:val="24"/>
              </w:rPr>
            </w:pPr>
            <w:r>
              <w:rPr>
                <w:w w:val="99"/>
                <w:sz w:val="24"/>
              </w:rPr>
              <w:t>1</w:t>
            </w:r>
          </w:p>
        </w:tc>
        <w:tc>
          <w:tcPr>
            <w:tcW w:w="6789" w:type="dxa"/>
          </w:tcPr>
          <w:p>
            <w:pPr>
              <w:pStyle w:val="TableParagraph"/>
              <w:spacing w:before="19"/>
              <w:ind w:left="64" w:right="705"/>
              <w:rPr>
                <w:sz w:val="24"/>
              </w:rPr>
            </w:pPr>
            <w:r>
              <w:rPr>
                <w:sz w:val="24"/>
              </w:rPr>
              <w:t>Pregunta de investigación</w:t>
            </w:r>
          </w:p>
        </w:tc>
      </w:tr>
      <w:tr>
        <w:trPr>
          <w:trHeight w:val="312" w:hRule="exact"/>
        </w:trPr>
        <w:tc>
          <w:tcPr>
            <w:tcW w:w="1034" w:type="dxa"/>
            <w:vMerge/>
            <w:textDirection w:val="btLr"/>
          </w:tcPr>
          <w:p>
            <w:pPr/>
          </w:p>
        </w:tc>
        <w:tc>
          <w:tcPr>
            <w:tcW w:w="619" w:type="dxa"/>
          </w:tcPr>
          <w:p>
            <w:pPr>
              <w:pStyle w:val="TableParagraph"/>
              <w:spacing w:before="22"/>
              <w:jc w:val="center"/>
              <w:rPr>
                <w:sz w:val="24"/>
              </w:rPr>
            </w:pPr>
            <w:r>
              <w:rPr>
                <w:w w:val="99"/>
                <w:sz w:val="24"/>
              </w:rPr>
              <w:t>2</w:t>
            </w:r>
          </w:p>
        </w:tc>
        <w:tc>
          <w:tcPr>
            <w:tcW w:w="6789" w:type="dxa"/>
          </w:tcPr>
          <w:p>
            <w:pPr>
              <w:pStyle w:val="TableParagraph"/>
              <w:spacing w:before="22"/>
              <w:ind w:left="64" w:right="705"/>
              <w:rPr>
                <w:sz w:val="24"/>
              </w:rPr>
            </w:pPr>
            <w:r>
              <w:rPr>
                <w:sz w:val="24"/>
              </w:rPr>
              <w:t>Hipótesis</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3</w:t>
            </w:r>
          </w:p>
        </w:tc>
        <w:tc>
          <w:tcPr>
            <w:tcW w:w="6789" w:type="dxa"/>
          </w:tcPr>
          <w:p>
            <w:pPr>
              <w:pStyle w:val="TableParagraph"/>
              <w:spacing w:before="19"/>
              <w:ind w:left="64" w:right="705"/>
              <w:rPr>
                <w:sz w:val="24"/>
              </w:rPr>
            </w:pPr>
            <w:r>
              <w:rPr>
                <w:sz w:val="24"/>
              </w:rPr>
              <w:t>Teoría a rechazar</w:t>
            </w:r>
          </w:p>
        </w:tc>
      </w:tr>
      <w:tr>
        <w:trPr>
          <w:trHeight w:val="310" w:hRule="exact"/>
        </w:trPr>
        <w:tc>
          <w:tcPr>
            <w:tcW w:w="1034" w:type="dxa"/>
            <w:vMerge/>
            <w:textDirection w:val="btLr"/>
          </w:tcPr>
          <w:p>
            <w:pPr/>
          </w:p>
        </w:tc>
        <w:tc>
          <w:tcPr>
            <w:tcW w:w="619" w:type="dxa"/>
          </w:tcPr>
          <w:p>
            <w:pPr>
              <w:pStyle w:val="TableParagraph"/>
              <w:spacing w:before="20"/>
              <w:jc w:val="center"/>
              <w:rPr>
                <w:sz w:val="24"/>
              </w:rPr>
            </w:pPr>
            <w:r>
              <w:rPr>
                <w:w w:val="99"/>
                <w:sz w:val="24"/>
              </w:rPr>
              <w:t>4</w:t>
            </w:r>
          </w:p>
        </w:tc>
        <w:tc>
          <w:tcPr>
            <w:tcW w:w="6789" w:type="dxa"/>
          </w:tcPr>
          <w:p>
            <w:pPr>
              <w:pStyle w:val="TableParagraph"/>
              <w:spacing w:before="20"/>
              <w:ind w:left="64" w:right="705"/>
              <w:rPr>
                <w:sz w:val="24"/>
              </w:rPr>
            </w:pPr>
            <w:r>
              <w:rPr>
                <w:sz w:val="24"/>
              </w:rPr>
              <w:t>Teoría de referencia</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5</w:t>
            </w:r>
          </w:p>
        </w:tc>
        <w:tc>
          <w:tcPr>
            <w:tcW w:w="6789" w:type="dxa"/>
          </w:tcPr>
          <w:p>
            <w:pPr>
              <w:pStyle w:val="TableParagraph"/>
              <w:spacing w:before="19"/>
              <w:ind w:left="64" w:right="705"/>
              <w:rPr>
                <w:sz w:val="24"/>
              </w:rPr>
            </w:pPr>
            <w:r>
              <w:rPr>
                <w:sz w:val="24"/>
              </w:rPr>
              <w:t>Disciplina de origen de la teroia usada</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6</w:t>
            </w:r>
          </w:p>
        </w:tc>
        <w:tc>
          <w:tcPr>
            <w:tcW w:w="6789" w:type="dxa"/>
          </w:tcPr>
          <w:p>
            <w:pPr>
              <w:pStyle w:val="TableParagraph"/>
              <w:spacing w:before="19"/>
              <w:ind w:left="64" w:right="705"/>
              <w:rPr>
                <w:sz w:val="24"/>
              </w:rPr>
            </w:pPr>
            <w:r>
              <w:rPr>
                <w:sz w:val="24"/>
              </w:rPr>
              <w:t>Objeto de estudio</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7</w:t>
            </w:r>
          </w:p>
        </w:tc>
        <w:tc>
          <w:tcPr>
            <w:tcW w:w="6789" w:type="dxa"/>
          </w:tcPr>
          <w:p>
            <w:pPr>
              <w:pStyle w:val="TableParagraph"/>
              <w:spacing w:before="19"/>
              <w:ind w:left="64" w:right="705"/>
              <w:rPr>
                <w:sz w:val="24"/>
              </w:rPr>
            </w:pPr>
            <w:r>
              <w:rPr>
                <w:sz w:val="24"/>
              </w:rPr>
              <w:t>Sujetos sociales</w:t>
            </w:r>
          </w:p>
        </w:tc>
      </w:tr>
      <w:tr>
        <w:trPr>
          <w:trHeight w:val="312" w:hRule="exact"/>
        </w:trPr>
        <w:tc>
          <w:tcPr>
            <w:tcW w:w="1034" w:type="dxa"/>
            <w:vMerge/>
            <w:textDirection w:val="btLr"/>
          </w:tcPr>
          <w:p>
            <w:pPr/>
          </w:p>
        </w:tc>
        <w:tc>
          <w:tcPr>
            <w:tcW w:w="619" w:type="dxa"/>
          </w:tcPr>
          <w:p>
            <w:pPr>
              <w:pStyle w:val="TableParagraph"/>
              <w:spacing w:before="22"/>
              <w:jc w:val="center"/>
              <w:rPr>
                <w:sz w:val="24"/>
              </w:rPr>
            </w:pPr>
            <w:r>
              <w:rPr>
                <w:w w:val="99"/>
                <w:sz w:val="24"/>
              </w:rPr>
              <w:t>8</w:t>
            </w:r>
          </w:p>
        </w:tc>
        <w:tc>
          <w:tcPr>
            <w:tcW w:w="6789" w:type="dxa"/>
          </w:tcPr>
          <w:p>
            <w:pPr>
              <w:pStyle w:val="TableParagraph"/>
              <w:spacing w:before="22"/>
              <w:ind w:left="64" w:right="705"/>
              <w:rPr>
                <w:sz w:val="24"/>
              </w:rPr>
            </w:pPr>
            <w:r>
              <w:rPr>
                <w:sz w:val="24"/>
              </w:rPr>
              <w:t>Ámbito geográfico objeto de estudio</w:t>
            </w:r>
          </w:p>
        </w:tc>
      </w:tr>
      <w:tr>
        <w:trPr>
          <w:trHeight w:val="562" w:hRule="exact"/>
        </w:trPr>
        <w:tc>
          <w:tcPr>
            <w:tcW w:w="1034" w:type="dxa"/>
            <w:vMerge w:val="restart"/>
            <w:textDirection w:val="btLr"/>
          </w:tcPr>
          <w:p>
            <w:pPr>
              <w:pStyle w:val="TableParagraph"/>
              <w:rPr>
                <w:b/>
                <w:sz w:val="24"/>
              </w:rPr>
            </w:pPr>
          </w:p>
          <w:p>
            <w:pPr>
              <w:pStyle w:val="TableParagraph"/>
              <w:spacing w:before="10"/>
              <w:rPr>
                <w:b/>
                <w:sz w:val="34"/>
              </w:rPr>
            </w:pPr>
          </w:p>
          <w:p>
            <w:pPr>
              <w:pStyle w:val="TableParagraph"/>
              <w:ind w:left="535"/>
              <w:rPr>
                <w:b/>
                <w:sz w:val="24"/>
              </w:rPr>
            </w:pPr>
            <w:r>
              <w:rPr>
                <w:b/>
                <w:w w:val="99"/>
                <w:sz w:val="24"/>
              </w:rPr>
              <w:t>Teoría</w:t>
            </w:r>
          </w:p>
        </w:tc>
        <w:tc>
          <w:tcPr>
            <w:tcW w:w="619" w:type="dxa"/>
          </w:tcPr>
          <w:p>
            <w:pPr>
              <w:pStyle w:val="TableParagraph"/>
              <w:spacing w:before="7"/>
              <w:rPr>
                <w:b/>
                <w:sz w:val="23"/>
              </w:rPr>
            </w:pPr>
          </w:p>
          <w:p>
            <w:pPr>
              <w:pStyle w:val="TableParagraph"/>
              <w:jc w:val="center"/>
              <w:rPr>
                <w:sz w:val="24"/>
              </w:rPr>
            </w:pPr>
            <w:r>
              <w:rPr>
                <w:w w:val="99"/>
                <w:sz w:val="24"/>
              </w:rPr>
              <w:t>1</w:t>
            </w:r>
          </w:p>
        </w:tc>
        <w:tc>
          <w:tcPr>
            <w:tcW w:w="6789" w:type="dxa"/>
          </w:tcPr>
          <w:p>
            <w:pPr>
              <w:pStyle w:val="TableParagraph"/>
              <w:ind w:left="64" w:right="705"/>
              <w:rPr>
                <w:sz w:val="24"/>
              </w:rPr>
            </w:pPr>
            <w:r>
              <w:rPr>
                <w:sz w:val="24"/>
              </w:rPr>
              <w:t>Tipo de investigación (teórica-conceptual, metodológica, empírica)</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2</w:t>
            </w:r>
          </w:p>
        </w:tc>
        <w:tc>
          <w:tcPr>
            <w:tcW w:w="6789" w:type="dxa"/>
          </w:tcPr>
          <w:p>
            <w:pPr>
              <w:pStyle w:val="TableParagraph"/>
              <w:spacing w:before="19"/>
              <w:ind w:left="64" w:right="705"/>
              <w:rPr>
                <w:sz w:val="24"/>
              </w:rPr>
            </w:pPr>
            <w:r>
              <w:rPr>
                <w:sz w:val="24"/>
              </w:rPr>
              <w:t>Nivel epistemológico (positivista/pospositivista)</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3</w:t>
            </w:r>
          </w:p>
        </w:tc>
        <w:tc>
          <w:tcPr>
            <w:tcW w:w="6789" w:type="dxa"/>
          </w:tcPr>
          <w:p>
            <w:pPr>
              <w:pStyle w:val="TableParagraph"/>
              <w:spacing w:before="19"/>
              <w:ind w:left="64" w:right="705"/>
              <w:rPr>
                <w:sz w:val="24"/>
              </w:rPr>
            </w:pPr>
            <w:r>
              <w:rPr>
                <w:sz w:val="24"/>
              </w:rPr>
              <w:t>Nivel metodológico (nomotético/idiográfico)</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4</w:t>
            </w:r>
          </w:p>
        </w:tc>
        <w:tc>
          <w:tcPr>
            <w:tcW w:w="6789" w:type="dxa"/>
          </w:tcPr>
          <w:p>
            <w:pPr>
              <w:pStyle w:val="TableParagraph"/>
              <w:spacing w:before="19"/>
              <w:ind w:left="64" w:right="705"/>
              <w:rPr>
                <w:sz w:val="24"/>
              </w:rPr>
            </w:pPr>
            <w:r>
              <w:rPr>
                <w:sz w:val="24"/>
              </w:rPr>
              <w:t>Corriente teórica</w:t>
            </w:r>
          </w:p>
        </w:tc>
      </w:tr>
      <w:tr>
        <w:trPr>
          <w:trHeight w:val="310" w:hRule="exact"/>
        </w:trPr>
        <w:tc>
          <w:tcPr>
            <w:tcW w:w="1034" w:type="dxa"/>
            <w:vMerge/>
            <w:textDirection w:val="btLr"/>
          </w:tcPr>
          <w:p>
            <w:pPr/>
          </w:p>
        </w:tc>
        <w:tc>
          <w:tcPr>
            <w:tcW w:w="619" w:type="dxa"/>
          </w:tcPr>
          <w:p>
            <w:pPr>
              <w:pStyle w:val="TableParagraph"/>
              <w:spacing w:before="20"/>
              <w:jc w:val="center"/>
              <w:rPr>
                <w:sz w:val="24"/>
              </w:rPr>
            </w:pPr>
            <w:r>
              <w:rPr>
                <w:w w:val="99"/>
                <w:sz w:val="24"/>
              </w:rPr>
              <w:t>5</w:t>
            </w:r>
          </w:p>
        </w:tc>
        <w:tc>
          <w:tcPr>
            <w:tcW w:w="6789" w:type="dxa"/>
          </w:tcPr>
          <w:p>
            <w:pPr>
              <w:pStyle w:val="TableParagraph"/>
              <w:spacing w:before="20"/>
              <w:ind w:left="64" w:right="705"/>
              <w:rPr>
                <w:sz w:val="24"/>
              </w:rPr>
            </w:pPr>
            <w:r>
              <w:rPr>
                <w:sz w:val="24"/>
              </w:rPr>
              <w:t>Ámbito disciplinar de teoría</w:t>
            </w:r>
          </w:p>
        </w:tc>
      </w:tr>
      <w:tr>
        <w:trPr>
          <w:trHeight w:val="312" w:hRule="exact"/>
        </w:trPr>
        <w:tc>
          <w:tcPr>
            <w:tcW w:w="1034" w:type="dxa"/>
            <w:vMerge w:val="restart"/>
          </w:tcPr>
          <w:p>
            <w:pPr>
              <w:pStyle w:val="TableParagraph"/>
              <w:spacing w:before="9"/>
              <w:rPr>
                <w:b/>
                <w:sz w:val="28"/>
              </w:rPr>
            </w:pPr>
          </w:p>
          <w:p>
            <w:pPr>
              <w:pStyle w:val="TableParagraph"/>
              <w:ind w:left="64"/>
              <w:rPr>
                <w:b/>
                <w:sz w:val="24"/>
              </w:rPr>
            </w:pPr>
            <w:r>
              <w:rPr>
                <w:b/>
                <w:sz w:val="24"/>
              </w:rPr>
              <w:t>Técnica</w:t>
            </w:r>
          </w:p>
        </w:tc>
        <w:tc>
          <w:tcPr>
            <w:tcW w:w="619" w:type="dxa"/>
          </w:tcPr>
          <w:p>
            <w:pPr>
              <w:pStyle w:val="TableParagraph"/>
              <w:spacing w:before="22"/>
              <w:jc w:val="center"/>
              <w:rPr>
                <w:sz w:val="24"/>
              </w:rPr>
            </w:pPr>
            <w:r>
              <w:rPr>
                <w:w w:val="99"/>
                <w:sz w:val="24"/>
              </w:rPr>
              <w:t>1</w:t>
            </w:r>
          </w:p>
        </w:tc>
        <w:tc>
          <w:tcPr>
            <w:tcW w:w="6789" w:type="dxa"/>
          </w:tcPr>
          <w:p>
            <w:pPr>
              <w:pStyle w:val="TableParagraph"/>
              <w:spacing w:before="22"/>
              <w:ind w:left="64" w:right="705"/>
              <w:rPr>
                <w:sz w:val="24"/>
              </w:rPr>
            </w:pPr>
            <w:r>
              <w:rPr>
                <w:sz w:val="24"/>
              </w:rPr>
              <w:t>Técnica de investigación</w:t>
            </w:r>
          </w:p>
        </w:tc>
      </w:tr>
      <w:tr>
        <w:trPr>
          <w:trHeight w:val="310" w:hRule="exact"/>
        </w:trPr>
        <w:tc>
          <w:tcPr>
            <w:tcW w:w="1034" w:type="dxa"/>
            <w:vMerge/>
          </w:tcPr>
          <w:p>
            <w:pPr/>
          </w:p>
        </w:tc>
        <w:tc>
          <w:tcPr>
            <w:tcW w:w="619" w:type="dxa"/>
          </w:tcPr>
          <w:p>
            <w:pPr>
              <w:pStyle w:val="TableParagraph"/>
              <w:spacing w:before="19"/>
              <w:jc w:val="center"/>
              <w:rPr>
                <w:sz w:val="24"/>
              </w:rPr>
            </w:pPr>
            <w:r>
              <w:rPr>
                <w:w w:val="99"/>
                <w:sz w:val="24"/>
              </w:rPr>
              <w:t>2</w:t>
            </w:r>
          </w:p>
        </w:tc>
        <w:tc>
          <w:tcPr>
            <w:tcW w:w="6789" w:type="dxa"/>
          </w:tcPr>
          <w:p>
            <w:pPr>
              <w:pStyle w:val="TableParagraph"/>
              <w:spacing w:before="19"/>
              <w:ind w:left="64" w:right="705"/>
              <w:rPr>
                <w:sz w:val="24"/>
              </w:rPr>
            </w:pPr>
            <w:r>
              <w:rPr>
                <w:sz w:val="24"/>
              </w:rPr>
              <w:t>Fuente de datos</w:t>
            </w:r>
          </w:p>
        </w:tc>
      </w:tr>
      <w:tr>
        <w:trPr>
          <w:trHeight w:val="310" w:hRule="exact"/>
        </w:trPr>
        <w:tc>
          <w:tcPr>
            <w:tcW w:w="1034" w:type="dxa"/>
            <w:vMerge w:val="restart"/>
            <w:textDirection w:val="btLr"/>
          </w:tcPr>
          <w:p>
            <w:pPr>
              <w:pStyle w:val="TableParagraph"/>
              <w:rPr>
                <w:b/>
                <w:sz w:val="24"/>
              </w:rPr>
            </w:pPr>
          </w:p>
          <w:p>
            <w:pPr>
              <w:pStyle w:val="TableParagraph"/>
              <w:spacing w:before="10"/>
              <w:rPr>
                <w:b/>
                <w:sz w:val="34"/>
              </w:rPr>
            </w:pPr>
          </w:p>
          <w:p>
            <w:pPr>
              <w:pStyle w:val="TableParagraph"/>
              <w:ind w:left="88"/>
              <w:rPr>
                <w:b/>
                <w:sz w:val="24"/>
              </w:rPr>
            </w:pPr>
            <w:r>
              <w:rPr>
                <w:b/>
                <w:w w:val="99"/>
                <w:sz w:val="24"/>
              </w:rPr>
              <w:t>Refe</w:t>
            </w:r>
            <w:r>
              <w:rPr>
                <w:b/>
                <w:w w:val="99"/>
                <w:sz w:val="24"/>
              </w:rPr>
              <w:t>re</w:t>
            </w:r>
            <w:r>
              <w:rPr>
                <w:b/>
                <w:w w:val="99"/>
                <w:sz w:val="24"/>
              </w:rPr>
              <w:t>nc</w:t>
            </w:r>
            <w:r>
              <w:rPr>
                <w:b/>
                <w:spacing w:val="-2"/>
                <w:w w:val="99"/>
                <w:sz w:val="24"/>
              </w:rPr>
              <w:t>i</w:t>
            </w:r>
            <w:r>
              <w:rPr>
                <w:b/>
                <w:w w:val="99"/>
                <w:sz w:val="24"/>
              </w:rPr>
              <w:t>as</w:t>
            </w:r>
          </w:p>
        </w:tc>
        <w:tc>
          <w:tcPr>
            <w:tcW w:w="619" w:type="dxa"/>
          </w:tcPr>
          <w:p>
            <w:pPr>
              <w:pStyle w:val="TableParagraph"/>
              <w:spacing w:before="19"/>
              <w:jc w:val="center"/>
              <w:rPr>
                <w:sz w:val="24"/>
              </w:rPr>
            </w:pPr>
            <w:r>
              <w:rPr>
                <w:w w:val="99"/>
                <w:sz w:val="24"/>
              </w:rPr>
              <w:t>1</w:t>
            </w:r>
          </w:p>
        </w:tc>
        <w:tc>
          <w:tcPr>
            <w:tcW w:w="6789" w:type="dxa"/>
          </w:tcPr>
          <w:p>
            <w:pPr>
              <w:pStyle w:val="TableParagraph"/>
              <w:spacing w:before="19"/>
              <w:ind w:left="64" w:right="705"/>
              <w:rPr>
                <w:sz w:val="24"/>
              </w:rPr>
            </w:pPr>
            <w:r>
              <w:rPr>
                <w:sz w:val="24"/>
              </w:rPr>
              <w:t>Nombre de adscripción si es proyecto de investigación</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2</w:t>
            </w:r>
          </w:p>
        </w:tc>
        <w:tc>
          <w:tcPr>
            <w:tcW w:w="6789" w:type="dxa"/>
          </w:tcPr>
          <w:p>
            <w:pPr>
              <w:pStyle w:val="TableParagraph"/>
              <w:spacing w:before="19"/>
              <w:ind w:left="64" w:right="705"/>
              <w:rPr>
                <w:sz w:val="24"/>
              </w:rPr>
            </w:pPr>
            <w:r>
              <w:rPr>
                <w:sz w:val="24"/>
              </w:rPr>
              <w:t>Número de textos citados en referencias</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3</w:t>
            </w:r>
          </w:p>
        </w:tc>
        <w:tc>
          <w:tcPr>
            <w:tcW w:w="6789" w:type="dxa"/>
          </w:tcPr>
          <w:p>
            <w:pPr>
              <w:pStyle w:val="TableParagraph"/>
              <w:spacing w:before="19"/>
              <w:ind w:left="64" w:right="705"/>
              <w:rPr>
                <w:sz w:val="24"/>
              </w:rPr>
            </w:pPr>
            <w:r>
              <w:rPr>
                <w:sz w:val="24"/>
              </w:rPr>
              <w:t>Número de textos en inglés</w:t>
            </w:r>
          </w:p>
        </w:tc>
      </w:tr>
      <w:tr>
        <w:trPr>
          <w:trHeight w:val="310" w:hRule="exact"/>
        </w:trPr>
        <w:tc>
          <w:tcPr>
            <w:tcW w:w="1034" w:type="dxa"/>
            <w:vMerge/>
            <w:textDirection w:val="btLr"/>
          </w:tcPr>
          <w:p>
            <w:pPr/>
          </w:p>
        </w:tc>
        <w:tc>
          <w:tcPr>
            <w:tcW w:w="619" w:type="dxa"/>
          </w:tcPr>
          <w:p>
            <w:pPr>
              <w:pStyle w:val="TableParagraph"/>
              <w:spacing w:before="19"/>
              <w:jc w:val="center"/>
              <w:rPr>
                <w:sz w:val="24"/>
              </w:rPr>
            </w:pPr>
            <w:r>
              <w:rPr>
                <w:w w:val="99"/>
                <w:sz w:val="24"/>
              </w:rPr>
              <w:t>4</w:t>
            </w:r>
          </w:p>
        </w:tc>
        <w:tc>
          <w:tcPr>
            <w:tcW w:w="6789" w:type="dxa"/>
          </w:tcPr>
          <w:p>
            <w:pPr>
              <w:pStyle w:val="TableParagraph"/>
              <w:spacing w:before="19"/>
              <w:ind w:left="64" w:right="705"/>
              <w:rPr>
                <w:sz w:val="24"/>
              </w:rPr>
            </w:pPr>
            <w:r>
              <w:rPr>
                <w:sz w:val="24"/>
              </w:rPr>
              <w:t>Número de textos en portugués</w:t>
            </w:r>
          </w:p>
        </w:tc>
      </w:tr>
      <w:tr>
        <w:trPr>
          <w:trHeight w:val="312" w:hRule="exact"/>
        </w:trPr>
        <w:tc>
          <w:tcPr>
            <w:tcW w:w="1034" w:type="dxa"/>
            <w:vMerge/>
            <w:textDirection w:val="btLr"/>
          </w:tcPr>
          <w:p>
            <w:pPr/>
          </w:p>
        </w:tc>
        <w:tc>
          <w:tcPr>
            <w:tcW w:w="619" w:type="dxa"/>
          </w:tcPr>
          <w:p>
            <w:pPr>
              <w:pStyle w:val="TableParagraph"/>
              <w:spacing w:before="22"/>
              <w:jc w:val="center"/>
              <w:rPr>
                <w:sz w:val="24"/>
              </w:rPr>
            </w:pPr>
            <w:r>
              <w:rPr>
                <w:w w:val="99"/>
                <w:sz w:val="24"/>
              </w:rPr>
              <w:t>5</w:t>
            </w:r>
          </w:p>
        </w:tc>
        <w:tc>
          <w:tcPr>
            <w:tcW w:w="6789" w:type="dxa"/>
          </w:tcPr>
          <w:p>
            <w:pPr>
              <w:pStyle w:val="TableParagraph"/>
              <w:spacing w:before="22"/>
              <w:ind w:left="64" w:right="705"/>
              <w:rPr>
                <w:sz w:val="24"/>
              </w:rPr>
            </w:pPr>
            <w:r>
              <w:rPr>
                <w:sz w:val="24"/>
              </w:rPr>
              <w:t>Número de textos español</w:t>
            </w:r>
          </w:p>
        </w:tc>
      </w:tr>
    </w:tbl>
    <w:p>
      <w:pPr>
        <w:spacing w:after="0"/>
        <w:rPr>
          <w:sz w:val="24"/>
        </w:rPr>
        <w:sectPr>
          <w:pgSz w:w="12240" w:h="15840"/>
          <w:pgMar w:header="0" w:footer="689" w:top="1360" w:bottom="880" w:left="1720" w:right="1580"/>
        </w:sectPr>
      </w:pPr>
    </w:p>
    <w:p>
      <w:pPr>
        <w:spacing w:before="54"/>
        <w:ind w:left="102" w:right="0" w:firstLine="7397"/>
        <w:jc w:val="left"/>
        <w:rPr>
          <w:b/>
          <w:sz w:val="24"/>
        </w:rPr>
      </w:pPr>
      <w:r>
        <w:rPr>
          <w:b/>
          <w:sz w:val="24"/>
        </w:rPr>
        <w:t>Codificación</w:t>
      </w:r>
    </w:p>
    <w:p>
      <w:pPr>
        <w:pStyle w:val="BodyText"/>
        <w:rPr>
          <w:b/>
        </w:rPr>
      </w:pPr>
    </w:p>
    <w:p>
      <w:pPr>
        <w:pStyle w:val="BodyText"/>
        <w:spacing w:before="9"/>
        <w:rPr>
          <w:b/>
          <w:sz w:val="23"/>
        </w:rPr>
      </w:pPr>
    </w:p>
    <w:p>
      <w:pPr>
        <w:pStyle w:val="BodyText"/>
        <w:spacing w:line="360" w:lineRule="auto"/>
        <w:ind w:left="102" w:right="117"/>
        <w:jc w:val="both"/>
      </w:pPr>
      <w:r>
        <w:rPr/>
        <w:t>Para obtener las citas de los artículos de Eure se ingresó al </w:t>
      </w:r>
      <w:r>
        <w:rPr>
          <w:i/>
        </w:rPr>
        <w:t>Journal of Citation </w:t>
      </w:r>
      <w:r>
        <w:rPr>
          <w:i/>
        </w:rPr>
        <w:t>Reports </w:t>
      </w:r>
      <w:r>
        <w:rPr/>
        <w:t>(</w:t>
      </w:r>
      <w:r>
        <w:rPr>
          <w:i/>
        </w:rPr>
        <w:t>JCR</w:t>
      </w:r>
      <w:r>
        <w:rPr/>
        <w:t>) del WOS, por cuestiones metodológicas únicamente tomamos las citas de los artículos científicos y no se consideraron reseñas de libros, editoriales, reseñas de artículos en proceso.</w:t>
      </w:r>
    </w:p>
    <w:p>
      <w:pPr>
        <w:pStyle w:val="BodyText"/>
      </w:pPr>
    </w:p>
    <w:p>
      <w:pPr>
        <w:pStyle w:val="BodyText"/>
        <w:spacing w:line="360" w:lineRule="auto" w:before="142"/>
        <w:ind w:left="102" w:right="116"/>
        <w:jc w:val="both"/>
      </w:pPr>
      <w:r>
        <w:rPr/>
        <w:t>Se obtienen los artículos más citados, aproximadamente el 20% de artículos con citas concentra entre el 80% y 85%.</w:t>
      </w:r>
    </w:p>
    <w:p>
      <w:pPr>
        <w:pStyle w:val="BodyText"/>
      </w:pPr>
    </w:p>
    <w:p>
      <w:pPr>
        <w:pStyle w:val="BodyText"/>
        <w:spacing w:line="360" w:lineRule="auto" w:before="142"/>
        <w:ind w:left="102" w:right="119"/>
        <w:jc w:val="both"/>
      </w:pPr>
      <w:r>
        <w:rPr/>
        <w:t>A partir de estos datos se hizo un análisis respecto a la participación de países, instituciones y autores y, se identifican a los autores con mayor productividad dentro de la revista.</w:t>
      </w:r>
    </w:p>
    <w:p>
      <w:pPr>
        <w:pStyle w:val="BodyText"/>
      </w:pPr>
    </w:p>
    <w:p>
      <w:pPr>
        <w:pStyle w:val="BodyText"/>
        <w:spacing w:line="360" w:lineRule="auto" w:before="142"/>
        <w:ind w:left="102" w:right="118"/>
        <w:jc w:val="both"/>
      </w:pPr>
      <w:r>
        <w:rPr/>
        <w:t>En el análisis cualitativo, se utilizó el formato de Garcés (2007) mencionado en la metodología para codifica la información de los artículos con lo que se generó una base de datos.</w:t>
      </w:r>
    </w:p>
    <w:p>
      <w:pPr>
        <w:pStyle w:val="BodyText"/>
      </w:pPr>
    </w:p>
    <w:p>
      <w:pPr>
        <w:pStyle w:val="BodyText"/>
        <w:spacing w:line="360" w:lineRule="auto" w:before="142"/>
        <w:ind w:left="102" w:right="116"/>
        <w:jc w:val="both"/>
      </w:pPr>
      <w:r>
        <w:rPr/>
        <w:t>Además de identificar los tres niveles anteriormente referidos se hizo un análisis  de los marcos de referencia, teorías, prácticas de citación y relación entre las bibliografías</w:t>
      </w:r>
      <w:r>
        <w:rPr>
          <w:spacing w:val="-3"/>
        </w:rPr>
        <w:t> </w:t>
      </w:r>
      <w:r>
        <w:rPr/>
        <w:t>citadas.</w:t>
      </w:r>
    </w:p>
    <w:p>
      <w:pPr>
        <w:pStyle w:val="BodyText"/>
      </w:pPr>
    </w:p>
    <w:p>
      <w:pPr>
        <w:pStyle w:val="Heading1"/>
        <w:spacing w:before="142"/>
        <w:ind w:firstLine="7544"/>
        <w:jc w:val="left"/>
      </w:pPr>
      <w:r>
        <w:rPr/>
        <w:t>Resultados</w:t>
      </w:r>
    </w:p>
    <w:p>
      <w:pPr>
        <w:pStyle w:val="BodyText"/>
        <w:rPr>
          <w:b/>
        </w:rPr>
      </w:pPr>
    </w:p>
    <w:p>
      <w:pPr>
        <w:pStyle w:val="BodyText"/>
        <w:spacing w:before="9"/>
        <w:rPr>
          <w:b/>
          <w:sz w:val="23"/>
        </w:rPr>
      </w:pPr>
    </w:p>
    <w:p>
      <w:pPr>
        <w:pStyle w:val="BodyText"/>
        <w:spacing w:line="360" w:lineRule="auto"/>
        <w:ind w:left="102" w:right="116"/>
        <w:jc w:val="both"/>
      </w:pPr>
      <w:r>
        <w:rPr/>
        <w:t>Eure está en la categoría </w:t>
      </w:r>
      <w:r>
        <w:rPr>
          <w:i/>
        </w:rPr>
        <w:t>urban studies </w:t>
      </w:r>
      <w:r>
        <w:rPr/>
        <w:t>dentro de </w:t>
      </w:r>
      <w:r>
        <w:rPr>
          <w:i/>
        </w:rPr>
        <w:t>ISI </w:t>
      </w:r>
      <w:r>
        <w:rPr/>
        <w:t>y tiene sus números desde 2001. En 2015 el área de </w:t>
      </w:r>
      <w:r>
        <w:rPr>
          <w:i/>
        </w:rPr>
        <w:t>urban estudies </w:t>
      </w:r>
      <w:r>
        <w:rPr/>
        <w:t>tenía 38 revistas, sobre el Factor de Impacto (FI) Eure está en el lugar 37 con un FI de .268, el mayor FI lo tiene </w:t>
      </w:r>
      <w:r>
        <w:rPr>
          <w:i/>
        </w:rPr>
        <w:t>Landscape and urban Plannig </w:t>
      </w:r>
      <w:r>
        <w:rPr/>
        <w:t>con un valor de 3.037. Cabe destacar que Eure es la única revista latinoamericana en esta</w:t>
      </w:r>
      <w:r>
        <w:rPr>
          <w:spacing w:val="-14"/>
        </w:rPr>
        <w:t> </w:t>
      </w:r>
      <w:r>
        <w:rPr/>
        <w:t>área.</w:t>
      </w:r>
    </w:p>
    <w:p>
      <w:pPr>
        <w:spacing w:after="0" w:line="360" w:lineRule="auto"/>
        <w:jc w:val="both"/>
        <w:sectPr>
          <w:pgSz w:w="12240" w:h="15840"/>
          <w:pgMar w:header="0" w:footer="689" w:top="1360" w:bottom="880" w:left="1600" w:right="1580"/>
        </w:sectPr>
      </w:pPr>
    </w:p>
    <w:p>
      <w:pPr>
        <w:pStyle w:val="BodyText"/>
        <w:spacing w:line="360" w:lineRule="auto" w:before="54"/>
        <w:ind w:left="102" w:right="118"/>
        <w:jc w:val="both"/>
      </w:pPr>
      <w:r>
        <w:rPr/>
        <w:t>De los 474 artículos de Eure resaltamos que en 2015 el 55% del total no tiene ninguna cita, lo que equivale al, esta característica nos permite inferir que para  que un artículo sea citable no es condición suficiente el que se encuentre en una revista de prestigio, sino además de que el tema tratado esté en la agenda de investigación vigente y que sea de interés para la comunidad científica acorde a los temas y formas en que es abordado por ella. Esta conjetura se refuerza al advertir que de los 212 artículos que son citados el 30% sólo tiene una cita y el 18% tiene 2 citas, mientras que el 26% tiene más de 7</w:t>
      </w:r>
      <w:r>
        <w:rPr>
          <w:spacing w:val="-19"/>
        </w:rPr>
        <w:t> </w:t>
      </w:r>
      <w:r>
        <w:rPr/>
        <w:t>citas.</w:t>
      </w:r>
    </w:p>
    <w:p>
      <w:pPr>
        <w:pStyle w:val="BodyText"/>
      </w:pPr>
    </w:p>
    <w:p>
      <w:pPr>
        <w:pStyle w:val="BodyText"/>
        <w:spacing w:line="360" w:lineRule="auto" w:before="142"/>
        <w:ind w:left="102" w:right="122"/>
        <w:jc w:val="both"/>
      </w:pPr>
      <w:r>
        <w:rPr/>
        <w:t>De los 212 artículos citados identificamos que 30 artículos concentran 603 citas,  es decir que el 14% de los artículos agrupa el 50% del total de citas, del lado opuesto, el 45% de artículos apenas concentra el 10% de las</w:t>
      </w:r>
      <w:r>
        <w:rPr>
          <w:spacing w:val="-18"/>
        </w:rPr>
        <w:t> </w:t>
      </w:r>
      <w:r>
        <w:rPr/>
        <w:t>citas.</w:t>
      </w:r>
    </w:p>
    <w:p>
      <w:pPr>
        <w:pStyle w:val="BodyText"/>
      </w:pPr>
    </w:p>
    <w:p>
      <w:pPr>
        <w:pStyle w:val="BodyText"/>
        <w:spacing w:line="360" w:lineRule="auto" w:before="142"/>
        <w:ind w:left="102" w:right="119"/>
        <w:jc w:val="both"/>
      </w:pPr>
      <w:r>
        <w:rPr/>
        <w:t>La concentración de citas en determinados artículos nos lleva a preguntarnos qué tan innovadora es la disciplina en cuanto a temas cuando los investigadores que otorgan las citas continúan prefiriendo esos temas; lo cual nos lleva a pensar que tal parece que la innovación de temas no dependerá de la propuesta de estudio sino de quien lo impulse. Si la comunidad tuviera un mayor grado de apertura entonces debería haber una mayor distribución en las citas que nos llevaría a nuevas propuestas o autores.</w:t>
      </w:r>
    </w:p>
    <w:p>
      <w:pPr>
        <w:pStyle w:val="BodyText"/>
        <w:spacing w:line="360" w:lineRule="auto" w:before="2"/>
        <w:ind w:left="102" w:right="116"/>
        <w:jc w:val="both"/>
      </w:pPr>
      <w:r>
        <w:rPr/>
        <w:t>Hay una consolidación como los principales temas dentro de la investigación urbana que se presenta en la revista Eure, esto a partir del incremento de citas y permanencia en los primeros lugares de la clasificación que obtuvieron de 2013 a 2015. Los temas fueron clasificados de la siguiente forma:</w:t>
      </w:r>
    </w:p>
    <w:p>
      <w:pPr>
        <w:pStyle w:val="BodyText"/>
      </w:pPr>
    </w:p>
    <w:p>
      <w:pPr>
        <w:pStyle w:val="ListParagraph"/>
        <w:numPr>
          <w:ilvl w:val="1"/>
          <w:numId w:val="3"/>
        </w:numPr>
        <w:tabs>
          <w:tab w:pos="821" w:val="left" w:leader="none"/>
          <w:tab w:pos="822" w:val="left" w:leader="none"/>
        </w:tabs>
        <w:spacing w:line="240" w:lineRule="auto" w:before="142" w:after="0"/>
        <w:ind w:left="822" w:right="0" w:hanging="360"/>
        <w:jc w:val="left"/>
        <w:rPr>
          <w:sz w:val="24"/>
        </w:rPr>
      </w:pPr>
      <w:r>
        <w:rPr>
          <w:sz w:val="24"/>
        </w:rPr>
        <w:t>Primera categoría: Segregación</w:t>
      </w:r>
      <w:r>
        <w:rPr>
          <w:spacing w:val="-10"/>
          <w:sz w:val="24"/>
        </w:rPr>
        <w:t> </w:t>
      </w:r>
      <w:r>
        <w:rPr>
          <w:sz w:val="24"/>
        </w:rPr>
        <w:t>urbana.</w:t>
      </w:r>
    </w:p>
    <w:p>
      <w:pPr>
        <w:pStyle w:val="ListParagraph"/>
        <w:numPr>
          <w:ilvl w:val="1"/>
          <w:numId w:val="3"/>
        </w:numPr>
        <w:tabs>
          <w:tab w:pos="821" w:val="left" w:leader="none"/>
          <w:tab w:pos="822" w:val="left" w:leader="none"/>
        </w:tabs>
        <w:spacing w:line="240" w:lineRule="auto" w:before="135" w:after="0"/>
        <w:ind w:left="822" w:right="0" w:hanging="360"/>
        <w:jc w:val="left"/>
        <w:rPr>
          <w:sz w:val="24"/>
        </w:rPr>
      </w:pPr>
      <w:r>
        <w:rPr>
          <w:sz w:val="24"/>
        </w:rPr>
        <w:t>Segunda categoría: Globalización y cambios</w:t>
      </w:r>
      <w:r>
        <w:rPr>
          <w:spacing w:val="-17"/>
          <w:sz w:val="24"/>
        </w:rPr>
        <w:t> </w:t>
      </w:r>
      <w:r>
        <w:rPr>
          <w:sz w:val="24"/>
        </w:rPr>
        <w:t>territoriales.</w:t>
      </w:r>
    </w:p>
    <w:p>
      <w:pPr>
        <w:pStyle w:val="ListParagraph"/>
        <w:numPr>
          <w:ilvl w:val="1"/>
          <w:numId w:val="3"/>
        </w:numPr>
        <w:tabs>
          <w:tab w:pos="821" w:val="left" w:leader="none"/>
          <w:tab w:pos="822" w:val="left" w:leader="none"/>
        </w:tabs>
        <w:spacing w:line="240" w:lineRule="auto" w:before="135" w:after="0"/>
        <w:ind w:left="822" w:right="0" w:hanging="360"/>
        <w:jc w:val="left"/>
        <w:rPr>
          <w:sz w:val="24"/>
        </w:rPr>
      </w:pPr>
      <w:r>
        <w:rPr>
          <w:sz w:val="24"/>
        </w:rPr>
        <w:t>Tercera categoría:</w:t>
      </w:r>
      <w:r>
        <w:rPr>
          <w:spacing w:val="-11"/>
          <w:sz w:val="24"/>
        </w:rPr>
        <w:t> </w:t>
      </w:r>
      <w:r>
        <w:rPr>
          <w:sz w:val="24"/>
        </w:rPr>
        <w:t>Metropolización.</w:t>
      </w:r>
    </w:p>
    <w:p>
      <w:pPr>
        <w:pStyle w:val="ListParagraph"/>
        <w:numPr>
          <w:ilvl w:val="1"/>
          <w:numId w:val="3"/>
        </w:numPr>
        <w:tabs>
          <w:tab w:pos="821" w:val="left" w:leader="none"/>
          <w:tab w:pos="822" w:val="left" w:leader="none"/>
        </w:tabs>
        <w:spacing w:line="240" w:lineRule="auto" w:before="135" w:after="0"/>
        <w:ind w:left="822" w:right="0" w:hanging="360"/>
        <w:jc w:val="left"/>
        <w:rPr>
          <w:sz w:val="24"/>
        </w:rPr>
      </w:pPr>
      <w:r>
        <w:rPr>
          <w:sz w:val="24"/>
        </w:rPr>
        <w:t>Cuarta categoría: Temas</w:t>
      </w:r>
      <w:r>
        <w:rPr>
          <w:spacing w:val="-8"/>
          <w:sz w:val="24"/>
        </w:rPr>
        <w:t> </w:t>
      </w:r>
      <w:r>
        <w:rPr>
          <w:sz w:val="24"/>
        </w:rPr>
        <w:t>ambientales.</w:t>
      </w:r>
    </w:p>
    <w:p>
      <w:pPr>
        <w:pStyle w:val="ListParagraph"/>
        <w:numPr>
          <w:ilvl w:val="1"/>
          <w:numId w:val="3"/>
        </w:numPr>
        <w:tabs>
          <w:tab w:pos="821" w:val="left" w:leader="none"/>
          <w:tab w:pos="822" w:val="left" w:leader="none"/>
        </w:tabs>
        <w:spacing w:line="240" w:lineRule="auto" w:before="135" w:after="0"/>
        <w:ind w:left="822" w:right="0" w:hanging="360"/>
        <w:jc w:val="left"/>
        <w:rPr>
          <w:sz w:val="24"/>
        </w:rPr>
      </w:pPr>
      <w:r>
        <w:rPr>
          <w:sz w:val="24"/>
        </w:rPr>
        <w:t>Quinta categoría: Temas</w:t>
      </w:r>
      <w:r>
        <w:rPr>
          <w:spacing w:val="-6"/>
          <w:sz w:val="24"/>
        </w:rPr>
        <w:t> </w:t>
      </w:r>
      <w:r>
        <w:rPr>
          <w:sz w:val="24"/>
        </w:rPr>
        <w:t>regionales.</w:t>
      </w:r>
    </w:p>
    <w:p>
      <w:pPr>
        <w:pStyle w:val="ListParagraph"/>
        <w:numPr>
          <w:ilvl w:val="1"/>
          <w:numId w:val="3"/>
        </w:numPr>
        <w:tabs>
          <w:tab w:pos="821" w:val="left" w:leader="none"/>
          <w:tab w:pos="822" w:val="left" w:leader="none"/>
        </w:tabs>
        <w:spacing w:line="240" w:lineRule="auto" w:before="138" w:after="0"/>
        <w:ind w:left="822" w:right="0" w:hanging="360"/>
        <w:jc w:val="left"/>
        <w:rPr>
          <w:sz w:val="24"/>
        </w:rPr>
      </w:pPr>
      <w:r>
        <w:rPr>
          <w:sz w:val="24"/>
        </w:rPr>
        <w:t>Sexta categoría: Economía</w:t>
      </w:r>
      <w:r>
        <w:rPr>
          <w:spacing w:val="-11"/>
          <w:sz w:val="24"/>
        </w:rPr>
        <w:t> </w:t>
      </w:r>
      <w:r>
        <w:rPr>
          <w:sz w:val="24"/>
        </w:rPr>
        <w:t>urbana.</w:t>
      </w:r>
    </w:p>
    <w:p>
      <w:pPr>
        <w:spacing w:after="0" w:line="240" w:lineRule="auto"/>
        <w:jc w:val="left"/>
        <w:rPr>
          <w:sz w:val="24"/>
        </w:rPr>
        <w:sectPr>
          <w:pgSz w:w="12240" w:h="15840"/>
          <w:pgMar w:header="0" w:footer="689" w:top="1360" w:bottom="880" w:left="1600" w:right="1580"/>
        </w:sectPr>
      </w:pPr>
    </w:p>
    <w:p>
      <w:pPr>
        <w:pStyle w:val="BodyText"/>
        <w:spacing w:before="7"/>
        <w:rPr>
          <w:sz w:val="22"/>
        </w:rPr>
      </w:pPr>
    </w:p>
    <w:p>
      <w:pPr>
        <w:pStyle w:val="BodyText"/>
        <w:spacing w:line="360" w:lineRule="auto" w:before="69"/>
        <w:ind w:left="102" w:right="121"/>
        <w:jc w:val="both"/>
      </w:pPr>
      <w:r>
        <w:rPr/>
        <w:t>Para el análisis de la estructura metodológica, se seleccionaron los 33 artículos más citados. Las disciplinas que mayor aportan a la investigación urbana son economía con 40% de los artículos y sociología con el 30%, mientras que planeación aporta el 15%. De esta forma podemos inferir que la influencia de la sociología aún es notoria, lo cual podría generar una dependencia de la investigación urbana respecto a los marcos teóricos provenientes de la sociología y economía, pero además de eso determina un tipo específico de</w:t>
      </w:r>
      <w:r>
        <w:rPr>
          <w:spacing w:val="-39"/>
        </w:rPr>
        <w:t> </w:t>
      </w:r>
      <w:r>
        <w:rPr/>
        <w:t>investigación.</w:t>
      </w:r>
    </w:p>
    <w:p>
      <w:pPr>
        <w:pStyle w:val="BodyText"/>
      </w:pPr>
    </w:p>
    <w:p>
      <w:pPr>
        <w:pStyle w:val="BodyText"/>
        <w:spacing w:line="360" w:lineRule="auto" w:before="142"/>
        <w:ind w:left="102" w:right="115"/>
        <w:jc w:val="both"/>
      </w:pPr>
      <w:r>
        <w:rPr/>
        <w:t>Una característica importante en la investigación urbana es la aquella que tiene referentes físicos y con rasgos de la investigación nomotética, a la que hacemos referencia en el segundo capítulo, ya que aún se siguen utilizando datos cuantitativos sin ninguna referencia a los datos cualitativos, y se continúa  utilizando correlaciones y modelos matemáticos para el estudio de los fenómenos sociales a los que hacen</w:t>
      </w:r>
      <w:r>
        <w:rPr>
          <w:spacing w:val="-11"/>
        </w:rPr>
        <w:t> </w:t>
      </w:r>
      <w:r>
        <w:rPr/>
        <w:t>referencia.</w:t>
      </w:r>
    </w:p>
    <w:p>
      <w:pPr>
        <w:pStyle w:val="BodyText"/>
      </w:pPr>
    </w:p>
    <w:p>
      <w:pPr>
        <w:pStyle w:val="BodyText"/>
        <w:spacing w:line="360" w:lineRule="auto" w:before="142"/>
        <w:ind w:left="102" w:right="114"/>
        <w:jc w:val="both"/>
      </w:pPr>
      <w:r>
        <w:rPr/>
        <w:t>Esto no significa que la investigación cuantitativa sea deficiente sino que es necesario considerar el impulso de la investigación cualitativa, principalmente cuando la sociología es una de las principales disciplinas que proveen métodos y formas de análisis dentro de la investigación urbana. Respecto a los objetos de estudio la investigación urbana está orientada a la segregación de la ciudad, el modelo de ciudad y crecimiento urbano.</w:t>
      </w:r>
    </w:p>
    <w:p>
      <w:pPr>
        <w:pStyle w:val="BodyText"/>
      </w:pPr>
    </w:p>
    <w:p>
      <w:pPr>
        <w:pStyle w:val="BodyText"/>
      </w:pPr>
    </w:p>
    <w:p>
      <w:pPr>
        <w:pStyle w:val="BodyText"/>
        <w:spacing w:before="3"/>
      </w:pPr>
    </w:p>
    <w:p>
      <w:pPr>
        <w:pStyle w:val="Heading1"/>
        <w:ind w:left="0" w:right="119"/>
        <w:jc w:val="right"/>
      </w:pPr>
      <w:r>
        <w:rPr>
          <w:w w:val="95"/>
        </w:rPr>
        <w:t>Productos</w:t>
      </w:r>
    </w:p>
    <w:p>
      <w:pPr>
        <w:pStyle w:val="BodyText"/>
        <w:rPr>
          <w:b/>
        </w:rPr>
      </w:pPr>
    </w:p>
    <w:p>
      <w:pPr>
        <w:pStyle w:val="BodyText"/>
        <w:rPr>
          <w:b/>
        </w:rPr>
      </w:pPr>
    </w:p>
    <w:p>
      <w:pPr>
        <w:spacing w:line="352" w:lineRule="auto" w:before="0"/>
        <w:ind w:left="102" w:right="120" w:firstLine="0"/>
        <w:jc w:val="both"/>
        <w:rPr>
          <w:sz w:val="24"/>
        </w:rPr>
      </w:pPr>
      <w:r>
        <w:rPr>
          <w:sz w:val="24"/>
        </w:rPr>
        <w:t>A partir de los resultados parciales de la investigación se presentó la ponencia </w:t>
      </w:r>
      <w:r>
        <w:rPr>
          <w:i/>
          <w:sz w:val="24"/>
        </w:rPr>
        <w:t>Investigación urbana-regional contemporánea a través de la revista Eure en la </w:t>
      </w:r>
      <w:r>
        <w:rPr>
          <w:i/>
          <w:sz w:val="24"/>
        </w:rPr>
        <w:t>Web of Knowlege </w:t>
      </w:r>
      <w:r>
        <w:rPr>
          <w:sz w:val="24"/>
        </w:rPr>
        <w:t>en el marco del 18</w:t>
      </w:r>
      <w:r>
        <w:rPr>
          <w:position w:val="11"/>
          <w:sz w:val="16"/>
        </w:rPr>
        <w:t>0 </w:t>
      </w:r>
      <w:r>
        <w:rPr>
          <w:sz w:val="24"/>
        </w:rPr>
        <w:t>Encuentro Nacional sobre Desarrollo Regional A.C realizado en El Colegio del Estado de Hidalgo del 19 al 22 de noviembre de</w:t>
      </w:r>
      <w:r>
        <w:rPr>
          <w:spacing w:val="-7"/>
          <w:sz w:val="24"/>
        </w:rPr>
        <w:t> </w:t>
      </w:r>
      <w:r>
        <w:rPr>
          <w:sz w:val="24"/>
        </w:rPr>
        <w:t>2013.</w:t>
      </w:r>
    </w:p>
    <w:p>
      <w:pPr>
        <w:spacing w:after="0" w:line="352" w:lineRule="auto"/>
        <w:jc w:val="both"/>
        <w:rPr>
          <w:sz w:val="24"/>
        </w:rPr>
        <w:sectPr>
          <w:pgSz w:w="12240" w:h="15840"/>
          <w:pgMar w:header="0" w:footer="689" w:top="1500" w:bottom="880" w:left="1600" w:right="1580"/>
        </w:sectPr>
      </w:pPr>
    </w:p>
    <w:p>
      <w:pPr>
        <w:pStyle w:val="BodyText"/>
        <w:spacing w:before="4"/>
        <w:rPr>
          <w:sz w:val="22"/>
        </w:rPr>
      </w:pPr>
    </w:p>
    <w:p>
      <w:pPr>
        <w:spacing w:line="360" w:lineRule="auto" w:before="70"/>
        <w:ind w:left="102" w:right="118" w:firstLine="0"/>
        <w:jc w:val="both"/>
        <w:rPr>
          <w:sz w:val="24"/>
        </w:rPr>
      </w:pPr>
      <w:r>
        <w:rPr>
          <w:sz w:val="24"/>
        </w:rPr>
        <w:t>El trabajo </w:t>
      </w:r>
      <w:r>
        <w:rPr>
          <w:i/>
          <w:sz w:val="24"/>
        </w:rPr>
        <w:t>Investigación urbana-regional contemporánea a través de la revista Eure </w:t>
      </w:r>
      <w:r>
        <w:rPr>
          <w:i/>
          <w:sz w:val="24"/>
        </w:rPr>
        <w:t>en la Web of Knowlege </w:t>
      </w:r>
      <w:r>
        <w:rPr>
          <w:sz w:val="24"/>
        </w:rPr>
        <w:t>fue parte del disco que integraba a los trabajos del encuentro nacional.</w:t>
      </w:r>
    </w:p>
    <w:p>
      <w:pPr>
        <w:pStyle w:val="BodyText"/>
      </w:pPr>
    </w:p>
    <w:p>
      <w:pPr>
        <w:pStyle w:val="BodyText"/>
        <w:spacing w:line="360" w:lineRule="auto" w:before="142"/>
        <w:ind w:left="102" w:right="124"/>
        <w:jc w:val="both"/>
      </w:pPr>
      <w:r>
        <w:rPr/>
        <w:t>Se envió un artículo para publicación a la revista Bitácora urbano/Regional de la Universidad Nacional de Colombia.</w:t>
      </w:r>
    </w:p>
    <w:p>
      <w:pPr>
        <w:pStyle w:val="BodyText"/>
      </w:pPr>
    </w:p>
    <w:p>
      <w:pPr>
        <w:spacing w:line="360" w:lineRule="auto" w:before="142"/>
        <w:ind w:left="102" w:right="116" w:firstLine="0"/>
        <w:jc w:val="both"/>
        <w:rPr>
          <w:sz w:val="24"/>
        </w:rPr>
      </w:pPr>
      <w:r>
        <w:rPr>
          <w:sz w:val="24"/>
        </w:rPr>
        <w:t>Este trabajo de investigación es producto del proyecto de investigación con financiamiento del CONACYT titulado </w:t>
      </w:r>
      <w:r>
        <w:rPr>
          <w:i/>
          <w:sz w:val="24"/>
        </w:rPr>
        <w:t>La Planeación Urbana en el Estado de </w:t>
      </w:r>
      <w:r>
        <w:rPr>
          <w:i/>
          <w:sz w:val="24"/>
        </w:rPr>
        <w:t>México: crítica y tendencias emergentes desde el campo de la Teoría. Alternativas reformistas para la acción </w:t>
      </w:r>
      <w:r>
        <w:rPr>
          <w:sz w:val="24"/>
        </w:rPr>
        <w:t>con clave CB-2010/154709 y coordinado por el Dr. Juan José Gutiérrez Chaparro.</w:t>
      </w:r>
    </w:p>
    <w:p>
      <w:pPr>
        <w:spacing w:after="0" w:line="360" w:lineRule="auto"/>
        <w:jc w:val="both"/>
        <w:rPr>
          <w:sz w:val="24"/>
        </w:rPr>
        <w:sectPr>
          <w:pgSz w:w="12240" w:h="15840"/>
          <w:pgMar w:header="0" w:footer="689" w:top="1500" w:bottom="8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2"/>
        </w:rPr>
      </w:pPr>
    </w:p>
    <w:p>
      <w:pPr>
        <w:pStyle w:val="Heading1"/>
        <w:spacing w:before="69"/>
        <w:ind w:left="0" w:right="122"/>
        <w:jc w:val="right"/>
      </w:pPr>
      <w:r>
        <w:rPr/>
        <w:t>CAPÍTULO I</w:t>
      </w:r>
    </w:p>
    <w:p>
      <w:pPr>
        <w:spacing w:before="139"/>
        <w:ind w:left="0" w:right="120" w:firstLine="0"/>
        <w:jc w:val="right"/>
        <w:rPr>
          <w:b/>
          <w:sz w:val="24"/>
        </w:rPr>
      </w:pPr>
      <w:r>
        <w:rPr>
          <w:b/>
          <w:sz w:val="24"/>
        </w:rPr>
        <w:t>Propuesta metateórica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line="360" w:lineRule="auto" w:before="1"/>
        <w:ind w:left="102" w:right="120" w:firstLine="5998"/>
        <w:jc w:val="both"/>
      </w:pPr>
      <w:r>
        <w:rPr>
          <w:b/>
        </w:rPr>
        <w:t>Presentación de</w:t>
      </w:r>
      <w:r>
        <w:rPr>
          <w:b/>
          <w:spacing w:val="-10"/>
        </w:rPr>
        <w:t> </w:t>
      </w:r>
      <w:r>
        <w:rPr>
          <w:b/>
        </w:rPr>
        <w:t>capítulo </w:t>
      </w:r>
      <w:r>
        <w:rPr/>
        <w:t>En este capítulo establezco el marco teórico del que partirá la investigación metateórica en torno a la investigación urbana latinoamericana. El primer nivel de reflexión de este apartado corresponde a la contextualización de la filosofía de la ciencia como base del estudio de las particularidades del conocimiento científico, el cual es resultado de la investigación científica en la ciencia social, en general, y de los estudios urbanos, en lo</w:t>
      </w:r>
      <w:r>
        <w:rPr>
          <w:spacing w:val="-16"/>
        </w:rPr>
        <w:t> </w:t>
      </w:r>
      <w:r>
        <w:rPr/>
        <w:t>particular.</w:t>
      </w:r>
    </w:p>
    <w:p>
      <w:pPr>
        <w:spacing w:after="0" w:line="360" w:lineRule="auto"/>
        <w:jc w:val="both"/>
        <w:sectPr>
          <w:pgSz w:w="12240" w:h="15840"/>
          <w:pgMar w:header="0" w:footer="689" w:top="1500" w:bottom="880" w:left="1600" w:right="1580"/>
        </w:sectPr>
      </w:pPr>
    </w:p>
    <w:p>
      <w:pPr>
        <w:pStyle w:val="BodyText"/>
        <w:spacing w:line="360" w:lineRule="auto" w:before="54"/>
        <w:ind w:left="102" w:right="115"/>
        <w:jc w:val="both"/>
      </w:pPr>
      <w:r>
        <w:rPr/>
        <w:t>Para conocer las características teóricas, conceptuales y metodológicas, y de sus prácticas científicas de la Investigación Urbana Latinoamericana (IUL)  es necesario considerarlo como un todo integrado; para alcanzar este requisito es necesario un marco metateórico. De esta forma en este capítulo se establece a la filosofía de la ciencia como base del estudio metateórico y sustento de la ciencia social, en general, y de la IUL, en lo particular.</w:t>
      </w:r>
    </w:p>
    <w:p>
      <w:pPr>
        <w:pStyle w:val="BodyText"/>
      </w:pPr>
    </w:p>
    <w:p>
      <w:pPr>
        <w:pStyle w:val="BodyText"/>
        <w:spacing w:line="360" w:lineRule="auto" w:before="142"/>
        <w:ind w:left="102" w:right="118"/>
        <w:jc w:val="both"/>
      </w:pPr>
      <w:r>
        <w:rPr/>
        <w:t>Para el análisis de la Investigación Urbana Latinoamericana (IUL) se parte de un enfoque metateórico con el que se reconoce que el estudio de la ciencias y las disciplinas científicas no debe realizarse sólo sobre la estructura de las teorías, sino además de sus prácticas científicas. De esta forma se parte de la propuesta de Lorenzano (2011), Olivé (2008) y Díez y Moulines (2008) para establecer lo que es un estudio metateórico.</w:t>
      </w:r>
    </w:p>
    <w:p>
      <w:pPr>
        <w:pStyle w:val="BodyText"/>
      </w:pPr>
    </w:p>
    <w:p>
      <w:pPr>
        <w:pStyle w:val="Heading1"/>
        <w:spacing w:before="142"/>
        <w:jc w:val="both"/>
      </w:pPr>
      <w:r>
        <w:rPr/>
        <w:t>1.1 Filosofía de la ciencia</w:t>
      </w:r>
    </w:p>
    <w:p>
      <w:pPr>
        <w:pStyle w:val="BodyText"/>
        <w:spacing w:line="360" w:lineRule="auto" w:before="139"/>
        <w:ind w:left="102" w:right="114"/>
        <w:jc w:val="both"/>
      </w:pPr>
      <w:r>
        <w:rPr/>
        <w:t>En diversos estudios se ha establecido la inseparable relación entre la ciencia y tecnología —como por ejemplo en Díez y Moulines (2008), Lorenzano (2011) y Olivé y Pérez (2011)— y la forma en que ambas buscan conocer y transformar el mundo; las consecuencias de estas actividades son evidentes cuando nos referimos a los objetos tecnológicos utilizados en el día a día de la sociedad contemporánea (como por ejemplo el uso de aparatos y sistemas multimedia). Los avances visibles de la tecnología han permitido que en las sociedades contemporáneas sea aceptada junto con la ciencia — esta última tanto como método, producto y actividad profesional—, sin dejar de lado la atención que han tenido los científicos como punto de referencia en torno a temas particulares. De esta forma, en principio,</w:t>
      </w:r>
    </w:p>
    <w:p>
      <w:pPr>
        <w:pStyle w:val="BodyText"/>
        <w:ind w:left="891" w:right="927"/>
        <w:jc w:val="both"/>
      </w:pPr>
      <w:r>
        <w:rPr/>
        <w:t>“La ciencia tiene importancia en nuestra cultura, aunque sea indirectamente, por lo que dice sobre el mundo. La influencia política de la ciencia, sus prestigios, la magnitud del apoyo económico que se le otorga e incluso sus dimensiones dependen de sus teorías y de cómo estas teorías, a su vez, han capacitado a los científicos para anticiparse y manipular la naturaleza (Laudan, 2005:</w:t>
      </w:r>
      <w:r>
        <w:rPr>
          <w:spacing w:val="-5"/>
        </w:rPr>
        <w:t> </w:t>
      </w:r>
      <w:r>
        <w:rPr/>
        <w:t>137).</w:t>
      </w:r>
    </w:p>
    <w:p>
      <w:pPr>
        <w:spacing w:after="0"/>
        <w:jc w:val="both"/>
        <w:sectPr>
          <w:pgSz w:w="12240" w:h="15840"/>
          <w:pgMar w:header="0" w:footer="689" w:top="1360" w:bottom="880" w:left="1600" w:right="1580"/>
        </w:sectPr>
      </w:pPr>
    </w:p>
    <w:p>
      <w:pPr>
        <w:pStyle w:val="BodyText"/>
        <w:spacing w:line="360" w:lineRule="auto" w:before="54"/>
        <w:ind w:left="122" w:right="118"/>
        <w:jc w:val="both"/>
      </w:pPr>
      <w:r>
        <w:rPr/>
        <w:t>A pesar de los logros alcanzados por la ciencia aún existen preguntas por responder sobre su estructura, funcionamiento e impacto social, además de las prácticas que llevan los científicos; éstas pueden realizarse desde el estudio del conocimiento, una disciplina o del quehacer de los científicos, al final son preguntas sobre la ciencia de las cuales se ocupan los estudios metacientíficos o metateóricos. Los estudios metacientíficos son investigaciones de segundo orden porque genera un conocimiento sobre el saber producido por la ciencia, que es un conocimiento (saber) de primer orden porque que se crea a partir de un objeto.</w:t>
      </w:r>
    </w:p>
    <w:p>
      <w:pPr>
        <w:pStyle w:val="BodyText"/>
      </w:pPr>
    </w:p>
    <w:p>
      <w:pPr>
        <w:pStyle w:val="BodyText"/>
        <w:spacing w:line="360" w:lineRule="auto" w:before="142"/>
        <w:ind w:left="122" w:right="116"/>
        <w:jc w:val="both"/>
      </w:pPr>
      <w:r>
        <w:rPr/>
        <w:t>El estudio de la ciencia, como el de cualquier otro objeto de estudio, es complejo y puede realizarse desde diversas aristas, ya que cada aspecto de la actividad científica abre una perspectiva que, según Lorenzano (2011: 134), en su conjunto constituyen los estudios metacientíficos: 1) Psicología de la ciencia, 2) Sociología de la ciencia, 3) Antropología de la ciencia, 4) Política de la ciencia, 5) Economía de la ciencia, 6) Historia (o historiografía) de la ciencia y 7) Filosofía de la ciencia.</w:t>
      </w:r>
    </w:p>
    <w:p>
      <w:pPr>
        <w:pStyle w:val="BodyText"/>
      </w:pPr>
    </w:p>
    <w:p>
      <w:pPr>
        <w:pStyle w:val="BodyText"/>
        <w:spacing w:line="352" w:lineRule="auto" w:before="142"/>
        <w:ind w:left="122" w:right="116"/>
        <w:jc w:val="both"/>
      </w:pPr>
      <w:r>
        <w:rPr/>
        <w:t>Como disciplina metacientífica, la filosofía de la ciencia se enfoca en reflexiones sobre cómo se construye el conocimiento científico para realizar una teorización filosófica; de esta forma la “filosofía de la ciencia explica o eleducida</w:t>
      </w:r>
      <w:r>
        <w:rPr>
          <w:position w:val="11"/>
          <w:sz w:val="16"/>
        </w:rPr>
        <w:t>2 </w:t>
      </w:r>
      <w:r>
        <w:rPr/>
        <w:t>los aspectos filosófico conceptuales de la actividad científica, esto es, los conceptos fundamentales   de   la   actividad   científica,   tales   como   concepto  (científico),</w:t>
      </w:r>
    </w:p>
    <w:p>
      <w:pPr>
        <w:pStyle w:val="BodyText"/>
        <w:spacing w:line="360" w:lineRule="auto" w:before="13"/>
        <w:ind w:left="122"/>
      </w:pPr>
      <w:r>
        <w:rPr/>
        <w:t>hipótesis, ley o teoría, y reordena conceptualmente o reconstruye los sistemas de conceptos (o teorías) producidos por la ciencia” (Lorenzano, 2011:136). En este sentido,</w:t>
      </w:r>
    </w:p>
    <w:p>
      <w:pPr>
        <w:pStyle w:val="BodyText"/>
      </w:pPr>
    </w:p>
    <w:p>
      <w:pPr>
        <w:pStyle w:val="BodyText"/>
        <w:spacing w:before="139"/>
        <w:ind w:left="911" w:right="930"/>
        <w:jc w:val="both"/>
      </w:pPr>
      <w:r>
        <w:rPr/>
        <w:t>“…la filosofía de la ciencia, por tanto, pertenece al campo de los estudios metacientíficos, pero es sólo una parte de ellos; no es ni historiografía de la ciencia, ni psicología de la ciencia, ni sociología de la ciencia, aunque esté relacionada con todas ellas. Por otro lado, la filosofía de la ciencia pertenece también al campo de los estudios filosóficos pero es sólo una parte de ellos; no es ni  lógica,</w:t>
      </w:r>
    </w:p>
    <w:p>
      <w:pPr>
        <w:pStyle w:val="BodyText"/>
        <w:rPr>
          <w:sz w:val="20"/>
        </w:rPr>
      </w:pPr>
    </w:p>
    <w:p>
      <w:pPr>
        <w:pStyle w:val="BodyText"/>
        <w:spacing w:before="3"/>
        <w:rPr>
          <w:sz w:val="13"/>
        </w:rPr>
      </w:pPr>
      <w:r>
        <w:rPr/>
        <w:pict>
          <v:line style="position:absolute;mso-position-horizontal-relative:page;mso-position-vertical-relative:paragraph;z-index:1168;mso-wrap-distance-left:0;mso-wrap-distance-right:0" from="85.103996pt,9.893988pt" to="229.123996pt,9.893988pt" stroked="true" strokeweight=".60004pt" strokecolor="#000000">
            <w10:wrap type="topAndBottom"/>
          </v:line>
        </w:pict>
      </w:r>
    </w:p>
    <w:p>
      <w:pPr>
        <w:spacing w:before="44"/>
        <w:ind w:left="122" w:right="691" w:firstLine="0"/>
        <w:jc w:val="left"/>
        <w:rPr>
          <w:sz w:val="20"/>
        </w:rPr>
      </w:pPr>
      <w:r>
        <w:rPr>
          <w:position w:val="10"/>
          <w:sz w:val="13"/>
        </w:rPr>
        <w:t>2 </w:t>
      </w:r>
      <w:r>
        <w:rPr>
          <w:sz w:val="20"/>
        </w:rPr>
        <w:t>La elucidación es un concepto propuesto por Carnap (1950) que consiste en transformar un concepto un tanto inexacto (el explicandum) en uno exacto (el explicatum).</w:t>
      </w:r>
    </w:p>
    <w:p>
      <w:pPr>
        <w:spacing w:after="0"/>
        <w:jc w:val="left"/>
        <w:rPr>
          <w:sz w:val="20"/>
        </w:rPr>
        <w:sectPr>
          <w:pgSz w:w="12240" w:h="15840"/>
          <w:pgMar w:header="0" w:footer="689" w:top="1360" w:bottom="880" w:left="1580" w:right="1580"/>
        </w:sectPr>
      </w:pPr>
    </w:p>
    <w:p>
      <w:pPr>
        <w:pStyle w:val="BodyText"/>
        <w:spacing w:before="52"/>
        <w:ind w:left="891" w:right="925"/>
        <w:jc w:val="both"/>
      </w:pPr>
      <w:r>
        <w:rPr/>
        <w:t>ni filosofía del lenguaje, ni filosofía de la mente, ni filosofía de la técnica, aunque está relacionada con todas ellas” (Díez  y Moulines, 2008:</w:t>
      </w:r>
      <w:r>
        <w:rPr>
          <w:spacing w:val="-9"/>
        </w:rPr>
        <w:t> </w:t>
      </w:r>
      <w:r>
        <w:rPr/>
        <w:t>19).</w:t>
      </w:r>
    </w:p>
    <w:p>
      <w:pPr>
        <w:pStyle w:val="BodyText"/>
      </w:pPr>
    </w:p>
    <w:p>
      <w:pPr>
        <w:pStyle w:val="BodyText"/>
        <w:spacing w:line="360" w:lineRule="auto" w:before="141"/>
        <w:ind w:left="102" w:right="116"/>
        <w:jc w:val="both"/>
      </w:pPr>
      <w:r>
        <w:rPr/>
        <w:t>Pero además, la generación de conocimiento como resultado de una actividad científica conlleva una serie de prácticas realizadas con ciertas reglas o normas, aun cuando no haya un conocimiento explícito de ellas; por lo cual, la filosofía de la ciencia busca hacer evidente esas prácticas como la contrastación o la explicación para hacer comprensible a la ciencia. Para cumplir con este objetivo, la filosofía de la ciencia se apoya de otras disciplinas metacientíficas y, de algunas  de ramas de la filosofía como por</w:t>
      </w:r>
      <w:r>
        <w:rPr>
          <w:spacing w:val="-13"/>
        </w:rPr>
        <w:t> </w:t>
      </w:r>
      <w:r>
        <w:rPr/>
        <w:t>ejemplo:</w:t>
      </w:r>
    </w:p>
    <w:p>
      <w:pPr>
        <w:pStyle w:val="BodyText"/>
      </w:pPr>
    </w:p>
    <w:p>
      <w:pPr>
        <w:pStyle w:val="BodyText"/>
        <w:spacing w:before="139"/>
        <w:ind w:left="891" w:right="927"/>
        <w:jc w:val="both"/>
      </w:pPr>
      <w:r>
        <w:rPr/>
        <w:t>“… lógica de la ciencia (que se ocuparía de investigar la estructura lógica de las teorías científicas y los problemas lógicos y metalógicos de la lógica requerida por la ciencia), de una semántica de la ciencia (que sistematizaría los conceptos de sentido, referencia, representación, interpretación, verdad y afines, y analizaría su aplicación), de una pragmática de la ciencia (que examinaría el modo en que los científicos usan los distintos conceptos o esquemas conceptuales, llevando a cabo acciones o conductas lingüísticas o verbales), de una teoría del conocimiento científico (que indagaría su especificidad respecto de otros tipos de conocimiento), de una metodología de la investigación (que investigaría, en caso de existir, el método general en la ciencia y analizaría los distintos procedimientos, dispositivos, aparatos y métodos o técnicas específicos utilizados en las ciencias particulares), de una ontología de la ciencia (que analizaría y sistematizaría los supuestos y resultados ontológicos de la ciencia), de una axiología de la ciencia (que estudiaría el conjunto de valores, epistémicos y no-epistémicos, poseído por la comunidad científica), de una praxiología de la ciencia (que analizaría las acciones, conductas o prácticas de diversa índole llevadas a cabo por los científicos, sin restringirse a las acciones o conductas de carácter lingüístico o verbal), de una ética de la ciencia (que investigaría las normas morales que guían, o deberían guiar, la actividad científica), y de una estética de la ciencia (que examinaría los valores y cánones estéticos presentes en la investigación científica)” (Lorenzano, 2011:</w:t>
      </w:r>
      <w:r>
        <w:rPr>
          <w:spacing w:val="-12"/>
        </w:rPr>
        <w:t> </w:t>
      </w:r>
      <w:r>
        <w:rPr/>
        <w:t>137).</w:t>
      </w:r>
    </w:p>
    <w:p>
      <w:pPr>
        <w:pStyle w:val="BodyText"/>
      </w:pPr>
    </w:p>
    <w:p>
      <w:pPr>
        <w:pStyle w:val="BodyText"/>
        <w:spacing w:line="360" w:lineRule="auto" w:before="139"/>
        <w:ind w:left="102" w:right="118"/>
        <w:jc w:val="both"/>
      </w:pPr>
      <w:r>
        <w:rPr/>
        <w:t>Díez y Moulines (2008) mencionan que “la filosofía de la ciencia tiene por objeto poner de manifiesto o hacer explícitos los aspectos filosófico-conceptuales de la</w:t>
      </w:r>
    </w:p>
    <w:p>
      <w:pPr>
        <w:spacing w:after="0" w:line="360" w:lineRule="auto"/>
        <w:jc w:val="both"/>
        <w:sectPr>
          <w:pgSz w:w="12240" w:h="15840"/>
          <w:pgMar w:header="0" w:footer="689" w:top="1360" w:bottom="880" w:left="1600" w:right="1580"/>
        </w:sectPr>
      </w:pPr>
    </w:p>
    <w:p>
      <w:pPr>
        <w:pStyle w:val="BodyText"/>
        <w:spacing w:line="360" w:lineRule="auto" w:before="54"/>
        <w:ind w:left="102" w:right="120"/>
        <w:jc w:val="both"/>
      </w:pPr>
      <w:r>
        <w:rPr/>
        <w:t>actividad científica, esto es, elucidar conceptos fundamentales de la actividad científica, como los de ley, contrastación, explicación o medición, y reordenar conceptualmente o reconstruir esos sistemas de conceptos producidos por la ciencia que son las teorías científicas” (Díez y  Moulines, 2008: 21).</w:t>
      </w:r>
    </w:p>
    <w:p>
      <w:pPr>
        <w:pStyle w:val="BodyText"/>
      </w:pPr>
    </w:p>
    <w:p>
      <w:pPr>
        <w:pStyle w:val="BodyText"/>
        <w:spacing w:line="360" w:lineRule="auto" w:before="142"/>
        <w:ind w:left="102" w:right="115"/>
        <w:jc w:val="both"/>
      </w:pPr>
      <w:r>
        <w:rPr/>
        <w:t>Mientras que Olivé (2000: 21) establece que la filosofía de la ciencia “es una disciplina que analiza y resuelve los problemas filosóficos que surgen de la  ciencia, por ejemplo, en relación con el análisis y la evaluación de los métodos, valores, fines, prácticas y teorías de la ciencia; sobre su naturaleza, </w:t>
      </w:r>
      <w:r>
        <w:rPr>
          <w:spacing w:val="2"/>
        </w:rPr>
        <w:t>sus </w:t>
      </w:r>
      <w:r>
        <w:rPr/>
        <w:t>condiciones de posibilidad de existencia y de desarrollo; acerca de su poder y sus limitaciones, así como sobre los problemas de su impacto social y de las formas  en las que son afectadas por el entorno</w:t>
      </w:r>
      <w:r>
        <w:rPr>
          <w:spacing w:val="-12"/>
        </w:rPr>
        <w:t> </w:t>
      </w:r>
      <w:r>
        <w:rPr/>
        <w:t>social”.</w:t>
      </w:r>
    </w:p>
    <w:p>
      <w:pPr>
        <w:pStyle w:val="BodyText"/>
      </w:pPr>
    </w:p>
    <w:p>
      <w:pPr>
        <w:pStyle w:val="BodyText"/>
        <w:spacing w:line="360" w:lineRule="auto" w:before="142"/>
        <w:ind w:left="102" w:right="115"/>
        <w:jc w:val="both"/>
      </w:pPr>
      <w:r>
        <w:rPr/>
        <w:t>De estas conceptuaciones resaltamos su diferencia respecto objeto de la filosofía de la ciencia y podemos señalar dos enfoques: a) Interno y b) Externo. El primero representado por Díez y Moulines considera que su objeto es explicar los fines y prácticas de las teorías y, en consecuencia, la actividad científica sólo se limita a generar conceptos y teorías. En el segundo, en el que ubicamos a Olivé, va más allá del contexto interno de las teorías y agrega el impacto recíproco entre la ciencia y el contexto social.</w:t>
      </w:r>
    </w:p>
    <w:p>
      <w:pPr>
        <w:pStyle w:val="BodyText"/>
      </w:pPr>
    </w:p>
    <w:p>
      <w:pPr>
        <w:pStyle w:val="BodyText"/>
      </w:pPr>
    </w:p>
    <w:p>
      <w:pPr>
        <w:pStyle w:val="Heading1"/>
        <w:ind w:left="3040" w:right="3039" w:firstLine="1012"/>
        <w:jc w:val="left"/>
      </w:pPr>
      <w:r>
        <w:rPr/>
        <w:t>Figura 1 Enfoques sobre la ciencia</w:t>
      </w:r>
    </w:p>
    <w:p>
      <w:pPr>
        <w:pStyle w:val="BodyText"/>
        <w:spacing w:before="10"/>
        <w:rPr>
          <w:b/>
          <w:sz w:val="20"/>
        </w:rPr>
      </w:pPr>
      <w:r>
        <w:rPr/>
        <w:drawing>
          <wp:anchor distT="0" distB="0" distL="0" distR="0" allowOverlap="1" layoutInCell="1" locked="0" behindDoc="0" simplePos="0" relativeHeight="1192">
            <wp:simplePos x="0" y="0"/>
            <wp:positionH relativeFrom="page">
              <wp:posOffset>2254250</wp:posOffset>
            </wp:positionH>
            <wp:positionV relativeFrom="paragraph">
              <wp:posOffset>177279</wp:posOffset>
            </wp:positionV>
            <wp:extent cx="3231198" cy="1838991"/>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3" cstate="print"/>
                    <a:stretch>
                      <a:fillRect/>
                    </a:stretch>
                  </pic:blipFill>
                  <pic:spPr>
                    <a:xfrm>
                      <a:off x="0" y="0"/>
                      <a:ext cx="3231198" cy="1838991"/>
                    </a:xfrm>
                    <a:prstGeom prst="rect">
                      <a:avLst/>
                    </a:prstGeom>
                  </pic:spPr>
                </pic:pic>
              </a:graphicData>
            </a:graphic>
          </wp:anchor>
        </w:drawing>
      </w:r>
    </w:p>
    <w:p>
      <w:pPr>
        <w:spacing w:before="0"/>
        <w:ind w:left="2161" w:right="0" w:firstLine="0"/>
        <w:jc w:val="left"/>
        <w:rPr>
          <w:sz w:val="20"/>
        </w:rPr>
      </w:pPr>
      <w:r>
        <w:rPr>
          <w:sz w:val="20"/>
        </w:rPr>
        <w:t>Fuente: Elaboración propia a partir de Casinni (2013)</w:t>
      </w:r>
    </w:p>
    <w:p>
      <w:pPr>
        <w:spacing w:after="0"/>
        <w:jc w:val="left"/>
        <w:rPr>
          <w:sz w:val="20"/>
        </w:rPr>
        <w:sectPr>
          <w:pgSz w:w="12240" w:h="15840"/>
          <w:pgMar w:header="0" w:footer="689" w:top="1360" w:bottom="880" w:left="1600" w:right="1580"/>
        </w:sectPr>
      </w:pPr>
    </w:p>
    <w:p>
      <w:pPr>
        <w:pStyle w:val="BodyText"/>
        <w:spacing w:line="360" w:lineRule="auto" w:before="54"/>
        <w:ind w:left="122" w:right="120"/>
        <w:jc w:val="both"/>
      </w:pPr>
      <w:r>
        <w:rPr/>
        <w:t>Para explicar estos dos enfoques es necesario abordar tres puntos: 1). Origen y hegemonía de la filosofía de la ciencia, 2). División y reunificación entre filosofía e historia de la ciencia, y 3). Demarcación disciplinar entre la filosofía de la ciencia frente a la epistemología. Previo a la discusión de estos puntos es necesario establecer algunas ideas en torno a la filosofía de la ciencia referente a su complejidad.</w:t>
      </w:r>
    </w:p>
    <w:p>
      <w:pPr>
        <w:pStyle w:val="BodyText"/>
      </w:pPr>
    </w:p>
    <w:p>
      <w:pPr>
        <w:pStyle w:val="BodyText"/>
        <w:spacing w:line="360" w:lineRule="auto" w:before="142"/>
        <w:ind w:left="122" w:right="116"/>
        <w:jc w:val="both"/>
      </w:pPr>
      <w:r>
        <w:rPr/>
        <w:t>Si bien, no hay una demarcación absoluta y una división tajante entre ramas de la filosofía de la ciencia, tal como sucede con las disciplinas metacientíficas, es pertinente mencionarlas para establecer un punto de partida; en nuestro caso consideramos  como  viable  un  enfoque  desde  la  praxiología  para  identificar la</w:t>
      </w:r>
    </w:p>
    <w:p>
      <w:pPr>
        <w:pStyle w:val="BodyText"/>
        <w:spacing w:line="352" w:lineRule="auto" w:before="5"/>
        <w:ind w:left="122" w:right="116"/>
        <w:jc w:val="both"/>
      </w:pPr>
      <w:r>
        <w:rPr/>
        <w:t>prácticas llevadas a cabo dentro de la Investigación Urbana en Latinoamérica (IUL)</w:t>
      </w:r>
      <w:r>
        <w:rPr>
          <w:position w:val="11"/>
          <w:sz w:val="16"/>
        </w:rPr>
        <w:t>3</w:t>
      </w:r>
      <w:r>
        <w:rPr/>
        <w:t>, con lo cual retomamos la propuesta de que los aspectos teóricos metodológicos no son el único factor de explicación de la ciencia sino además deben considerarse las prácticas científicas (aspectos culturales de la ciencia) y sus repercusiones al interior y exterior de  esa  actividad  intelectual.  Posterior    a</w:t>
      </w:r>
    </w:p>
    <w:p>
      <w:pPr>
        <w:pStyle w:val="BodyText"/>
        <w:spacing w:line="360" w:lineRule="auto" w:before="11"/>
        <w:ind w:left="122" w:right="124"/>
        <w:jc w:val="both"/>
      </w:pPr>
      <w:r>
        <w:rPr/>
        <w:t>estas breves acotaciones comenzaremos con el análisis del origen y hegemonía de la filosofía de la</w:t>
      </w:r>
      <w:r>
        <w:rPr>
          <w:spacing w:val="-10"/>
        </w:rPr>
        <w:t> </w:t>
      </w:r>
      <w:r>
        <w:rPr/>
        <w:t>ciencia.</w:t>
      </w:r>
    </w:p>
    <w:p>
      <w:pPr>
        <w:pStyle w:val="BodyText"/>
      </w:pPr>
    </w:p>
    <w:p>
      <w:pPr>
        <w:pStyle w:val="Heading1"/>
        <w:numPr>
          <w:ilvl w:val="2"/>
          <w:numId w:val="4"/>
        </w:numPr>
        <w:tabs>
          <w:tab w:pos="505" w:val="left" w:leader="none"/>
        </w:tabs>
        <w:spacing w:line="240" w:lineRule="auto" w:before="142" w:after="0"/>
        <w:ind w:left="102" w:right="0" w:firstLine="0"/>
        <w:jc w:val="both"/>
      </w:pPr>
      <w:r>
        <w:rPr/>
        <w:t>Origen de la Filosofía de la</w:t>
      </w:r>
      <w:r>
        <w:rPr>
          <w:spacing w:val="-9"/>
        </w:rPr>
        <w:t> </w:t>
      </w:r>
      <w:r>
        <w:rPr/>
        <w:t>ciencia</w:t>
      </w:r>
    </w:p>
    <w:p>
      <w:pPr>
        <w:pStyle w:val="BodyText"/>
        <w:spacing w:line="360" w:lineRule="auto" w:before="137"/>
        <w:ind w:left="122" w:right="118"/>
        <w:jc w:val="both"/>
      </w:pPr>
      <w:r>
        <w:rPr/>
        <w:t>La filosofía de la ciencia tiene referentes entre 1890 y 1918, en este periodo, según Casinni (2013:71), hay reflexiones sobre la construcción del conocimiento científico sin que aún se use el término, como ejemplo se puede mencionar el programa fenomenista de Mach que proponía la reconstrucción de la física para dejar de utilizar </w:t>
      </w:r>
      <w:r>
        <w:rPr>
          <w:i/>
        </w:rPr>
        <w:t>términos teóricos sospechosos </w:t>
      </w:r>
      <w:r>
        <w:rPr/>
        <w:t>y es hasta 1934, a partir de la fundación de la revista </w:t>
      </w:r>
      <w:r>
        <w:rPr>
          <w:i/>
        </w:rPr>
        <w:t>Philosophy of Science, </w:t>
      </w:r>
      <w:r>
        <w:rPr/>
        <w:t>cuando se puede hablar concretamente de esta</w:t>
      </w:r>
      <w:r>
        <w:rPr>
          <w:spacing w:val="-7"/>
        </w:rPr>
        <w:t> </w:t>
      </w:r>
      <w:r>
        <w:rPr/>
        <w:t>área.</w:t>
      </w:r>
    </w:p>
    <w:p>
      <w:pPr>
        <w:pStyle w:val="BodyText"/>
        <w:rPr>
          <w:sz w:val="20"/>
        </w:rPr>
      </w:pP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1216;mso-wrap-distance-left:0;mso-wrap-distance-right:0" from="85.103996pt,16.916851pt" to="229.123996pt,16.916851pt" stroked="true" strokeweight=".599980pt" strokecolor="#000000">
            <w10:wrap type="topAndBottom"/>
          </v:line>
        </w:pict>
      </w:r>
    </w:p>
    <w:p>
      <w:pPr>
        <w:spacing w:before="44"/>
        <w:ind w:left="122" w:right="124" w:firstLine="0"/>
        <w:jc w:val="both"/>
        <w:rPr>
          <w:sz w:val="20"/>
        </w:rPr>
      </w:pPr>
      <w:r>
        <w:rPr>
          <w:position w:val="10"/>
          <w:sz w:val="13"/>
        </w:rPr>
        <w:t>3 </w:t>
      </w:r>
      <w:r>
        <w:rPr>
          <w:sz w:val="20"/>
        </w:rPr>
        <w:t>Como lo referimos en la introducción de este trabajo de investigación, en la IUL confluye el conocimiento teórico principalmente de la sociología urbana, planeación y economía urbana, el  cual está definido a partir de las prácticas científicas de esta</w:t>
      </w:r>
      <w:r>
        <w:rPr>
          <w:spacing w:val="-18"/>
          <w:sz w:val="20"/>
        </w:rPr>
        <w:t> </w:t>
      </w:r>
      <w:r>
        <w:rPr>
          <w:sz w:val="20"/>
        </w:rPr>
        <w:t>área.</w:t>
      </w:r>
    </w:p>
    <w:p>
      <w:pPr>
        <w:spacing w:after="0"/>
        <w:jc w:val="both"/>
        <w:rPr>
          <w:sz w:val="20"/>
        </w:rPr>
        <w:sectPr>
          <w:pgSz w:w="12240" w:h="15840"/>
          <w:pgMar w:header="0" w:footer="689" w:top="1360" w:bottom="880" w:left="1580" w:right="1580"/>
        </w:sectPr>
      </w:pPr>
    </w:p>
    <w:p>
      <w:pPr>
        <w:pStyle w:val="BodyText"/>
        <w:spacing w:line="360" w:lineRule="auto" w:before="54"/>
        <w:ind w:left="102" w:right="117"/>
        <w:jc w:val="both"/>
      </w:pPr>
      <w:r>
        <w:rPr/>
        <w:t>La historia de la filosofía de la ciencia ha sido periodizada por dos autores Moulines (citado en Casinni, 2013) y Lorenzano (2011); de estas propuestas retomamos la de Moulines quien propone distinguir cinco fases: 1) Fase de Germinación o preformación, 2) Fase de Eclosión, 3) Fase Clásica y 4) Fase Historicista  5) Fase Modelista, las cuales analizamos a</w:t>
      </w:r>
      <w:r>
        <w:rPr>
          <w:spacing w:val="-19"/>
        </w:rPr>
        <w:t> </w:t>
      </w:r>
      <w:r>
        <w:rPr/>
        <w:t>continuación:</w:t>
      </w:r>
    </w:p>
    <w:p>
      <w:pPr>
        <w:pStyle w:val="BodyText"/>
      </w:pPr>
    </w:p>
    <w:p>
      <w:pPr>
        <w:pStyle w:val="BodyText"/>
        <w:spacing w:line="360" w:lineRule="auto" w:before="142"/>
        <w:ind w:left="102" w:right="116"/>
        <w:jc w:val="both"/>
      </w:pPr>
      <w:r>
        <w:rPr/>
        <w:t>La </w:t>
      </w:r>
      <w:r>
        <w:rPr>
          <w:b/>
        </w:rPr>
        <w:t>Fase de Germinación </w:t>
      </w:r>
      <w:r>
        <w:rPr/>
        <w:t>es ubicada por Moulines entre 1890 y 1918, los trabajos que hoy se pueden considerar como propios de la filosofía de la ciencia se encontraban dentro de la teoría del conocimiento empírico en general; fueron escritos por científicos activos de una disciplina, principalmente de la física y, en algunos casos, por filósofos que provienen de la ciencia aunque ya no ejercen  esta última, tal es el caso de Schlick (1918) o de Carnap (1928). Cabe resaltar los trabajos de Mach que buscó una reconstrucción de la física con términos teóricos claros. Otros representantes son Poincaré (1902) y Duhem (1906) con su instrumentalismo y convencionalismo</w:t>
      </w:r>
      <w:r>
        <w:rPr>
          <w:spacing w:val="-14"/>
        </w:rPr>
        <w:t> </w:t>
      </w:r>
      <w:r>
        <w:rPr/>
        <w:t>respectivamente.</w:t>
      </w:r>
    </w:p>
    <w:p>
      <w:pPr>
        <w:pStyle w:val="BodyText"/>
      </w:pPr>
    </w:p>
    <w:p>
      <w:pPr>
        <w:pStyle w:val="BodyText"/>
        <w:spacing w:line="360" w:lineRule="auto" w:before="142"/>
        <w:ind w:left="102" w:right="119"/>
        <w:jc w:val="both"/>
      </w:pPr>
      <w:r>
        <w:rPr/>
        <w:t>La </w:t>
      </w:r>
      <w:r>
        <w:rPr>
          <w:b/>
        </w:rPr>
        <w:t>Fase de Eclosión </w:t>
      </w:r>
      <w:r>
        <w:rPr/>
        <w:t>corresponde entre 1918 y 1935, se consolidó el positivismo lógico o también conocido como empirismo lógico representado principalmente por el Círculo de Viena, tuvo una orientación empirista y se centró en la lógica matemática y métodos formales de análisis como herramientas indispensables.</w:t>
      </w:r>
    </w:p>
    <w:p>
      <w:pPr>
        <w:pStyle w:val="BodyText"/>
      </w:pPr>
    </w:p>
    <w:p>
      <w:pPr>
        <w:pStyle w:val="BodyText"/>
        <w:spacing w:before="139"/>
        <w:ind w:left="891" w:right="926"/>
        <w:jc w:val="both"/>
      </w:pPr>
      <w:r>
        <w:rPr/>
        <w:t>“…la cátedra de Filosofía en especial Historia y Teoría de las Ciencias Inductivas en la Universidad de Viena en 1895 fue creada para el físico, filósofo e historiador de la física Ernst Mach, que a su retiro fue ocupada por Ludwig Boltzmann y, finalmente, en 1922,  por Moritz Schlick” (Lorenzano, 2011:</w:t>
      </w:r>
      <w:r>
        <w:rPr>
          <w:spacing w:val="-13"/>
        </w:rPr>
        <w:t> </w:t>
      </w:r>
      <w:r>
        <w:rPr/>
        <w:t>139).</w:t>
      </w:r>
    </w:p>
    <w:p>
      <w:pPr>
        <w:pStyle w:val="BodyText"/>
      </w:pPr>
    </w:p>
    <w:p>
      <w:pPr>
        <w:pStyle w:val="BodyText"/>
        <w:spacing w:line="360" w:lineRule="auto" w:before="139"/>
        <w:ind w:left="102" w:right="117"/>
        <w:jc w:val="both"/>
      </w:pPr>
      <w:r>
        <w:rPr/>
        <w:t>La </w:t>
      </w:r>
      <w:r>
        <w:rPr>
          <w:b/>
        </w:rPr>
        <w:t>Fase Clásica </w:t>
      </w:r>
      <w:r>
        <w:rPr/>
        <w:t>(de 1935 a 1970) se caracteriza por la caída del verificacionismo y el reduccionismo que fueron los pilares del empirismo lógico, esto fue generado por las críticas a la indubitabilidad y a la justificación inmediata de los enunciados básicos realizadas por Neurath, Popper y Carnap (el filósofo de la ciencia más notorio del </w:t>
      </w:r>
      <w:r>
        <w:rPr>
          <w:i/>
        </w:rPr>
        <w:t>Círculo de Viena</w:t>
      </w:r>
      <w:r>
        <w:rPr/>
        <w:t>). En contra del verificacionismo Reichenbach  y Carnap  adoptaron  el  probabilismo,  con  lo  que  proponían  que  el conocimiento</w:t>
      </w:r>
    </w:p>
    <w:p>
      <w:pPr>
        <w:spacing w:after="0" w:line="360" w:lineRule="auto"/>
        <w:jc w:val="both"/>
        <w:sectPr>
          <w:pgSz w:w="12240" w:h="15840"/>
          <w:pgMar w:header="0" w:footer="689" w:top="1360" w:bottom="880" w:left="1600" w:right="1580"/>
        </w:sectPr>
      </w:pPr>
    </w:p>
    <w:p>
      <w:pPr>
        <w:pStyle w:val="BodyText"/>
        <w:spacing w:line="360" w:lineRule="auto" w:before="54"/>
        <w:ind w:left="122" w:right="115"/>
        <w:jc w:val="both"/>
      </w:pPr>
      <w:r>
        <w:rPr/>
        <w:t>científico no podía ser verificado sino en el mejor de los casos probable, mientras que Popper propuso el falsacionismo. También se puede mencionar el realismo científico de W. Sellars y  Mario Bunge como posturas centrales en esta fase.</w:t>
      </w:r>
    </w:p>
    <w:p>
      <w:pPr>
        <w:pStyle w:val="BodyText"/>
      </w:pPr>
    </w:p>
    <w:p>
      <w:pPr>
        <w:pStyle w:val="BodyText"/>
        <w:spacing w:line="360" w:lineRule="auto" w:before="142"/>
        <w:ind w:left="122" w:right="116"/>
        <w:jc w:val="both"/>
      </w:pPr>
      <w:r>
        <w:rPr/>
        <w:t>Si bien en este periodo hay una restructuración de la filosofía de la ciencia aún sus enfoques son ahistóricos, ya que “los filósofos clásicos de la ciencia se preocuparon esencialmente por cuestiones relacionadas con el contexto de justificación de las teorías y relegaron los factores históricos al dominio del contexto de descubrimiento, el cual, por el hecho de no estar sujeto a reglas lógicas, caía fuera de los límites de la filosofía de la ciencia” (Casinni, 2013:79). En términos generales el enfoque clásico se centró en la reconstrucción de teorías principalmente de la física, con lo cual no tuvo relevancia el aspecto histórico de la ciencia.</w:t>
      </w:r>
    </w:p>
    <w:p>
      <w:pPr>
        <w:pStyle w:val="BodyText"/>
      </w:pPr>
    </w:p>
    <w:p>
      <w:pPr>
        <w:pStyle w:val="BodyText"/>
        <w:spacing w:line="350" w:lineRule="auto" w:before="142"/>
        <w:ind w:left="122" w:right="116"/>
        <w:jc w:val="both"/>
      </w:pPr>
      <w:r>
        <w:rPr/>
        <w:t>En la </w:t>
      </w:r>
      <w:r>
        <w:rPr>
          <w:b/>
        </w:rPr>
        <w:t>Fase Historicista </w:t>
      </w:r>
      <w:r>
        <w:rPr/>
        <w:t>entre 1960 y 1985 se retomó el contexto de descubrimiento como campo para el análisis filosófico, con lo cual se revaloran los factores externos al campo de las teorías y el histórico</w:t>
      </w:r>
      <w:r>
        <w:rPr>
          <w:position w:val="11"/>
          <w:sz w:val="16"/>
        </w:rPr>
        <w:t>4 </w:t>
      </w:r>
      <w:r>
        <w:rPr/>
        <w:t>que habían sido relegados en la etapa de supremacía del empirismo lógico. Se considera a Hanson como  </w:t>
      </w:r>
      <w:r>
        <w:rPr>
          <w:spacing w:val="50"/>
        </w:rPr>
        <w:t> </w:t>
      </w:r>
      <w:r>
        <w:rPr/>
        <w:t>el</w:t>
      </w:r>
    </w:p>
    <w:p>
      <w:pPr>
        <w:spacing w:line="360" w:lineRule="auto" w:before="11"/>
        <w:ind w:left="122" w:right="116" w:firstLine="0"/>
        <w:jc w:val="both"/>
        <w:rPr>
          <w:sz w:val="24"/>
        </w:rPr>
      </w:pPr>
      <w:r>
        <w:rPr>
          <w:sz w:val="24"/>
        </w:rPr>
        <w:t>principal impulsor de este enfoque a partir de su libro </w:t>
      </w:r>
      <w:r>
        <w:rPr>
          <w:i/>
          <w:sz w:val="24"/>
        </w:rPr>
        <w:t>Patterns of Discovery </w:t>
      </w:r>
      <w:r>
        <w:rPr>
          <w:sz w:val="24"/>
        </w:rPr>
        <w:t>de Hanson (1958) con el que introduce la noción de </w:t>
      </w:r>
      <w:r>
        <w:rPr>
          <w:i/>
          <w:sz w:val="24"/>
        </w:rPr>
        <w:t>carga teórica de la observación </w:t>
      </w:r>
      <w:r>
        <w:rPr>
          <w:sz w:val="24"/>
        </w:rPr>
        <w:t>que había pasado inadvertida; con lo cual se cuestiona la neutralidad de la base empírica de las teorías.</w:t>
      </w:r>
    </w:p>
    <w:p>
      <w:pPr>
        <w:pStyle w:val="BodyText"/>
      </w:pPr>
    </w:p>
    <w:p>
      <w:pPr>
        <w:pStyle w:val="BodyText"/>
        <w:spacing w:line="360" w:lineRule="auto" w:before="142"/>
        <w:ind w:left="122" w:right="115"/>
        <w:jc w:val="both"/>
      </w:pPr>
      <w:r>
        <w:rPr/>
        <w:t>Feyerabend , Kuhn, Lakatos y Laudan son los principales representantes de esta fase al poner en duda la posibilidad de contrastar teorías rivales a través de la experiencia; sin embargo Toulmin, antecesor de Kuhn, fue el primero en escribir</w:t>
      </w:r>
    </w:p>
    <w:p>
      <w:pPr>
        <w:pStyle w:val="BodyText"/>
        <w:spacing w:before="5"/>
        <w:rPr>
          <w:sz w:val="21"/>
        </w:rPr>
      </w:pPr>
      <w:r>
        <w:rPr/>
        <w:pict>
          <v:line style="position:absolute;mso-position-horizontal-relative:page;mso-position-vertical-relative:paragraph;z-index:1240;mso-wrap-distance-left:0;mso-wrap-distance-right:0" from="85.103996pt,14.573891pt" to="229.123996pt,14.573891pt" stroked="true" strokeweight=".60004pt" strokecolor="#000000">
            <w10:wrap type="topAndBottom"/>
          </v:line>
        </w:pict>
      </w:r>
    </w:p>
    <w:p>
      <w:pPr>
        <w:spacing w:before="44"/>
        <w:ind w:left="122" w:right="120" w:firstLine="0"/>
        <w:jc w:val="both"/>
        <w:rPr>
          <w:sz w:val="20"/>
        </w:rPr>
      </w:pPr>
      <w:r>
        <w:rPr>
          <w:position w:val="10"/>
          <w:sz w:val="13"/>
        </w:rPr>
        <w:t>4 </w:t>
      </w:r>
      <w:r>
        <w:rPr>
          <w:sz w:val="20"/>
        </w:rPr>
        <w:t>La perspectiva historicista se caracteriza por el desarrollo de la reflexión metacientífica. “Su influencia se hizo sentir en la puesta en primer plano de cuestiones tales como: la importancia de los estudios históricos y de los determinantes sociales; la puesta en duda de la distinción tajante entre el contexto de descubrimiento y el contexto de justificación; el problema de la carga teórica  de las observaciones y el problema de la inconmensurabilidad entre teorías; las nociones de progreso y racionalidad científicos; la relevancia y alcance de los análisis formales y el problema del relativismo” (Lorenzano, 2011,</w:t>
      </w:r>
      <w:r>
        <w:rPr>
          <w:spacing w:val="-17"/>
          <w:sz w:val="20"/>
        </w:rPr>
        <w:t> </w:t>
      </w:r>
      <w:r>
        <w:rPr>
          <w:sz w:val="20"/>
        </w:rPr>
        <w:t>144).</w:t>
      </w:r>
    </w:p>
    <w:p>
      <w:pPr>
        <w:spacing w:after="0"/>
        <w:jc w:val="both"/>
        <w:rPr>
          <w:sz w:val="20"/>
        </w:rPr>
        <w:sectPr>
          <w:pgSz w:w="12240" w:h="15840"/>
          <w:pgMar w:header="0" w:footer="689" w:top="1360" w:bottom="880" w:left="1580" w:right="1580"/>
        </w:sectPr>
      </w:pPr>
    </w:p>
    <w:p>
      <w:pPr>
        <w:pStyle w:val="BodyText"/>
        <w:spacing w:line="360" w:lineRule="auto" w:before="54"/>
        <w:ind w:left="102" w:right="117"/>
        <w:jc w:val="center"/>
      </w:pPr>
      <w:r>
        <w:rPr/>
        <w:t>sobre la filosofía general de la ciencia con lo cual se lograba una separación con el empirismo lógico y la filosofía clásica de la ciencia, además estableció las bases para los conceptos centrales de Kuhn: paradigmas y revoluciones  científicas. Cabe observar que los filósofos de la ciencia se refieren con variada terminología,</w:t>
      </w:r>
    </w:p>
    <w:p>
      <w:pPr>
        <w:pStyle w:val="BodyText"/>
      </w:pPr>
    </w:p>
    <w:p>
      <w:pPr>
        <w:pStyle w:val="BodyText"/>
        <w:spacing w:before="139"/>
        <w:ind w:left="891" w:right="922"/>
        <w:jc w:val="both"/>
      </w:pPr>
      <w:r>
        <w:rPr/>
        <w:t>“…(paradigma en Kuhn, programa de investigación en Lakatos, tradición de investigación en Laudan), es, sin embargo, imprecisa, en ocasiones de modo tan extremo que termina por desdibujar casi en su totalidad lo que parecen intuiciones correctas Esta línea de investigación desemboca en el asentamiento durante los años ochenta de la sociología de la ciencia como disciplina” (Lorenzano, 2011, 144).</w:t>
      </w:r>
    </w:p>
    <w:p>
      <w:pPr>
        <w:pStyle w:val="BodyText"/>
      </w:pPr>
    </w:p>
    <w:p>
      <w:pPr>
        <w:pStyle w:val="BodyText"/>
        <w:spacing w:line="360" w:lineRule="auto" w:before="139"/>
        <w:ind w:left="102" w:right="116"/>
        <w:jc w:val="both"/>
      </w:pPr>
      <w:r>
        <w:rPr/>
        <w:t>La tesis de inconmensurabilidad propuesta por Kuhn que llevada al extremo derivaba en un relativismo metodológico establecía que no se podrían hacer generalizaciones sobre la ciencia, con lo que se ponía en tela de juicio la existencia de la filosofía de la ciencia; por este motivo el historicismo filosófico no tuvo un fuerte impacto en la filosofía de la ciencia tal como sucedió en la historia y sociología de la ciencia, y en las disciplinas</w:t>
      </w:r>
      <w:r>
        <w:rPr>
          <w:spacing w:val="-12"/>
        </w:rPr>
        <w:t> </w:t>
      </w:r>
      <w:r>
        <w:rPr/>
        <w:t>sociales.</w:t>
      </w:r>
    </w:p>
    <w:p>
      <w:pPr>
        <w:pStyle w:val="BodyText"/>
      </w:pPr>
    </w:p>
    <w:p>
      <w:pPr>
        <w:pStyle w:val="BodyText"/>
        <w:spacing w:before="139"/>
        <w:ind w:left="891" w:right="928"/>
        <w:jc w:val="both"/>
      </w:pPr>
      <w:r>
        <w:rPr/>
        <w:t>“…no todos los filósofos de la ciencia se volvieron historicistas después del impacto de la obra de Kuhn. Ante todo, muchos filósofos del periodo clásico, como Popper (1994), lo criticaron sin contemplaciones; otros, como Hempel (2001), recibieron su influencia, pero no aceptaron sus consecuencias más radicales, como la tesis de la inconmensurabilidad” (Casinni, 2013:79).</w:t>
      </w:r>
    </w:p>
    <w:p>
      <w:pPr>
        <w:pStyle w:val="BodyText"/>
      </w:pPr>
    </w:p>
    <w:p>
      <w:pPr>
        <w:pStyle w:val="BodyText"/>
        <w:spacing w:line="360" w:lineRule="auto" w:before="139"/>
        <w:ind w:left="102" w:right="117"/>
        <w:jc w:val="both"/>
        <w:rPr>
          <w:i/>
        </w:rPr>
      </w:pPr>
      <w:r>
        <w:rPr/>
        <w:t>En esta fase podemos destacar que su influencia disminuye, según Moulines (citado en Casinni, 2013), a partir de 1980 y que en la actualidad son pocos los filósofos de la ciencia que tienen conexión con las tesis historicistas. La Estructura de las Revoluciones Científicas, publicada en 1962, tuvo un impactó por demás importante en el estudio de la ciencia, ya que hasta la fecha no sólo continúa recibiendo críticas y elogios, sino además ha sido retomado para la propuesta de nuevos enfoques dentro de la filosofía de la ciencia como es el caso de Ian Hacking con su propuesta de </w:t>
      </w:r>
      <w:r>
        <w:rPr>
          <w:i/>
        </w:rPr>
        <w:t>New experimentalism.</w:t>
      </w:r>
    </w:p>
    <w:p>
      <w:pPr>
        <w:spacing w:after="0" w:line="360" w:lineRule="auto"/>
        <w:jc w:val="both"/>
        <w:sectPr>
          <w:pgSz w:w="12240" w:h="15840"/>
          <w:pgMar w:header="0" w:footer="689" w:top="1360" w:bottom="880" w:left="1600" w:right="1580"/>
        </w:sectPr>
      </w:pPr>
    </w:p>
    <w:p>
      <w:pPr>
        <w:pStyle w:val="BodyText"/>
        <w:spacing w:line="360" w:lineRule="auto" w:before="54"/>
        <w:ind w:left="102" w:right="114"/>
        <w:jc w:val="both"/>
      </w:pPr>
      <w:r>
        <w:rPr/>
        <w:t>En la </w:t>
      </w:r>
      <w:r>
        <w:rPr>
          <w:b/>
        </w:rPr>
        <w:t>Fase Modelista</w:t>
      </w:r>
      <w:r>
        <w:rPr/>
        <w:t>, que va de 1970 hasta la fecha, hay una postura en contra del relativismo extremo de algunos historiadores o sociólogos de la ciencia, a partir de 1980 se propuso el modelo científico en el centro de la filosofía de la ciencia desde la perspectiva semántica de la ciencia; posteriormente el estudio de los modelos de la ciencia se independizó y se refleja en autores que en la actualidad no se adhieren a la concepción semántica de las teorías e incluso prefieren utilizar el concepto de modelos en sustitución del de teorías.</w:t>
      </w:r>
    </w:p>
    <w:p>
      <w:pPr>
        <w:pStyle w:val="BodyText"/>
      </w:pPr>
    </w:p>
    <w:p>
      <w:pPr>
        <w:pStyle w:val="BodyText"/>
        <w:spacing w:line="360" w:lineRule="auto" w:before="142"/>
        <w:ind w:left="102" w:right="120"/>
        <w:jc w:val="both"/>
      </w:pPr>
      <w:r>
        <w:rPr/>
        <w:t>A la par de la propuesta de modelos científicos hay otras posturas alternas al relativismo extremo, como por ejemplo: “la filosofía de la  experimentación,  la lógica del descubrimiento, el antirrealismo científico, la desunidad de la ciencia, la teoría bayesiana de la confirmación y la mayoría de las concepciones de las leyes naturales y la explicación científica” (Casinni, 2013: 84).</w:t>
      </w:r>
    </w:p>
    <w:p>
      <w:pPr>
        <w:pStyle w:val="BodyText"/>
      </w:pPr>
    </w:p>
    <w:p>
      <w:pPr>
        <w:pStyle w:val="BodyText"/>
        <w:spacing w:before="139"/>
        <w:ind w:left="891" w:right="925"/>
        <w:jc w:val="both"/>
      </w:pPr>
      <w:r>
        <w:rPr/>
        <w:t>Otra parte de la comunidad metacientífica ha abogado por una filosofía de la ciencia que tome más en cuenta los factores que conducen a la formulación de teorías (uso de instrumentos, experimentos o prácticas), y no tanto, a las teorías mismas (Ian Hacking, R. J. Ackermann, P. Galison, J. Rouse, entre otros). (Lorenzano, 2011, 146)</w:t>
      </w:r>
    </w:p>
    <w:p>
      <w:pPr>
        <w:pStyle w:val="BodyText"/>
      </w:pPr>
    </w:p>
    <w:p>
      <w:pPr>
        <w:pStyle w:val="BodyText"/>
        <w:spacing w:line="360" w:lineRule="auto" w:before="141"/>
        <w:ind w:left="102" w:right="117"/>
        <w:jc w:val="both"/>
      </w:pPr>
      <w:r>
        <w:rPr/>
        <w:t>Los autores anteriormente referidos, señalan que la ciencia es una actividad que se realiza en un contexto cultural que le da una mayor complejidad y, a la vez, le otorgan mayor atención a las prácticas científicas que habían sido ignoradas en fases</w:t>
      </w:r>
      <w:r>
        <w:rPr>
          <w:spacing w:val="-6"/>
        </w:rPr>
        <w:t> </w:t>
      </w:r>
      <w:r>
        <w:rPr/>
        <w:t>anteriores.</w:t>
      </w:r>
    </w:p>
    <w:p>
      <w:pPr>
        <w:pStyle w:val="BodyText"/>
      </w:pPr>
    </w:p>
    <w:p>
      <w:pPr>
        <w:pStyle w:val="Heading1"/>
        <w:numPr>
          <w:ilvl w:val="2"/>
          <w:numId w:val="4"/>
        </w:numPr>
        <w:tabs>
          <w:tab w:pos="784" w:val="left" w:leader="none"/>
        </w:tabs>
        <w:spacing w:line="240" w:lineRule="auto" w:before="142" w:after="0"/>
        <w:ind w:left="783" w:right="0" w:hanging="681"/>
        <w:jc w:val="both"/>
      </w:pPr>
      <w:r>
        <w:rPr/>
        <w:t>Reunificación entre filosofía e historia de la</w:t>
      </w:r>
      <w:r>
        <w:rPr>
          <w:spacing w:val="-8"/>
        </w:rPr>
        <w:t> </w:t>
      </w:r>
      <w:r>
        <w:rPr/>
        <w:t>ciencia</w:t>
      </w:r>
    </w:p>
    <w:p>
      <w:pPr>
        <w:pStyle w:val="BodyText"/>
        <w:spacing w:line="360" w:lineRule="auto" w:before="139"/>
        <w:ind w:left="102" w:right="117"/>
        <w:jc w:val="both"/>
      </w:pPr>
      <w:r>
        <w:rPr/>
        <w:t>Durante la década de 1930, según Laudan (2005: 132), los filósofos de la ciencia consideraron que el positivismo lógico les proveía de un rigor metodológico y propusieron que el análisis conceptual era suficiente para la comprensión adecuada de la ciencia; pensaron que una historia detallada de la ciencia (particularmente de la ciencia anterior al siglo XX) no tenía ninguna relación con las discusiones sobre fundamentos conceptuales  y metodológicos realizadas   </w:t>
      </w:r>
      <w:r>
        <w:rPr>
          <w:spacing w:val="22"/>
        </w:rPr>
        <w:t> </w:t>
      </w:r>
      <w:r>
        <w:rPr/>
        <w:t>en</w:t>
      </w:r>
    </w:p>
    <w:p>
      <w:pPr>
        <w:spacing w:after="0" w:line="360" w:lineRule="auto"/>
        <w:jc w:val="both"/>
        <w:sectPr>
          <w:pgSz w:w="12240" w:h="15840"/>
          <w:pgMar w:header="0" w:footer="689" w:top="1360" w:bottom="880" w:left="1600" w:right="1580"/>
        </w:sectPr>
      </w:pPr>
    </w:p>
    <w:p>
      <w:pPr>
        <w:pStyle w:val="BodyText"/>
        <w:spacing w:line="360" w:lineRule="auto" w:before="54"/>
        <w:ind w:left="102" w:right="115"/>
        <w:jc w:val="both"/>
      </w:pPr>
      <w:r>
        <w:rPr/>
        <w:t>ese momento. En contra parte, los historiadores de la ciencia sostuvieron que había algunos inconvenientes en utilizar materiales históricos de aspectos particulares, dentro de un periodo de tiempo, para realizar generalizaciones sobre la naturaleza de la ciencia. Esta posición se reafirmó a afínales de la década de 1950 donde,</w:t>
      </w:r>
    </w:p>
    <w:p>
      <w:pPr>
        <w:pStyle w:val="BodyText"/>
      </w:pPr>
    </w:p>
    <w:p>
      <w:pPr>
        <w:pStyle w:val="BodyText"/>
        <w:spacing w:before="139"/>
        <w:ind w:left="891" w:right="924"/>
        <w:jc w:val="both"/>
      </w:pPr>
      <w:r>
        <w:rPr/>
        <w:t>“ …la historia y la filosofía de la ciencia se habían alejado tanto una de otra, en cuanto a sus intereses, como en algún tiempo habían estado relacionados. Los historiadores consideraron inapropiado abordar preguntas epistemológicas en sus investigaciones, mientras que los filósofos no vieron necesidad alguna en “rebajarse” a consultar los archivos históricos.” (Laudan, 2005:  132).</w:t>
      </w:r>
    </w:p>
    <w:p>
      <w:pPr>
        <w:pStyle w:val="BodyText"/>
      </w:pPr>
    </w:p>
    <w:p>
      <w:pPr>
        <w:pStyle w:val="BodyText"/>
        <w:spacing w:line="360" w:lineRule="auto" w:before="141"/>
        <w:ind w:left="102" w:right="115"/>
        <w:jc w:val="both"/>
      </w:pPr>
      <w:r>
        <w:rPr/>
        <w:t>Esta división, según Laudan (2005), se generó porque los principales representantes del empirismo lógico (como por ejemplo Carnap y Schlick) no creyeron necesario utilizar la historia para confrontar doctrinas filosóficas, lo cual tuvo repercusiones notables en la filosofía de la ciencia principalmente de la década 1950 a la de 1970, en este periodo se mantuvo la propuesta de que el conocimiento científico estaba articulado en teorías que debían ser comprobadas experimentalmente con base a evidencia empírica obtenida en diversos experimentos científicos; de esta forma “cuando las teorías están ampliamente confirmadas constituyen el conocimiento científico; mientras que los datos observacionales ofrecen una base empírica para contrastar y confirmar las teorías experimentalmente” (Suárez, 2003: 269).</w:t>
      </w:r>
    </w:p>
    <w:p>
      <w:pPr>
        <w:pStyle w:val="BodyText"/>
      </w:pPr>
    </w:p>
    <w:p>
      <w:pPr>
        <w:pStyle w:val="BodyText"/>
        <w:spacing w:line="360" w:lineRule="auto" w:before="142"/>
        <w:ind w:left="102" w:right="115"/>
        <w:jc w:val="both"/>
      </w:pPr>
      <w:r>
        <w:rPr/>
        <w:t>En la relación dicotómica entre teoría y datos observacionales, según el esquema propuesto por Suárez (2003), existe un espacio de inferencia y/o confirmación lógica en el que hay una retroalimentación de los datos experimentales hacia la teoría. Es importante recordar que la filosofía de la ciencia, en su etapa clásica, continúa con algunos de los postulados generados por la ciencia natural, particularmente de la física, por lo que el experimento es un elemento fundamental en esta concepción filosófica.</w:t>
      </w:r>
    </w:p>
    <w:p>
      <w:pPr>
        <w:spacing w:after="0" w:line="360" w:lineRule="auto"/>
        <w:jc w:val="both"/>
        <w:sectPr>
          <w:pgSz w:w="12240" w:h="15840"/>
          <w:pgMar w:header="0" w:footer="689" w:top="1360" w:bottom="880" w:left="1600" w:right="1580"/>
        </w:sectPr>
      </w:pPr>
    </w:p>
    <w:p>
      <w:pPr>
        <w:pStyle w:val="Heading1"/>
        <w:spacing w:before="52"/>
        <w:ind w:left="100" w:right="117"/>
      </w:pPr>
      <w:r>
        <w:rPr/>
        <w:t>Figura 2</w:t>
      </w:r>
    </w:p>
    <w:p>
      <w:pPr>
        <w:spacing w:before="0"/>
        <w:ind w:left="95" w:right="117" w:firstLine="0"/>
        <w:jc w:val="center"/>
        <w:rPr>
          <w:b/>
          <w:sz w:val="24"/>
        </w:rPr>
      </w:pPr>
      <w:r>
        <w:rPr>
          <w:b/>
          <w:sz w:val="24"/>
        </w:rPr>
        <w:t>Relación dicotómica entre teoría y datos experimentales</w:t>
      </w:r>
    </w:p>
    <w:p>
      <w:pPr>
        <w:pStyle w:val="BodyText"/>
        <w:rPr>
          <w:b/>
          <w:sz w:val="21"/>
        </w:rPr>
      </w:pPr>
      <w:r>
        <w:rPr/>
        <w:drawing>
          <wp:anchor distT="0" distB="0" distL="0" distR="0" allowOverlap="1" layoutInCell="1" locked="0" behindDoc="0" simplePos="0" relativeHeight="1264">
            <wp:simplePos x="0" y="0"/>
            <wp:positionH relativeFrom="page">
              <wp:posOffset>3052826</wp:posOffset>
            </wp:positionH>
            <wp:positionV relativeFrom="paragraph">
              <wp:posOffset>178397</wp:posOffset>
            </wp:positionV>
            <wp:extent cx="1651914" cy="3034950"/>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4" cstate="print"/>
                    <a:stretch>
                      <a:fillRect/>
                    </a:stretch>
                  </pic:blipFill>
                  <pic:spPr>
                    <a:xfrm>
                      <a:off x="0" y="0"/>
                      <a:ext cx="1651914" cy="3034950"/>
                    </a:xfrm>
                    <a:prstGeom prst="rect">
                      <a:avLst/>
                    </a:prstGeom>
                  </pic:spPr>
                </pic:pic>
              </a:graphicData>
            </a:graphic>
          </wp:anchor>
        </w:drawing>
      </w:r>
    </w:p>
    <w:p>
      <w:pPr>
        <w:spacing w:before="12"/>
        <w:ind w:left="96" w:right="117" w:firstLine="0"/>
        <w:jc w:val="center"/>
        <w:rPr>
          <w:sz w:val="20"/>
        </w:rPr>
      </w:pPr>
      <w:r>
        <w:rPr>
          <w:sz w:val="20"/>
        </w:rPr>
        <w:t>Fuente: Suárez (2003)</w:t>
      </w:r>
    </w:p>
    <w:p>
      <w:pPr>
        <w:pStyle w:val="BodyText"/>
        <w:rPr>
          <w:sz w:val="20"/>
        </w:rPr>
      </w:pPr>
    </w:p>
    <w:p>
      <w:pPr>
        <w:pStyle w:val="BodyText"/>
        <w:rPr>
          <w:sz w:val="16"/>
        </w:rPr>
      </w:pPr>
    </w:p>
    <w:p>
      <w:pPr>
        <w:pStyle w:val="BodyText"/>
        <w:spacing w:line="360" w:lineRule="auto"/>
        <w:ind w:left="102" w:right="116"/>
        <w:jc w:val="both"/>
      </w:pPr>
      <w:r>
        <w:rPr/>
        <w:t>Continuando con Suárez (2003), desde este enfoque la ciencia es una estructura de dos niveles de abstracción, donde la teoría ocupa el nivel más alto y los datos observacionales están en el más bajo; las teorías al estar construidas por proposiciones pueden considerarse como objetos de creencia científica a diferencia de la percepción sensorial. Desde este marco, la teoría científica está conformada por una serie de enunciados en un lenguaje lógico de primer orden en la mayoría de los casos, el cual está dividido en dos tipos: a) Lenguaje observacional y b) Lenguaje teórico.</w:t>
      </w:r>
    </w:p>
    <w:p>
      <w:pPr>
        <w:pStyle w:val="BodyText"/>
      </w:pPr>
    </w:p>
    <w:p>
      <w:pPr>
        <w:pStyle w:val="BodyText"/>
        <w:spacing w:line="360" w:lineRule="auto" w:before="142"/>
        <w:ind w:left="102" w:right="116"/>
        <w:jc w:val="both"/>
      </w:pPr>
      <w:r>
        <w:rPr/>
        <w:t>Desde la perspectiva de Suárez (2003), el lenguaje observacional está  conformado por términos como: “pesado”, “duro” o “caliente”, cuyo significado viene directamente de la observación. En contra parte los términos teóricos como “aceleración”, “carga eléctrica”, “electrón” o “campo magnético” no adquieren su significado de la observación directa, sino de un sistema de preposiciones específico con su propio sistema de referentes teóricos. De esta</w:t>
      </w:r>
      <w:r>
        <w:rPr>
          <w:spacing w:val="-17"/>
        </w:rPr>
        <w:t> </w:t>
      </w:r>
      <w:r>
        <w:rPr/>
        <w:t>forma,</w:t>
      </w:r>
    </w:p>
    <w:p>
      <w:pPr>
        <w:spacing w:after="0" w:line="360" w:lineRule="auto"/>
        <w:jc w:val="both"/>
        <w:sectPr>
          <w:pgSz w:w="12240" w:h="15840"/>
          <w:pgMar w:header="0" w:footer="689" w:top="1360" w:bottom="880" w:left="1600" w:right="1580"/>
        </w:sectPr>
      </w:pPr>
    </w:p>
    <w:p>
      <w:pPr>
        <w:pStyle w:val="BodyText"/>
        <w:spacing w:before="52"/>
        <w:ind w:left="891" w:right="929"/>
        <w:jc w:val="both"/>
      </w:pPr>
      <w:r>
        <w:rPr/>
        <w:t>“Se espera entonces que los enunciados observacionales (aquellos compuestos sólo por términos observacionales, como “la mesa es blanca”) denoten un posible estado de la parte observacional del mundo; pero el significado de un enunciado teórico no puede venir dado de esta manera. De forma muy similar, la evidencia empírica  a favor de un enunciado observacional viene dada por la observación directa del estado relevante de las cosas. Por el contrario, ni el significado ni la evidencia a favor de un enunciado teórico pueden venir completamente dados por nuestras observaciones” (Suárez, 2003:</w:t>
      </w:r>
      <w:r>
        <w:rPr>
          <w:spacing w:val="-15"/>
        </w:rPr>
        <w:t> </w:t>
      </w:r>
      <w:r>
        <w:rPr/>
        <w:t>270).</w:t>
      </w:r>
    </w:p>
    <w:p>
      <w:pPr>
        <w:pStyle w:val="BodyText"/>
      </w:pPr>
    </w:p>
    <w:p>
      <w:pPr>
        <w:pStyle w:val="BodyText"/>
        <w:spacing w:line="360" w:lineRule="auto" w:before="142"/>
        <w:ind w:left="102" w:right="112"/>
        <w:jc w:val="both"/>
      </w:pPr>
      <w:r>
        <w:rPr/>
        <w:t>Continuando con Suárez (2003), fue hasta los trabajos de Feyerabend, Kuhn y Toulmin cuando hubo una persuasión sobre los filósofos de la ciencia para  retomar la propuesta historicista, este punto de vista se fortaleció por el rechazo a algunos de los postulados que sostenían al positivismo lógico, principalmente el relacionado con la supuesta separación que hacían los científicos entre teoría y observación demandada por la objetividad de las mediciones, en donde no  debería existir ninguna carga subjetiva al momento de realizarlas. Kuhn planteó que la observación tiene una carga teórica y no hay un lenguaje científico neutro, no hay términos ni enunciados observacionales</w:t>
      </w:r>
      <w:r>
        <w:rPr>
          <w:spacing w:val="-14"/>
        </w:rPr>
        <w:t> </w:t>
      </w:r>
      <w:r>
        <w:rPr>
          <w:i/>
        </w:rPr>
        <w:t>puros</w:t>
      </w:r>
      <w:r>
        <w:rPr/>
        <w:t>.</w:t>
      </w:r>
    </w:p>
    <w:p>
      <w:pPr>
        <w:pStyle w:val="BodyText"/>
        <w:spacing w:before="5"/>
      </w:pPr>
    </w:p>
    <w:p>
      <w:pPr>
        <w:pStyle w:val="BodyText"/>
        <w:spacing w:line="360" w:lineRule="auto"/>
        <w:ind w:left="102" w:right="123"/>
        <w:jc w:val="both"/>
      </w:pPr>
      <w:r>
        <w:rPr/>
        <w:t>Para Lorenzano (2011) los filósofos de la ciencia a partir de 1960 tomaron como punto de partida el supuesto de que el significado de un enunciado teórico depende de los enunciados observacionales a los que está vinculado en una teoría; es decir cada teoría tendrá sus propios conceptos e instrumentos de medición que no podrían aplicarse en otra. También se consideró que, si bien la teoría dependía de un enunciado teórico, a la vez este último dependía de la evidencia disponible; por tal motivo, la elección de la teoría científica determina el significado y el grado de confirmación empírica de los enunciados teóricos.</w:t>
      </w:r>
    </w:p>
    <w:p>
      <w:pPr>
        <w:pStyle w:val="BodyText"/>
      </w:pPr>
    </w:p>
    <w:p>
      <w:pPr>
        <w:pStyle w:val="BodyText"/>
        <w:spacing w:before="139"/>
        <w:ind w:left="891" w:right="922"/>
        <w:jc w:val="both"/>
      </w:pPr>
      <w:r>
        <w:rPr/>
        <w:t>“La variante conocida con el nombre de “concepción estructuralista (o estructural) de las teorías”, pero también como “metateoría estructuralista (o estructural)” o simplemente “estructuralismo” o - para distinguirlo de otros tipos de “estructuralismos”– “estructuralismo metacientífico” o “estructuralismo metateórico”, es, dentro de la familia de concepciones semánticas, la que ofrece un análisis más</w:t>
      </w:r>
      <w:r>
        <w:rPr>
          <w:spacing w:val="50"/>
        </w:rPr>
        <w:t> </w:t>
      </w:r>
      <w:r>
        <w:rPr/>
        <w:t>detallado</w:t>
      </w:r>
      <w:r>
        <w:rPr>
          <w:spacing w:val="51"/>
        </w:rPr>
        <w:t> </w:t>
      </w:r>
      <w:r>
        <w:rPr/>
        <w:t>de</w:t>
      </w:r>
      <w:r>
        <w:rPr>
          <w:spacing w:val="51"/>
        </w:rPr>
        <w:t> </w:t>
      </w:r>
      <w:r>
        <w:rPr/>
        <w:t>la</w:t>
      </w:r>
      <w:r>
        <w:rPr>
          <w:spacing w:val="51"/>
        </w:rPr>
        <w:t> </w:t>
      </w:r>
      <w:r>
        <w:rPr/>
        <w:t>estructura fina</w:t>
      </w:r>
      <w:r>
        <w:rPr>
          <w:spacing w:val="51"/>
        </w:rPr>
        <w:t> </w:t>
      </w:r>
      <w:r>
        <w:rPr/>
        <w:t>de</w:t>
      </w:r>
      <w:r>
        <w:rPr>
          <w:spacing w:val="51"/>
        </w:rPr>
        <w:t> </w:t>
      </w:r>
      <w:r>
        <w:rPr/>
        <w:t>las</w:t>
      </w:r>
      <w:r>
        <w:rPr>
          <w:spacing w:val="50"/>
        </w:rPr>
        <w:t> </w:t>
      </w:r>
      <w:r>
        <w:rPr/>
        <w:t>teorías,</w:t>
      </w:r>
      <w:r>
        <w:rPr>
          <w:spacing w:val="50"/>
        </w:rPr>
        <w:t> </w:t>
      </w:r>
      <w:r>
        <w:rPr/>
        <w:t>tanto</w:t>
      </w:r>
    </w:p>
    <w:p>
      <w:pPr>
        <w:spacing w:after="0"/>
        <w:jc w:val="both"/>
        <w:sectPr>
          <w:pgSz w:w="12240" w:h="15840"/>
          <w:pgMar w:header="0" w:footer="689" w:top="1360" w:bottom="880" w:left="1600" w:right="1580"/>
        </w:sectPr>
      </w:pPr>
    </w:p>
    <w:p>
      <w:pPr>
        <w:pStyle w:val="BodyText"/>
        <w:spacing w:before="52"/>
        <w:ind w:left="911" w:right="926"/>
        <w:jc w:val="both"/>
      </w:pPr>
      <w:r>
        <w:rPr/>
        <w:t>desde un punto de vista sincrónico como diacrónico, a través tanto del tratamiento de una mayor cantidad de elementos como de una mejora en el de los previamente identificado” (Lorenzano, 2011, 148).</w:t>
      </w:r>
    </w:p>
    <w:p>
      <w:pPr>
        <w:pStyle w:val="BodyText"/>
      </w:pPr>
    </w:p>
    <w:p>
      <w:pPr>
        <w:pStyle w:val="BodyText"/>
        <w:spacing w:line="360" w:lineRule="auto" w:before="141"/>
        <w:ind w:left="122" w:right="116"/>
        <w:jc w:val="both"/>
      </w:pPr>
      <w:r>
        <w:rPr/>
        <w:t>La reintegración entre filosofía e historia de la ciencia, según Cassini (2013) se genera hasta la década de 1980 donde se reconoce los aportes de la historia de la ciencia, principalmente a través de los trabajos de Kuhn, y se resalta el contexto social en el que se realiza. En este marco hay un cambio de enfoque dentro de la filosofía de la ciencia, la estructura de las teorías científicas deja de ser el punto central, que hasta cierto punto es considerado obsoleto, para dar paso a los factores que dan origen a la formulación de teorías científicas, particularmente al estudio de las prácticas científicas.</w:t>
      </w:r>
    </w:p>
    <w:p>
      <w:pPr>
        <w:pStyle w:val="BodyText"/>
      </w:pPr>
    </w:p>
    <w:p>
      <w:pPr>
        <w:pStyle w:val="BodyText"/>
        <w:spacing w:before="139"/>
        <w:ind w:left="911" w:right="923"/>
        <w:jc w:val="both"/>
      </w:pPr>
      <w:r>
        <w:rPr/>
        <w:t>“Después del historicismo, el supuesto de que las teorías deberían ser el objeto de estudio casi excluyente de los filósofos de  la ciencia fue perdiendo terreno gradualmente. La atención se fue desplazando de las teorías a las prácticas científicas, o, en  términos de Hacking (1983), de la representación a la intervención. La filosofía de la experimentación es un buen ejemplo de este cambio. El experimento, la medición y la observación son prácticas científicas que no producen teorías y que frecuentemente no están al servicio de ellas, sino que muestran un alto grado de autonomía frente al cambio teórico” (Casinni,</w:t>
      </w:r>
      <w:r>
        <w:rPr>
          <w:spacing w:val="-11"/>
        </w:rPr>
        <w:t> </w:t>
      </w:r>
      <w:r>
        <w:rPr/>
        <w:t>2013:87).</w:t>
      </w:r>
    </w:p>
    <w:p>
      <w:pPr>
        <w:pStyle w:val="BodyText"/>
      </w:pPr>
    </w:p>
    <w:p>
      <w:pPr>
        <w:pStyle w:val="BodyText"/>
        <w:spacing w:line="352" w:lineRule="auto" w:before="141"/>
        <w:ind w:left="122" w:right="116"/>
        <w:jc w:val="both"/>
      </w:pPr>
      <w:r>
        <w:rPr/>
        <w:t>El reconocimiento de la ciencia como una actividad social y humana, tal parece que fue necesario enfatizar lo de humana porque se consideraba una actividad  con un objeto pero sin sujeto o que el sujeto debería deshumanizar a la ciencia, donde los científicos adquirieron un peso mayor en la dimensión social. En este sentido “no es la ciencia sino los científicos</w:t>
      </w:r>
      <w:r>
        <w:rPr>
          <w:position w:val="11"/>
          <w:sz w:val="16"/>
        </w:rPr>
        <w:t>5 </w:t>
      </w:r>
      <w:r>
        <w:rPr/>
        <w:t>los que conforman el tema propio de  la  narrativa  histórica”  (Laudan,  2005:  136);  dentro  de  este  enfoque   </w:t>
      </w:r>
      <w:r>
        <w:rPr>
          <w:spacing w:val="32"/>
        </w:rPr>
        <w:t> </w:t>
      </w:r>
      <w:r>
        <w:rPr/>
        <w:t>también</w:t>
      </w:r>
    </w:p>
    <w:p>
      <w:pPr>
        <w:pStyle w:val="BodyText"/>
        <w:spacing w:before="13"/>
        <w:ind w:left="122"/>
        <w:jc w:val="both"/>
      </w:pPr>
      <w:r>
        <w:rPr/>
        <w:t>podemos ubicar la función de las instituciones académicas ya que “con  frecuencia</w:t>
      </w:r>
    </w:p>
    <w:p>
      <w:pPr>
        <w:pStyle w:val="BodyText"/>
        <w:rPr>
          <w:sz w:val="20"/>
        </w:rPr>
      </w:pPr>
    </w:p>
    <w:p>
      <w:pPr>
        <w:pStyle w:val="BodyText"/>
        <w:spacing w:before="11"/>
      </w:pPr>
      <w:r>
        <w:rPr/>
        <w:pict>
          <v:line style="position:absolute;mso-position-horizontal-relative:page;mso-position-vertical-relative:paragraph;z-index:1288;mso-wrap-distance-left:0;mso-wrap-distance-right:0" from="85.103996pt,16.617987pt" to="229.123996pt,16.617987pt" stroked="true" strokeweight=".60004pt" strokecolor="#000000">
            <w10:wrap type="topAndBottom"/>
          </v:line>
        </w:pict>
      </w:r>
    </w:p>
    <w:p>
      <w:pPr>
        <w:spacing w:before="44"/>
        <w:ind w:left="122" w:right="121" w:firstLine="0"/>
        <w:jc w:val="both"/>
        <w:rPr>
          <w:sz w:val="20"/>
        </w:rPr>
      </w:pPr>
      <w:r>
        <w:rPr>
          <w:position w:val="10"/>
          <w:sz w:val="13"/>
        </w:rPr>
        <w:t>5 </w:t>
      </w:r>
      <w:r>
        <w:rPr>
          <w:sz w:val="20"/>
        </w:rPr>
        <w:t>“Estos científicos intentan erigir una profesión, se organizan en sociedades, comunidades y disciplinas. Ellos luchan entre sí por conseguir una posición y prestigio, forman  instituciones, fundan laboratorios y, sobre todo –si participan en la gran ciencia- construyen carreras políticas e imperios: se convierten en científicos políticos” (Laudan, 2005: 136).</w:t>
      </w:r>
    </w:p>
    <w:p>
      <w:pPr>
        <w:spacing w:after="0"/>
        <w:jc w:val="both"/>
        <w:rPr>
          <w:sz w:val="20"/>
        </w:rPr>
        <w:sectPr>
          <w:pgSz w:w="12240" w:h="15840"/>
          <w:pgMar w:header="0" w:footer="689" w:top="1360" w:bottom="880" w:left="1580" w:right="1580"/>
        </w:sectPr>
      </w:pPr>
    </w:p>
    <w:p>
      <w:pPr>
        <w:pStyle w:val="BodyText"/>
        <w:spacing w:line="360" w:lineRule="auto" w:before="54"/>
        <w:ind w:left="102" w:right="115"/>
        <w:jc w:val="both"/>
      </w:pPr>
      <w:r>
        <w:rPr/>
        <w:t>una disciplina científica está modelada en mucho mayor medida por estas instituciones que por la obra de los grandes científicos” (Casinni, 2013:90).</w:t>
      </w:r>
    </w:p>
    <w:p>
      <w:pPr>
        <w:pStyle w:val="BodyText"/>
        <w:spacing w:before="2"/>
      </w:pPr>
    </w:p>
    <w:p>
      <w:pPr>
        <w:pStyle w:val="Heading1"/>
        <w:numPr>
          <w:ilvl w:val="2"/>
          <w:numId w:val="4"/>
        </w:numPr>
        <w:tabs>
          <w:tab w:pos="843" w:val="left" w:leader="none"/>
        </w:tabs>
        <w:spacing w:line="360" w:lineRule="auto" w:before="0" w:after="0"/>
        <w:ind w:left="102" w:right="121" w:firstLine="0"/>
        <w:jc w:val="both"/>
      </w:pPr>
      <w:r>
        <w:rPr/>
        <w:t>c. Demarcación disciplinar  entre  la  filosofía  de  la  ciencia  frente  a la</w:t>
      </w:r>
      <w:r>
        <w:rPr>
          <w:spacing w:val="-5"/>
        </w:rPr>
        <w:t> </w:t>
      </w:r>
      <w:r>
        <w:rPr/>
        <w:t>epistemología</w:t>
      </w:r>
    </w:p>
    <w:p>
      <w:pPr>
        <w:pStyle w:val="BodyText"/>
        <w:rPr>
          <w:b/>
        </w:rPr>
      </w:pPr>
    </w:p>
    <w:p>
      <w:pPr>
        <w:pStyle w:val="BodyText"/>
        <w:spacing w:line="360" w:lineRule="auto" w:before="142"/>
        <w:ind w:left="102" w:right="117"/>
        <w:jc w:val="both"/>
      </w:pPr>
      <w:r>
        <w:rPr/>
        <w:t>Otro punto relacionado con la demarcación de la filosofía de la ciencia está vinculado a la epistemología, en primer lugar podemos referirlo como un problema de conceptuación, ya que según el país donde se realicen los estudios sobre la ciencia y su naturaleza recibe un nombre específico, tal como lo describe Lorenzano (2011):</w:t>
      </w:r>
    </w:p>
    <w:p>
      <w:pPr>
        <w:pStyle w:val="BodyText"/>
      </w:pPr>
    </w:p>
    <w:p>
      <w:pPr>
        <w:pStyle w:val="BodyText"/>
        <w:spacing w:before="139"/>
        <w:ind w:left="891" w:right="925"/>
        <w:jc w:val="both"/>
      </w:pPr>
      <w:r>
        <w:rPr/>
        <w:t>Esta disciplina metacientífica ha recibido distintos nombres. En alemán, por ejemplo, se llama “Wissenschaftstheorie”, es decir, “teoría de la ciencia”, aunque en las últimos décadas también se utiliza la expresión “Wissenschaftsphilosophie”, o sea, “filosofía de la ciencia”, por influencia de la usual denominación inglesa “philosophy of science”. En francés, se han utilizado, para referirse a esta disciplina, los términos “epistémologie” (“epistemología”) y “philosophie des sciences” (“filosofía de las ciencias”, en plural). En castellano, se solía utilizar hace algunas décadas la denominación “metodología”. Sin embargo, en la actualidad las expresiones más habituales son “epistemología” o “filosofía de la ciencia”  (Lorenzano, 2011,</w:t>
      </w:r>
      <w:r>
        <w:rPr>
          <w:spacing w:val="-15"/>
        </w:rPr>
        <w:t> </w:t>
      </w:r>
      <w:r>
        <w:rPr/>
        <w:t>134).</w:t>
      </w:r>
    </w:p>
    <w:p>
      <w:pPr>
        <w:pStyle w:val="BodyText"/>
      </w:pPr>
    </w:p>
    <w:p>
      <w:pPr>
        <w:pStyle w:val="BodyText"/>
        <w:spacing w:line="360" w:lineRule="auto" w:before="139"/>
        <w:ind w:left="102" w:right="116"/>
        <w:jc w:val="both"/>
      </w:pPr>
      <w:r>
        <w:rPr/>
        <w:t>En este sentido, se puede destacar que en países hispanoparlantes se utiliza tanto el término filosofía de la ciencia como el de epistemología, a pesar de que cada vez más hay un uso mayor de la primera forma para evitar ambigüedades que podrían llevar a significar la teorización filosófica del conocimiento en general, o teoría del conocimiento (genoseología), o la teorización filosófica del conocimiento científico en particular.</w:t>
      </w:r>
    </w:p>
    <w:p>
      <w:pPr>
        <w:pStyle w:val="BodyText"/>
      </w:pPr>
    </w:p>
    <w:p>
      <w:pPr>
        <w:pStyle w:val="BodyText"/>
        <w:spacing w:line="360" w:lineRule="auto" w:before="142"/>
        <w:ind w:left="102" w:right="116"/>
        <w:jc w:val="both"/>
      </w:pPr>
      <w:r>
        <w:rPr/>
        <w:t>La epistemología, según Olivé (2000), es la disciplina que aborda los problemas del conocimiento científico, como por ejemplo problemas de su naturaleza, condiciones de existencia e impacto en los seres humanos y la naturaleza. </w:t>
      </w:r>
      <w:r>
        <w:rPr>
          <w:spacing w:val="3"/>
        </w:rPr>
        <w:t>“La </w:t>
      </w:r>
      <w:r>
        <w:rPr/>
        <w:t>concepción tradicional de la epistemología como disciplina filosófica entendió </w:t>
      </w:r>
      <w:r>
        <w:rPr>
          <w:spacing w:val="62"/>
        </w:rPr>
        <w:t> </w:t>
      </w:r>
      <w:r>
        <w:rPr/>
        <w:t>que</w:t>
      </w:r>
    </w:p>
    <w:p>
      <w:pPr>
        <w:spacing w:after="0" w:line="360" w:lineRule="auto"/>
        <w:jc w:val="both"/>
        <w:sectPr>
          <w:pgSz w:w="12240" w:h="15840"/>
          <w:pgMar w:header="0" w:footer="689" w:top="1360" w:bottom="880" w:left="1600" w:right="1580"/>
        </w:sectPr>
      </w:pPr>
    </w:p>
    <w:p>
      <w:pPr>
        <w:pStyle w:val="BodyText"/>
        <w:spacing w:line="360" w:lineRule="auto" w:before="54"/>
        <w:ind w:left="102" w:right="116"/>
        <w:jc w:val="both"/>
      </w:pPr>
      <w:r>
        <w:rPr/>
        <w:t>su objetivo central consistía en explicitar los fundamentos del conocimiento, tanto en el sentido de las representaciones básicas indubitables a partir de las cuales era posible construir el resto de las representaciones, es decir, el resto del edificio del conocimiento humano”(Olivé y Pérez, 2011:</w:t>
      </w:r>
      <w:r>
        <w:rPr>
          <w:spacing w:val="-16"/>
        </w:rPr>
        <w:t> </w:t>
      </w:r>
      <w:r>
        <w:rPr/>
        <w:t>32).</w:t>
      </w:r>
    </w:p>
    <w:p>
      <w:pPr>
        <w:pStyle w:val="BodyText"/>
      </w:pPr>
    </w:p>
    <w:p>
      <w:pPr>
        <w:pStyle w:val="BodyText"/>
        <w:spacing w:line="360" w:lineRule="auto" w:before="142"/>
        <w:ind w:left="102" w:right="116"/>
        <w:jc w:val="both"/>
      </w:pPr>
      <w:r>
        <w:rPr/>
        <w:t>En el ámbito de paradigmas metacientíficos, la demarcación entre filosofía de la ciencia y epistemología se realiza por causa de un cambio de paradigma en el estudio de la ciencia cuyo principal representante es </w:t>
      </w:r>
      <w:r>
        <w:rPr>
          <w:i/>
        </w:rPr>
        <w:t>Ian Hacking</w:t>
      </w:r>
      <w:r>
        <w:rPr/>
        <w:t>, el cual establece que la ciencia no puede reducirse al desarrollo y contrastación de teorías, sino además implica las prácticas que llevan a cabo los científicos. De esta forma, la epistemología se concentraría sólo en la parte de la estructura y contrastación de teorías, mientras que la filosofía de la ciencia también consideraría las prácticas llevadas por los científicos; de esta demarcación hay posturas que establecen a la filosofía de la ciencia como una superación de la epistemología a partir de sus postulados alternos.</w:t>
      </w:r>
    </w:p>
    <w:p>
      <w:pPr>
        <w:pStyle w:val="BodyText"/>
      </w:pPr>
    </w:p>
    <w:p>
      <w:pPr>
        <w:pStyle w:val="BodyText"/>
        <w:spacing w:line="360" w:lineRule="auto" w:before="142"/>
        <w:ind w:left="102" w:right="113"/>
        <w:jc w:val="both"/>
      </w:pPr>
      <w:r>
        <w:rPr/>
        <w:t>Este apartado concerniente a la filosofía de la ciencia nos permitió advertir el contexto complejo en el que se desenvuelve para resaltar que está en constante dinamismo, señalamos que como cualquier conceptuación existe una diversidad de significados que aumentan conforme a su uso en el entendido de que </w:t>
      </w:r>
      <w:r>
        <w:rPr>
          <w:spacing w:val="4"/>
        </w:rPr>
        <w:t>hay </w:t>
      </w:r>
      <w:r>
        <w:rPr/>
        <w:t>particularidades atribuidas en algunos</w:t>
      </w:r>
      <w:r>
        <w:rPr>
          <w:spacing w:val="-14"/>
        </w:rPr>
        <w:t> </w:t>
      </w:r>
      <w:r>
        <w:rPr/>
        <w:t>países.</w:t>
      </w:r>
    </w:p>
    <w:p>
      <w:pPr>
        <w:pStyle w:val="BodyText"/>
      </w:pPr>
    </w:p>
    <w:p>
      <w:pPr>
        <w:pStyle w:val="Heading1"/>
        <w:numPr>
          <w:ilvl w:val="1"/>
          <w:numId w:val="5"/>
        </w:numPr>
        <w:tabs>
          <w:tab w:pos="575" w:val="left" w:leader="none"/>
        </w:tabs>
        <w:spacing w:line="240" w:lineRule="auto" w:before="142" w:after="0"/>
        <w:ind w:left="574" w:right="0" w:hanging="472"/>
        <w:jc w:val="both"/>
      </w:pPr>
      <w:r>
        <w:rPr/>
        <w:t>Aspectos de la</w:t>
      </w:r>
      <w:r>
        <w:rPr>
          <w:spacing w:val="-10"/>
        </w:rPr>
        <w:t> </w:t>
      </w:r>
      <w:r>
        <w:rPr/>
        <w:t>ciencia</w:t>
      </w:r>
    </w:p>
    <w:p>
      <w:pPr>
        <w:pStyle w:val="BodyText"/>
        <w:spacing w:line="360" w:lineRule="auto" w:before="140"/>
        <w:ind w:left="102" w:right="114"/>
        <w:jc w:val="both"/>
      </w:pPr>
      <w:r>
        <w:rPr/>
        <w:t>Los apartados anteriores fueron elaborados con el objetivo de establecer que la filosofía de la ciencia es nuestro hilo conductor en el estudio metacientífico de la Investigación Urbana en Latinoamérica. Para definir a la filosofía de la ciencia fue necesario establecer las fases de su desarrollo para conocer sus alcances y características y, posteriormente, se hizo una demarcación disciplinar frente a la historia de la filosofía y la epistemología para superar las pugnas entre ellas y advertir los nuevos postulados que dan a la filosofía de la ciencia contemporánea un papel sobresaliente respecto a la epistemología.</w:t>
      </w:r>
    </w:p>
    <w:p>
      <w:pPr>
        <w:spacing w:after="0" w:line="360" w:lineRule="auto"/>
        <w:jc w:val="both"/>
        <w:sectPr>
          <w:pgSz w:w="12240" w:h="15840"/>
          <w:pgMar w:header="0" w:footer="689" w:top="1360" w:bottom="880" w:left="1600" w:right="1580"/>
        </w:sectPr>
      </w:pPr>
    </w:p>
    <w:p>
      <w:pPr>
        <w:pStyle w:val="BodyText"/>
        <w:spacing w:before="7"/>
        <w:rPr>
          <w:sz w:val="22"/>
        </w:rPr>
      </w:pPr>
    </w:p>
    <w:p>
      <w:pPr>
        <w:pStyle w:val="BodyText"/>
        <w:spacing w:line="360" w:lineRule="auto" w:before="69"/>
        <w:ind w:left="102" w:right="115"/>
        <w:jc w:val="both"/>
      </w:pPr>
      <w:r>
        <w:rPr/>
        <w:t>El estudio de la ciencia por parte de la filosofía de la ciencia nos lleva a preguntarnos ¿qué es ciencia? y ¿cuáles son sus características? La definición de ciencia se genera a partir de la afinidad de los enfoques dentro de las disciplinas metacientíficas y científicas, en el último caso ya sea hacia las ciencias naturales o sociales. “La ciencia no puede definirse entre lo que es y no es ciencia, esto es: a través de criterios de demarcación entre lo científico y lo pseudocientífico” (Olivé, 2000: 14); ya que dependiendo de cada postura, para algunas los procesos de análisis pueden ser científicos, para otras, de forma paradójica, ese mismo proceso podría ser no</w:t>
      </w:r>
      <w:r>
        <w:rPr>
          <w:spacing w:val="-6"/>
        </w:rPr>
        <w:t> </w:t>
      </w:r>
      <w:r>
        <w:rPr/>
        <w:t>científico.</w:t>
      </w:r>
    </w:p>
    <w:p>
      <w:pPr>
        <w:pStyle w:val="BodyText"/>
      </w:pPr>
    </w:p>
    <w:p>
      <w:pPr>
        <w:pStyle w:val="BodyText"/>
        <w:spacing w:line="360" w:lineRule="auto" w:before="142"/>
        <w:ind w:left="102" w:right="124"/>
        <w:jc w:val="both"/>
      </w:pPr>
      <w:r>
        <w:rPr/>
        <w:t>De esta forma el término ciencia “por una parte se refiere a un cuerpo de conocimiento, y por la otra a un conjunto de reglas por las que puede obtenerse este conocimiento; en ninguno de los dos sentidos el significado de la palabra queda establecido a la perfección, y ciertamente sería un error pretender que fuera en otra forma” (Richards, 1987: 17).</w:t>
      </w:r>
    </w:p>
    <w:p>
      <w:pPr>
        <w:pStyle w:val="BodyText"/>
      </w:pPr>
    </w:p>
    <w:p>
      <w:pPr>
        <w:pStyle w:val="BodyText"/>
        <w:spacing w:line="360" w:lineRule="auto" w:before="142"/>
        <w:ind w:left="102" w:right="119"/>
        <w:jc w:val="both"/>
      </w:pPr>
      <w:r>
        <w:rPr/>
        <w:t>Podemos plantear, con cierta prudencia, la recuperación de la dinámica propia de la interpretación de ciencia, ya que el concepto hace referencia a distintos procesos relacionados entre sí, los cuales pueden ser entendidos  como actividades específicas que generan </w:t>
      </w:r>
      <w:r>
        <w:rPr>
          <w:i/>
        </w:rPr>
        <w:t>imágenes </w:t>
      </w:r>
      <w:r>
        <w:rPr/>
        <w:t>sobre su quehacer cotidiano. A pesar de estar frente a un escenario donde convergen diferentes posturas  y formas de interpretación, existe un aspecto en común para la mayoría de los términos de ciencia, ya que “se refieren al conocimiento de un aspecto del mundo dando por cierta la existencia del </w:t>
      </w:r>
      <w:r>
        <w:rPr>
          <w:i/>
        </w:rPr>
        <w:t>mundo exterior</w:t>
      </w:r>
      <w:r>
        <w:rPr/>
        <w:t>” (Richards, 1987: 19).</w:t>
      </w:r>
    </w:p>
    <w:p>
      <w:pPr>
        <w:pStyle w:val="BodyText"/>
      </w:pPr>
    </w:p>
    <w:p>
      <w:pPr>
        <w:pStyle w:val="BodyText"/>
        <w:spacing w:line="360" w:lineRule="auto" w:before="144"/>
        <w:ind w:left="102" w:right="115"/>
        <w:jc w:val="both"/>
      </w:pPr>
      <w:r>
        <w:rPr/>
        <w:t>Pero justo en este momento es importante puntualizar que la ciencia tampoco es un simple acaparamiento de conocimientos, sino que “una de sus características fundamentales es tener esos conocimientos sistematizados” (Cerejido, 1994: 103), “la ciencia puede considerarse como un sistema para producir conocimiento del mundo y para intervenir en él con base en dicho conocimiento” (Olivé, 2000: 27).</w:t>
      </w:r>
    </w:p>
    <w:p>
      <w:pPr>
        <w:spacing w:after="0" w:line="360" w:lineRule="auto"/>
        <w:jc w:val="both"/>
        <w:sectPr>
          <w:pgSz w:w="12240" w:h="15840"/>
          <w:pgMar w:header="0" w:footer="689" w:top="1500" w:bottom="880" w:left="1600" w:right="1580"/>
        </w:sectPr>
      </w:pPr>
    </w:p>
    <w:p>
      <w:pPr>
        <w:pStyle w:val="BodyText"/>
        <w:spacing w:before="7"/>
        <w:rPr>
          <w:sz w:val="22"/>
        </w:rPr>
      </w:pPr>
    </w:p>
    <w:p>
      <w:pPr>
        <w:pStyle w:val="BodyText"/>
        <w:spacing w:line="360" w:lineRule="auto" w:before="69"/>
        <w:ind w:left="102" w:right="119"/>
        <w:jc w:val="both"/>
      </w:pPr>
      <w:r>
        <w:rPr/>
        <w:t>Así en la construcción del discurso científico existe una relación compleja entre mundo real y proceso cognitivo, de la cual podemos inferir que “no hay una categoría general de ciencia, ni un único concepto indisputable de verdad, ni un único método científico” (Cerejido, 1994: 105). Principalmente si nos observamos como integrantes de una comunidad que, dentro de nichos científicos y espacios intelectuales, suelen interactuar sobre una zona de la realidad.</w:t>
      </w:r>
    </w:p>
    <w:p>
      <w:pPr>
        <w:pStyle w:val="BodyText"/>
      </w:pPr>
    </w:p>
    <w:p>
      <w:pPr>
        <w:pStyle w:val="BodyText"/>
        <w:spacing w:before="140"/>
        <w:ind w:left="1071" w:right="924"/>
        <w:jc w:val="both"/>
      </w:pPr>
      <w:r>
        <w:rPr/>
        <w:t>... la ciencia deviene en territorios de dominio donde, además de crecer el conocimiento se separa una zona de la realidad, se la posee en exclusiva, se le administra y usufructúa. Se la convierte en “objeto” de conocimiento y se edifica un aparato dedicado a  dar cuenta de lo que allí pasa o deja de pasar (Gutiérrez, 1998: 644).</w:t>
      </w:r>
    </w:p>
    <w:p>
      <w:pPr>
        <w:pStyle w:val="BodyText"/>
      </w:pPr>
    </w:p>
    <w:p>
      <w:pPr>
        <w:pStyle w:val="BodyText"/>
        <w:spacing w:line="360" w:lineRule="auto" w:before="141"/>
        <w:ind w:left="102" w:right="127"/>
        <w:jc w:val="both"/>
      </w:pPr>
      <w:r>
        <w:rPr/>
        <w:t>Ahora bien, dentro de los conceptos de ciencia existe el conocimiento como piedra angular por ser el resultado de esta actividad intelectual, por lo cual es necesario detenernos un poco para identificar sus particularidades.</w:t>
      </w:r>
    </w:p>
    <w:p>
      <w:pPr>
        <w:pStyle w:val="BodyText"/>
      </w:pPr>
    </w:p>
    <w:p>
      <w:pPr>
        <w:pStyle w:val="BodyText"/>
        <w:spacing w:line="360" w:lineRule="auto" w:before="142"/>
        <w:ind w:left="102" w:right="115"/>
        <w:jc w:val="both"/>
      </w:pPr>
      <w:r>
        <w:rPr/>
        <w:t>El conocimiento según Villoro (1998) es definido “como un proceso psíquico que acontece en la mente de un hombre y es también un producto colectivo social”; dentro de este proceso existe una distinción entre el conocimiento cognoscitivo — generado principalmente a través de la religión, el arte, la moral, la literatura y el sentido común— frente al </w:t>
      </w:r>
      <w:r>
        <w:rPr>
          <w:i/>
        </w:rPr>
        <w:t>saber científico; </w:t>
      </w:r>
      <w:r>
        <w:rPr/>
        <w:t>por consiguiente contamos con otras formas de conocimiento que dentro de sus ámbitos no son menos importantes que el científico. Ya que,</w:t>
      </w:r>
    </w:p>
    <w:p>
      <w:pPr>
        <w:pStyle w:val="BodyText"/>
      </w:pPr>
    </w:p>
    <w:p>
      <w:pPr>
        <w:pStyle w:val="BodyText"/>
        <w:spacing w:before="139"/>
        <w:ind w:left="1071" w:right="925"/>
        <w:jc w:val="both"/>
      </w:pPr>
      <w:r>
        <w:rPr/>
        <w:t>Por una parte, el discurso científico supone un conocimiento anterior a cualquier teoría sistemática: se levanta sobre la base  de un conocimiento natural, previo a la ciencia compartido por todos los hombres. La frontera entre ese conocimiento y el saber científico es, a menudo, artificial, porque las operaciones de conocimiento de uno y otro no son esencialmente heterogéneas. La ciencia suele añadir precisión y control racionales a procedimientos cognoscitivos ya usados para resolver problemas de la vida práctica cotidiana (Villoro, 1998:</w:t>
      </w:r>
      <w:r>
        <w:rPr>
          <w:spacing w:val="-16"/>
        </w:rPr>
        <w:t> </w:t>
      </w:r>
      <w:r>
        <w:rPr/>
        <w:t>21)</w:t>
      </w:r>
    </w:p>
    <w:p>
      <w:pPr>
        <w:spacing w:after="0"/>
        <w:jc w:val="both"/>
        <w:sectPr>
          <w:pgSz w:w="12240" w:h="15840"/>
          <w:pgMar w:header="0" w:footer="689" w:top="1500" w:bottom="880" w:left="1600" w:right="1580"/>
        </w:sectPr>
      </w:pPr>
    </w:p>
    <w:p>
      <w:pPr>
        <w:pStyle w:val="BodyText"/>
        <w:spacing w:before="7"/>
        <w:rPr>
          <w:sz w:val="22"/>
        </w:rPr>
      </w:pPr>
    </w:p>
    <w:p>
      <w:pPr>
        <w:pStyle w:val="BodyText"/>
        <w:spacing w:line="360" w:lineRule="auto" w:before="69"/>
        <w:ind w:left="102" w:right="116"/>
        <w:jc w:val="both"/>
      </w:pPr>
      <w:r>
        <w:rPr/>
        <w:t>En términos coloquiales podríamos decir que dentro de nuestra mente se generan procesos que nos permiten recordar, valorar e imaginar situaciones sobre las acciones que vamos a desarrollar; de igual forma, contamos con un procedimiento para la explicación de algo a partir de la información que hemos agrupado. Siendo que</w:t>
      </w:r>
    </w:p>
    <w:p>
      <w:pPr>
        <w:pStyle w:val="BodyText"/>
      </w:pPr>
    </w:p>
    <w:p>
      <w:pPr>
        <w:pStyle w:val="BodyText"/>
        <w:spacing w:before="139"/>
        <w:ind w:left="1071" w:right="929"/>
        <w:jc w:val="both"/>
      </w:pPr>
      <w:r>
        <w:rPr/>
        <w:t>“la dinámica psicológica de nuestra actividad intelectual tiende a seleccionar, en cada observación, no cualquier realidad potencialmente útil, sino sólo aquella que posee un significado personal actual. Este significado personal es fruto de nuestra formación previa, de las expectativas teoréticas adquiridas y de los intereses, valores, actitudes, creencias, necesidades, ideales  y temores que hayamos asimilado” (Martínez, 1999:</w:t>
      </w:r>
      <w:r>
        <w:rPr>
          <w:spacing w:val="-23"/>
        </w:rPr>
        <w:t> </w:t>
      </w:r>
      <w:r>
        <w:rPr/>
        <w:t>47).</w:t>
      </w:r>
    </w:p>
    <w:p>
      <w:pPr>
        <w:pStyle w:val="BodyText"/>
      </w:pPr>
    </w:p>
    <w:p>
      <w:pPr>
        <w:pStyle w:val="BodyText"/>
        <w:spacing w:line="360" w:lineRule="auto" w:before="139"/>
        <w:ind w:left="102" w:right="116"/>
        <w:jc w:val="both"/>
      </w:pPr>
      <w:r>
        <w:rPr/>
        <w:t>Así, en la generación de conocimiento existen “formas interpretativas sobre la realidad</w:t>
      </w:r>
      <w:r>
        <w:rPr>
          <w:color w:val="0000FF"/>
        </w:rPr>
        <w:t>, </w:t>
      </w:r>
      <w:r>
        <w:rPr/>
        <w:t>entendidas como el conjunto de interpretaciones en un periodo determinado, por lo cual, podemos decir que no hay una realidad única, sino maneras diferentes de concebirla, en donde los sistemas explicativos son el resultado y argumentación de determinado periodo” (Maffesoli, 1985: 28).</w:t>
      </w:r>
    </w:p>
    <w:p>
      <w:pPr>
        <w:pStyle w:val="BodyText"/>
      </w:pPr>
    </w:p>
    <w:p>
      <w:pPr>
        <w:pStyle w:val="BodyText"/>
        <w:spacing w:line="360" w:lineRule="auto" w:before="142"/>
        <w:ind w:left="102" w:right="119"/>
        <w:jc w:val="both"/>
      </w:pPr>
      <w:r>
        <w:rPr/>
        <w:t>Si el conocimiento científico puede ser entendido como la explicación de un proceso real a través de construcciones cognitivas, entonces éste “será siempre el resultado o fruto de una interacción dialéctica, de un diálogo entre ambos componentes: imagen física de la realidad exterior y contexto personal interior, objeto y sujeto” (Martínez, 1999: 59).</w:t>
      </w:r>
    </w:p>
    <w:p>
      <w:pPr>
        <w:pStyle w:val="BodyText"/>
      </w:pPr>
    </w:p>
    <w:p>
      <w:pPr>
        <w:pStyle w:val="BodyText"/>
        <w:spacing w:line="360" w:lineRule="auto" w:before="142"/>
        <w:ind w:left="102" w:right="117"/>
        <w:jc w:val="both"/>
      </w:pPr>
      <w:r>
        <w:rPr/>
        <w:t>Podemos inferir que los hechos de la “realidad externa” existen independientemente de nuestros juicios y que mediante la comparación con esos hechos (en la medida en que podamos asegurarnos de ellos) nuestros juicios han de ser evaluados. Un ejemplo está dado por el término complejidad, ya  que cuando el investigador trajo la idea de la complejidad, el mundo “real” no creó ni ordenó dichas funciones a esa manera, ni mucho menos las multiplicó, sino que sólo  el  investigador  creó  los  marcos  explicativos  a  partir  de  la  superación de</w:t>
      </w:r>
    </w:p>
    <w:p>
      <w:pPr>
        <w:spacing w:after="0" w:line="360" w:lineRule="auto"/>
        <w:jc w:val="both"/>
        <w:sectPr>
          <w:pgSz w:w="12240" w:h="15840"/>
          <w:pgMar w:header="0" w:footer="689" w:top="1500" w:bottom="880" w:left="1600" w:right="1580"/>
        </w:sectPr>
      </w:pPr>
    </w:p>
    <w:p>
      <w:pPr>
        <w:pStyle w:val="BodyText"/>
        <w:spacing w:line="360" w:lineRule="auto" w:before="54"/>
        <w:ind w:left="102" w:right="120"/>
        <w:jc w:val="both"/>
      </w:pPr>
      <w:r>
        <w:rPr/>
        <w:t>barreras para dar otras explicaciones. Esta relación entre la realidad interna (individual) y lo real externo lo podemos ejemplificar en la siguiente figura:</w:t>
      </w:r>
    </w:p>
    <w:p>
      <w:pPr>
        <w:pStyle w:val="BodyText"/>
      </w:pPr>
    </w:p>
    <w:p>
      <w:pPr>
        <w:pStyle w:val="Heading1"/>
        <w:spacing w:before="139" w:after="4"/>
        <w:ind w:left="3167" w:right="3166" w:firstLine="885"/>
        <w:jc w:val="left"/>
      </w:pPr>
      <w:r>
        <w:rPr/>
        <w:t>Figura 3 Relación sujeto - objeto</w:t>
      </w:r>
    </w:p>
    <w:p>
      <w:pPr>
        <w:pStyle w:val="BodyText"/>
        <w:ind w:left="2380"/>
        <w:rPr>
          <w:sz w:val="20"/>
        </w:rPr>
      </w:pPr>
      <w:r>
        <w:rPr>
          <w:sz w:val="20"/>
        </w:rPr>
        <w:drawing>
          <wp:inline distT="0" distB="0" distL="0" distR="0">
            <wp:extent cx="2677682" cy="1765268"/>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5" cstate="print"/>
                    <a:stretch>
                      <a:fillRect/>
                    </a:stretch>
                  </pic:blipFill>
                  <pic:spPr>
                    <a:xfrm>
                      <a:off x="0" y="0"/>
                      <a:ext cx="2677682" cy="1765268"/>
                    </a:xfrm>
                    <a:prstGeom prst="rect">
                      <a:avLst/>
                    </a:prstGeom>
                  </pic:spPr>
                </pic:pic>
              </a:graphicData>
            </a:graphic>
          </wp:inline>
        </w:drawing>
      </w:r>
      <w:r>
        <w:rPr>
          <w:sz w:val="20"/>
        </w:rPr>
      </w:r>
    </w:p>
    <w:p>
      <w:pPr>
        <w:spacing w:before="40"/>
        <w:ind w:left="98" w:right="117" w:firstLine="0"/>
        <w:jc w:val="center"/>
        <w:rPr>
          <w:sz w:val="20"/>
        </w:rPr>
      </w:pPr>
      <w:r>
        <w:rPr>
          <w:sz w:val="20"/>
        </w:rPr>
        <w:t>Fuente: Elaboración propia a partir de Olivé y Pérez (2011)</w:t>
      </w:r>
    </w:p>
    <w:p>
      <w:pPr>
        <w:pStyle w:val="BodyText"/>
        <w:rPr>
          <w:sz w:val="20"/>
        </w:rPr>
      </w:pPr>
    </w:p>
    <w:p>
      <w:pPr>
        <w:pStyle w:val="BodyText"/>
        <w:rPr>
          <w:sz w:val="16"/>
        </w:rPr>
      </w:pPr>
    </w:p>
    <w:p>
      <w:pPr>
        <w:pStyle w:val="BodyText"/>
        <w:spacing w:line="360" w:lineRule="auto"/>
        <w:ind w:left="102" w:right="112"/>
        <w:jc w:val="both"/>
      </w:pPr>
      <w:r>
        <w:rPr/>
        <w:t>Esta relación entre sujeto objeto puede la podemos caracterizar con el término “dialéctica”, de donde se deberá decir que “la unidad del patrimonio científico- técnico es esencialmente una unidad dialéctica” (Geymonat, 1993).</w:t>
      </w:r>
    </w:p>
    <w:p>
      <w:pPr>
        <w:pStyle w:val="BodyText"/>
      </w:pPr>
    </w:p>
    <w:p>
      <w:pPr>
        <w:pStyle w:val="BodyText"/>
        <w:spacing w:before="140"/>
        <w:ind w:left="918" w:right="985"/>
        <w:jc w:val="both"/>
      </w:pPr>
      <w:r>
        <w:rPr/>
        <w:t>“No diferenciar entre objetos de investigación y objetos reales, es no entender adecuadamente el problema de que, un objeto real es aludido o puede ser aludido en múltiples objetos de investigación [que podríamos llamar objetos de estudio] de la misma disciplina de conocimiento o de diferentes y, no sólo eso, el mismo objeto es apropiado de diferentes modos, no sólo desde distintas disciplinas científicas sino también desde una sola” (Covarrubias,</w:t>
      </w:r>
      <w:r>
        <w:rPr>
          <w:spacing w:val="-18"/>
        </w:rPr>
        <w:t> </w:t>
      </w:r>
      <w:r>
        <w:rPr/>
        <w:t>2010:24).</w:t>
      </w:r>
    </w:p>
    <w:p>
      <w:pPr>
        <w:pStyle w:val="BodyText"/>
      </w:pPr>
    </w:p>
    <w:p>
      <w:pPr>
        <w:pStyle w:val="BodyText"/>
        <w:spacing w:line="362" w:lineRule="auto" w:before="139"/>
        <w:ind w:left="102" w:right="117"/>
        <w:jc w:val="both"/>
      </w:pPr>
      <w:r>
        <w:rPr/>
        <w:t>En este sentido, a partir de Olivé y Pérez (2011), propongo que en esta relación entre objeto real y objeto de investigación identificamos cuatro niveles de reflexión:</w:t>
      </w:r>
    </w:p>
    <w:p>
      <w:pPr>
        <w:pStyle w:val="BodyText"/>
        <w:spacing w:line="360" w:lineRule="auto"/>
        <w:ind w:left="102" w:right="119"/>
        <w:jc w:val="both"/>
      </w:pPr>
      <w:r>
        <w:rPr/>
        <w:t>a) La forma en que se concibe la </w:t>
      </w:r>
      <w:r>
        <w:rPr>
          <w:i/>
        </w:rPr>
        <w:t>realidad; </w:t>
      </w:r>
      <w:r>
        <w:rPr/>
        <w:t>b) La identificación de un fenómeno social; c) La delimitación de una disciplina; y, d) La construcción de un objeto de estudio. Sin duda estos procesos mentales no se dan por separado o como una especie de etapas a cumplir, sino todo lo contrario se dan de forma conjunta, en la figura 4 se ejemplifican los procesos a los que hacemos referencia.</w:t>
      </w:r>
    </w:p>
    <w:p>
      <w:pPr>
        <w:spacing w:after="0" w:line="360" w:lineRule="auto"/>
        <w:jc w:val="both"/>
        <w:sectPr>
          <w:pgSz w:w="12240" w:h="15840"/>
          <w:pgMar w:header="0" w:footer="689" w:top="1360" w:bottom="880" w:left="1600" w:right="1580"/>
        </w:sectPr>
      </w:pPr>
    </w:p>
    <w:p>
      <w:pPr>
        <w:pStyle w:val="Heading1"/>
        <w:spacing w:before="52"/>
        <w:ind w:left="2252" w:right="2260" w:firstLine="1800"/>
        <w:jc w:val="left"/>
      </w:pPr>
      <w:r>
        <w:rPr/>
        <w:t>Figura 4 Construcciones a partir del real externo</w:t>
      </w:r>
    </w:p>
    <w:p>
      <w:pPr>
        <w:pStyle w:val="BodyText"/>
        <w:rPr>
          <w:b/>
          <w:sz w:val="21"/>
        </w:rPr>
      </w:pPr>
      <w:r>
        <w:rPr/>
        <w:drawing>
          <wp:anchor distT="0" distB="0" distL="0" distR="0" allowOverlap="1" layoutInCell="1" locked="0" behindDoc="0" simplePos="0" relativeHeight="1312">
            <wp:simplePos x="0" y="0"/>
            <wp:positionH relativeFrom="page">
              <wp:posOffset>2179320</wp:posOffset>
            </wp:positionH>
            <wp:positionV relativeFrom="paragraph">
              <wp:posOffset>178397</wp:posOffset>
            </wp:positionV>
            <wp:extent cx="3535761" cy="2514600"/>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6" cstate="print"/>
                    <a:stretch>
                      <a:fillRect/>
                    </a:stretch>
                  </pic:blipFill>
                  <pic:spPr>
                    <a:xfrm>
                      <a:off x="0" y="0"/>
                      <a:ext cx="3535761" cy="2514600"/>
                    </a:xfrm>
                    <a:prstGeom prst="rect">
                      <a:avLst/>
                    </a:prstGeom>
                  </pic:spPr>
                </pic:pic>
              </a:graphicData>
            </a:graphic>
          </wp:anchor>
        </w:drawing>
      </w:r>
    </w:p>
    <w:p>
      <w:pPr>
        <w:pStyle w:val="BodyText"/>
        <w:spacing w:before="5"/>
        <w:rPr>
          <w:b/>
          <w:sz w:val="31"/>
        </w:rPr>
      </w:pPr>
    </w:p>
    <w:p>
      <w:pPr>
        <w:spacing w:before="0"/>
        <w:ind w:left="4230" w:right="374" w:hanging="3858"/>
        <w:jc w:val="left"/>
        <w:rPr>
          <w:sz w:val="20"/>
        </w:rPr>
      </w:pPr>
      <w:r>
        <w:rPr>
          <w:sz w:val="20"/>
        </w:rPr>
        <w:t>Fuente: Elaboración propia a partir de Sokal, Alan y Jean Bricmont (1999) y Zemelman, Hugo (1987)</w:t>
      </w:r>
    </w:p>
    <w:p>
      <w:pPr>
        <w:pStyle w:val="BodyText"/>
        <w:rPr>
          <w:sz w:val="20"/>
        </w:rPr>
      </w:pPr>
    </w:p>
    <w:p>
      <w:pPr>
        <w:pStyle w:val="BodyText"/>
        <w:rPr>
          <w:sz w:val="20"/>
        </w:rPr>
      </w:pPr>
    </w:p>
    <w:p>
      <w:pPr>
        <w:pStyle w:val="BodyText"/>
        <w:rPr>
          <w:sz w:val="20"/>
        </w:rPr>
      </w:pPr>
    </w:p>
    <w:p>
      <w:pPr>
        <w:pStyle w:val="BodyText"/>
        <w:spacing w:line="360" w:lineRule="auto" w:before="137"/>
        <w:ind w:left="102" w:right="118"/>
        <w:jc w:val="both"/>
      </w:pPr>
      <w:r>
        <w:rPr/>
        <w:t>Identificamos a </w:t>
      </w:r>
      <w:r>
        <w:rPr>
          <w:i/>
        </w:rPr>
        <w:t>la realidad </w:t>
      </w:r>
      <w:r>
        <w:rPr/>
        <w:t>como primera construcción cognitiva en la que convergen condiciones societales (culturales, tecnológicas, ideológicas e institucionales) que definen la concepción del investigador sobre su forma de participación e intervención en el mundo </w:t>
      </w:r>
      <w:r>
        <w:rPr>
          <w:i/>
        </w:rPr>
        <w:t>real </w:t>
      </w:r>
      <w:r>
        <w:rPr/>
        <w:t>en términos generales. El investigador se ubica como sujeto en el mundo físico; “la dinámica psicológica de nuestra actividad intelectual tiende a seleccionar, en cada observación, no cualquier realidad potencialmente útil, sino sólo aquella que posee un significado personal actual.</w:t>
      </w:r>
    </w:p>
    <w:p>
      <w:pPr>
        <w:pStyle w:val="BodyText"/>
      </w:pPr>
    </w:p>
    <w:p>
      <w:pPr>
        <w:pStyle w:val="BodyText"/>
        <w:spacing w:line="360" w:lineRule="auto" w:before="142"/>
        <w:ind w:left="102" w:right="115"/>
        <w:jc w:val="both"/>
      </w:pPr>
      <w:r>
        <w:rPr/>
        <w:t>Este significado personal es fruto de nuestra formación previa, de las expectativas teoréticas adquiridas y de los intereses, valores, actitudes,  creencias, necesidades, ideales y temores que hayamos asimilado” (Martínez, 1999: 47).</w:t>
      </w:r>
    </w:p>
    <w:p>
      <w:pPr>
        <w:pStyle w:val="BodyText"/>
      </w:pPr>
    </w:p>
    <w:p>
      <w:pPr>
        <w:pStyle w:val="BodyText"/>
        <w:spacing w:line="360" w:lineRule="auto" w:before="142"/>
        <w:ind w:left="102" w:right="117"/>
        <w:jc w:val="both"/>
      </w:pPr>
      <w:r>
        <w:rPr/>
        <w:t>El fenómeno social puede ser entendido como la visión de la relación entre naturaleza y la sociedad donde convergen procesos, objetos y personas; es decir, es un conjunto de condiciones que dan origen a las características  de convivencia</w:t>
      </w:r>
    </w:p>
    <w:p>
      <w:pPr>
        <w:spacing w:after="0" w:line="360" w:lineRule="auto"/>
        <w:jc w:val="both"/>
        <w:sectPr>
          <w:pgSz w:w="12240" w:h="15840"/>
          <w:pgMar w:header="0" w:footer="689" w:top="1360" w:bottom="880" w:left="1600" w:right="1580"/>
        </w:sectPr>
      </w:pPr>
    </w:p>
    <w:p>
      <w:pPr>
        <w:pStyle w:val="BodyText"/>
        <w:spacing w:line="360" w:lineRule="auto" w:before="54"/>
        <w:ind w:left="102" w:right="116"/>
        <w:jc w:val="both"/>
      </w:pPr>
      <w:r>
        <w:rPr/>
        <w:t>social en un espacio específico. En razón de lo anterior, a la disciplina podemos ubicarla como el desarrollo de la actividad intelectual del estudio de un fenómeno social. El objeto de estudio, a grandes rasgos, es la forma en que definimos o delimitamos la aprehensión de un fenómeno social. Aquí es importante hacer la distinción con el caso de estudio, el cual corresponde a un caso específico para ser estudiado, en el caso de la ciencia social se debe establecer la temporalidad, espacio y grupo de</w:t>
      </w:r>
      <w:r>
        <w:rPr>
          <w:spacing w:val="-8"/>
        </w:rPr>
        <w:t> </w:t>
      </w:r>
      <w:r>
        <w:rPr/>
        <w:t>involucrados.</w:t>
      </w:r>
    </w:p>
    <w:p>
      <w:pPr>
        <w:pStyle w:val="BodyText"/>
      </w:pPr>
    </w:p>
    <w:p>
      <w:pPr>
        <w:pStyle w:val="BodyText"/>
        <w:spacing w:line="360" w:lineRule="auto" w:before="142"/>
        <w:ind w:left="102" w:right="115"/>
        <w:jc w:val="both"/>
      </w:pPr>
      <w:r>
        <w:rPr/>
        <w:t>Al momento de definir una disciplina se delimita el objeto de estudio, estos dos aspectos son diferentes al real externo, ya que éste existe y se desarrolla de forma independiente; es decir, el mapa no es el territorio.</w:t>
      </w:r>
    </w:p>
    <w:p>
      <w:pPr>
        <w:pStyle w:val="BodyText"/>
      </w:pPr>
    </w:p>
    <w:p>
      <w:pPr>
        <w:pStyle w:val="BodyText"/>
        <w:spacing w:line="360" w:lineRule="auto" w:before="142"/>
        <w:ind w:left="102" w:right="117"/>
        <w:jc w:val="both"/>
      </w:pPr>
      <w:r>
        <w:rPr/>
        <w:t>En este proceso es cuando resulta indispensable advertir los contrastes que existen en la construcción de la disciplina y de su objeto de estudio, principalmente cuando “en algunas ocasiones se tiende a confundir lo que es delimitar objetos de estudio con lo que es reducir la realidad a costa de hacerle perder complejidad. En este sentido es más fácil pensar en variables que en mediciones, en áreas temáticas que en la articulación de procesos” (Zemelman, 1994: 285).</w:t>
      </w:r>
    </w:p>
    <w:p>
      <w:pPr>
        <w:pStyle w:val="BodyText"/>
      </w:pPr>
    </w:p>
    <w:p>
      <w:pPr>
        <w:pStyle w:val="BodyText"/>
        <w:spacing w:line="360" w:lineRule="auto" w:before="142"/>
        <w:ind w:left="102" w:right="114"/>
        <w:jc w:val="both"/>
      </w:pPr>
      <w:r>
        <w:rPr/>
        <w:t>La ciencia, por lo tanto, genera un determinado tipo de conocimiento que explica aquellos aspectos del mundo externo, dicho de otra forma, la ciencia da una representación de la realidad trayendo consigo una serie distinciones entre lo que aprehendimos y aquello que no genera ningún significado dentro de éste. A partir de este proceso podemos mencionar que es igual de importante el conocimiento que hemos generado como la forma en que lo hicimos, puesto que “un conocimiento de algo, sin referencia y ubicación en un estatuto epistemológico que le dé sentido y proyección, queda huérfano y resulta ininteligible; es decir, que ni siquiera sería conocimiento” (Martínez, 1999:23).</w:t>
      </w:r>
    </w:p>
    <w:p>
      <w:pPr>
        <w:pStyle w:val="BodyText"/>
        <w:spacing w:before="10"/>
        <w:rPr>
          <w:sz w:val="35"/>
        </w:rPr>
      </w:pPr>
    </w:p>
    <w:p>
      <w:pPr>
        <w:pStyle w:val="BodyText"/>
        <w:ind w:left="891" w:right="931"/>
        <w:jc w:val="both"/>
      </w:pPr>
      <w:r>
        <w:rPr/>
        <w:t>En efecto, conocer es siempre aprehender un dato en una cierta función, bajo una cierta relación, en tanto significa algo dentro de una determinada estructura; pero a su vez, el método para alcanzar</w:t>
      </w:r>
    </w:p>
    <w:p>
      <w:pPr>
        <w:spacing w:after="0"/>
        <w:jc w:val="both"/>
        <w:sectPr>
          <w:pgSz w:w="12240" w:h="15840"/>
          <w:pgMar w:header="0" w:footer="689" w:top="1360" w:bottom="880" w:left="1600" w:right="1580"/>
        </w:sectPr>
      </w:pPr>
    </w:p>
    <w:p>
      <w:pPr>
        <w:pStyle w:val="BodyText"/>
        <w:spacing w:before="52"/>
        <w:ind w:left="891" w:right="931"/>
        <w:jc w:val="both"/>
      </w:pPr>
      <w:r>
        <w:rPr/>
        <w:t>ese conocimiento también estará siempre ligado a un paradigma específico (Martínez, 1999:23).</w:t>
      </w:r>
    </w:p>
    <w:p>
      <w:pPr>
        <w:pStyle w:val="BodyText"/>
      </w:pPr>
    </w:p>
    <w:p>
      <w:pPr>
        <w:pStyle w:val="BodyText"/>
        <w:spacing w:line="360" w:lineRule="auto" w:before="141"/>
        <w:ind w:left="102" w:right="116"/>
        <w:jc w:val="both"/>
      </w:pPr>
      <w:r>
        <w:rPr/>
        <w:t>Por lo menos en los últimos quince años el tema del conocimiento está en el  centro del debate, el cual es examinado a través de una posición de crítica que se enfoque en las cuestiones de los fundamentos del pensamiento, como son los paradigmas y los enfoques analíticos. Donde el principal cuestionamiento está dirigido, especialmente, hacia el “logos científico tradicional”, es decir, hacia los criterios que rigen la “cientificidad” de un proceso lógico y los soportes de su racionalidad, que marcan los límites inclusivos y exclusivos del saber</w:t>
      </w:r>
      <w:r>
        <w:rPr>
          <w:spacing w:val="-23"/>
        </w:rPr>
        <w:t> </w:t>
      </w:r>
      <w:r>
        <w:rPr/>
        <w:t>científico.</w:t>
      </w:r>
    </w:p>
    <w:p>
      <w:pPr>
        <w:pStyle w:val="BodyText"/>
      </w:pPr>
    </w:p>
    <w:p>
      <w:pPr>
        <w:pStyle w:val="BodyText"/>
        <w:spacing w:line="360" w:lineRule="auto" w:before="142"/>
        <w:ind w:left="102" w:right="115"/>
        <w:jc w:val="both"/>
      </w:pPr>
      <w:r>
        <w:rPr/>
        <w:t>Ciertamente un vistazo muy general al término ciencia nos ha llevado a un campo de discusión con diferentes aristas, en el que prevalece una disputa sobre la cientificidad del conocimiento científico; ya que, como lo veremos en los siguientes párrafos, existen paradigmas que delimitan la construcción </w:t>
      </w:r>
      <w:r>
        <w:rPr>
          <w:spacing w:val="3"/>
        </w:rPr>
        <w:t>de </w:t>
      </w:r>
      <w:r>
        <w:rPr/>
        <w:t>esquemas y discursos de la ciencia. Por ello es importante advertir que, en este trabajo, lejos de establecer la “dominación” de un paradigma sobre la forma de hacer ciencia se rescata la idea de conjunción de lo</w:t>
      </w:r>
      <w:r>
        <w:rPr>
          <w:spacing w:val="-10"/>
        </w:rPr>
        <w:t> </w:t>
      </w:r>
      <w:r>
        <w:rPr/>
        <w:t>diverso.</w:t>
      </w:r>
    </w:p>
    <w:p>
      <w:pPr>
        <w:pStyle w:val="BodyText"/>
      </w:pPr>
    </w:p>
    <w:p>
      <w:pPr>
        <w:pStyle w:val="BodyText"/>
        <w:spacing w:before="139"/>
        <w:ind w:left="891" w:right="927"/>
        <w:jc w:val="both"/>
      </w:pPr>
      <w:r>
        <w:rPr/>
        <w:t>Buscar un conocimiento capaz de crecer con la historia; no que la reduzca a sus propias verdades. Porque no se trata de que se posea la verdad o que un autor tenga la verdad. De lo que se   trata</w:t>
      </w:r>
    </w:p>
    <w:p>
      <w:pPr>
        <w:pStyle w:val="BodyText"/>
        <w:ind w:left="891" w:right="926"/>
        <w:jc w:val="both"/>
      </w:pPr>
      <w:r>
        <w:rPr/>
        <w:t>—y aquí retomo la idea del movimiento de lo real—, de seguir el movimiento de la historia, una cuestión crucial en el conocimiento (Zemelman, 1994: 282).</w:t>
      </w:r>
    </w:p>
    <w:p>
      <w:pPr>
        <w:pStyle w:val="BodyText"/>
      </w:pPr>
    </w:p>
    <w:p>
      <w:pPr>
        <w:pStyle w:val="Heading1"/>
        <w:numPr>
          <w:ilvl w:val="1"/>
          <w:numId w:val="5"/>
        </w:numPr>
        <w:tabs>
          <w:tab w:pos="570" w:val="left" w:leader="none"/>
        </w:tabs>
        <w:spacing w:line="240" w:lineRule="auto" w:before="140" w:after="0"/>
        <w:ind w:left="570" w:right="0" w:hanging="468"/>
        <w:jc w:val="both"/>
      </w:pPr>
      <w:r>
        <w:rPr/>
        <w:t>Paradigmas de la</w:t>
      </w:r>
      <w:r>
        <w:rPr>
          <w:spacing w:val="-8"/>
        </w:rPr>
        <w:t> </w:t>
      </w:r>
      <w:r>
        <w:rPr/>
        <w:t>ciencia</w:t>
      </w:r>
    </w:p>
    <w:p>
      <w:pPr>
        <w:pStyle w:val="BodyText"/>
        <w:spacing w:line="360" w:lineRule="auto" w:before="139"/>
        <w:ind w:left="102" w:right="117"/>
        <w:jc w:val="both"/>
      </w:pPr>
      <w:r>
        <w:rPr/>
        <w:t>Vale la pena preguntar qué esquemas dan origen a los sistemas explicativos (teorías), ya que cada perspectiva teórica producirá sus conceptos, parámetros de medición o interpretación, sistemas de control, sus asociaciones e interlocutores. De igual forma, en estos sistemas explicativos existe un método de interacción peculiar y específico con el mundo que nos permite producir cierto conocimiento  en una continua revisión de las concepciones teóricas; podríamos decir que este método está “inserto en un paradigma; pero el paradigma, a su vez, está  </w:t>
      </w:r>
      <w:r>
        <w:rPr>
          <w:spacing w:val="23"/>
        </w:rPr>
        <w:t> </w:t>
      </w:r>
      <w:r>
        <w:rPr/>
        <w:t>ubicado</w:t>
      </w:r>
    </w:p>
    <w:p>
      <w:pPr>
        <w:spacing w:after="0" w:line="360" w:lineRule="auto"/>
        <w:jc w:val="both"/>
        <w:sectPr>
          <w:pgSz w:w="12240" w:h="15840"/>
          <w:pgMar w:header="0" w:footer="689" w:top="1360" w:bottom="880" w:left="1600" w:right="1580"/>
        </w:sectPr>
      </w:pPr>
    </w:p>
    <w:p>
      <w:pPr>
        <w:pStyle w:val="BodyText"/>
        <w:spacing w:line="360" w:lineRule="auto" w:before="54"/>
        <w:ind w:left="102" w:right="125"/>
        <w:jc w:val="both"/>
      </w:pPr>
      <w:r>
        <w:rPr/>
        <w:t>dentro de una estructura cognoscitiva o marco general filosófico o, simplemente, socio-histórico” (Martínez, 1999:23).</w:t>
      </w:r>
    </w:p>
    <w:p>
      <w:pPr>
        <w:pStyle w:val="BodyText"/>
      </w:pPr>
    </w:p>
    <w:p>
      <w:pPr>
        <w:pStyle w:val="BodyText"/>
        <w:spacing w:line="360" w:lineRule="auto" w:before="142"/>
        <w:ind w:left="102" w:right="115"/>
        <w:jc w:val="both"/>
      </w:pPr>
      <w:r>
        <w:rPr/>
        <w:t>Frente a diferentes formas de construcción del discurso científico existe una estructura de procedimientos cognoscitivos y un condicionamiento social que da sentido a su validez, justificación y aceptación dentro de las esferas en que es definido y aplicado. Esta estructura de procedimientos cognoscitivos y un condicionamiento social es lo que Kuhn llamó paradigma, el cual define las condiciones internas y externas (que mencionamos en el apartado 1.1) en el desarrollo de teorías. Previo a la discusión de las propuestas de Kuhn es necesario destacar que el término paradigma se ha utilizado en diferentes niveles desde la metateoría, teoría y metodología, en metaciencias fue a través de la historia y filosofía de la ciencia, y en disciplinas sociales fue ampliamente usado por la</w:t>
      </w:r>
      <w:r>
        <w:rPr>
          <w:spacing w:val="-8"/>
        </w:rPr>
        <w:t> </w:t>
      </w:r>
      <w:r>
        <w:rPr/>
        <w:t>sociología.</w:t>
      </w:r>
    </w:p>
    <w:p>
      <w:pPr>
        <w:pStyle w:val="BodyText"/>
      </w:pPr>
    </w:p>
    <w:p>
      <w:pPr>
        <w:pStyle w:val="BodyText"/>
        <w:spacing w:line="360" w:lineRule="auto" w:before="142"/>
        <w:ind w:left="102" w:right="120"/>
        <w:jc w:val="both"/>
      </w:pPr>
      <w:r>
        <w:rPr/>
        <w:t>Desde la postura de Ansart (1990) uno de los principales aportes de la tesis  central de Kuhn es el reconocimiento de interpretaciones de paradigmas rivales que tiende a constituir una “ciencia normal”; principalmente porque el paso de una teoría a otra no siempre tuvo el carácter de claridad revolucionaria que Kuhn atribuye a la historia de las teorías científicas, ya que con mucha frecuencia  existen desplazamientos menudos y retoques sucesivos sobre los cambios teóricos.</w:t>
      </w:r>
    </w:p>
    <w:p>
      <w:pPr>
        <w:pStyle w:val="BodyText"/>
      </w:pPr>
    </w:p>
    <w:p>
      <w:pPr>
        <w:pStyle w:val="BodyText"/>
        <w:spacing w:before="140"/>
        <w:ind w:left="891" w:right="930"/>
        <w:jc w:val="both"/>
      </w:pPr>
      <w:r>
        <w:rPr/>
        <w:t>Thomas Kuhn destaca, con acierto, que la historia de los paradigmas no se reduce a una historia de las ideas, sino que es además una historia de comunidades sociales rivales, de grupos científicos diferentes, cuyos conflictos, intereses y afanes deberíamos comprender también  (Ansart, 1990: 21).</w:t>
      </w:r>
    </w:p>
    <w:p>
      <w:pPr>
        <w:pStyle w:val="BodyText"/>
      </w:pPr>
    </w:p>
    <w:p>
      <w:pPr>
        <w:pStyle w:val="BodyText"/>
        <w:spacing w:line="360" w:lineRule="auto" w:before="139"/>
        <w:ind w:left="102" w:right="118"/>
        <w:jc w:val="both"/>
      </w:pPr>
      <w:r>
        <w:rPr/>
        <w:t>Un paradigma científico, desde el nivel de la filosofía de la ciencia, puede definirse como “un principio de distinciones-relaciones-oposiciones fundamentales entre algunas nociones matrices que generan y controlan el pensamiento, es decir, la</w:t>
      </w:r>
    </w:p>
    <w:p>
      <w:pPr>
        <w:spacing w:after="0" w:line="360" w:lineRule="auto"/>
        <w:jc w:val="both"/>
        <w:sectPr>
          <w:pgSz w:w="12240" w:h="15840"/>
          <w:pgMar w:header="0" w:footer="689" w:top="1360" w:bottom="880" w:left="1600" w:right="1580"/>
        </w:sectPr>
      </w:pPr>
    </w:p>
    <w:p>
      <w:pPr>
        <w:pStyle w:val="BodyText"/>
        <w:spacing w:line="360" w:lineRule="auto" w:before="54"/>
        <w:ind w:left="102" w:right="126"/>
        <w:jc w:val="both"/>
      </w:pPr>
      <w:r>
        <w:rPr/>
        <w:t>constitución de teorías y la producción de los discursos de los miembros de una comunidad científica determinada” (Morin, 1982  en Martínez, 1999: 23).</w:t>
      </w:r>
    </w:p>
    <w:p>
      <w:pPr>
        <w:pStyle w:val="BodyText"/>
      </w:pPr>
    </w:p>
    <w:p>
      <w:pPr>
        <w:pStyle w:val="BodyText"/>
        <w:spacing w:line="360" w:lineRule="auto" w:before="142"/>
        <w:ind w:left="102" w:right="112"/>
        <w:jc w:val="both"/>
      </w:pPr>
      <w:r>
        <w:rPr/>
        <w:t>Retomando a Martínez (1999) las orientaciones de pensamiento que se podrían calificar como </w:t>
      </w:r>
      <w:r>
        <w:rPr>
          <w:i/>
        </w:rPr>
        <w:t>paradigmas filosóficos </w:t>
      </w:r>
      <w:r>
        <w:rPr/>
        <w:t>son cuatro: teológico, filosófico, científico- positivista y pospositivista; de los cuales, los dos últimos están relacionados con la disputa sobre la cientificidad del conocimiento científico. Esta disputa se vincula, según Castañeda (1994) con el proceso de “demarcación científica”, la cual está relacionada con el largo debate sobre la metodología de las ciencias sociales y la objetividad.</w:t>
      </w:r>
    </w:p>
    <w:p>
      <w:pPr>
        <w:pStyle w:val="BodyText"/>
      </w:pPr>
    </w:p>
    <w:p>
      <w:pPr>
        <w:pStyle w:val="BodyText"/>
        <w:spacing w:line="360" w:lineRule="auto" w:before="142"/>
        <w:ind w:left="102" w:right="118"/>
        <w:jc w:val="both"/>
      </w:pPr>
      <w:r>
        <w:rPr/>
        <w:t>En el paradigma teológico se tuvo como centro a la religión y obtuvo mayor fuerza durante la Edad Media, siendo la Iglesia la institución encargada, a través de la construcción de algunas universidades, de difundir el “conocimiento universal”. Los sacerdotes eran los únicos con acceso especial a la palabra de Dios para la comprensión del mundo.</w:t>
      </w:r>
    </w:p>
    <w:p>
      <w:pPr>
        <w:pStyle w:val="BodyText"/>
      </w:pPr>
    </w:p>
    <w:p>
      <w:pPr>
        <w:pStyle w:val="BodyText"/>
        <w:spacing w:before="140"/>
        <w:ind w:left="891" w:right="931"/>
        <w:jc w:val="both"/>
      </w:pPr>
      <w:r>
        <w:rPr/>
        <w:t>Los conceptos de creación y finitud, de un orden cósmico establecido por Dios, de sabiduría y voluntad divinas, revelados en la Biblia e interpretados por sus representantes, eran los “dadores” universales de significado... La visión que se tiene del hombre es la de un ser privilegiado que participa de la filiación divina, y todos los hombres juntos forman una comunidad unida por la fraternidad universal (Martínez, 1999: 33).</w:t>
      </w:r>
    </w:p>
    <w:p>
      <w:pPr>
        <w:pStyle w:val="BodyText"/>
      </w:pPr>
    </w:p>
    <w:p>
      <w:pPr>
        <w:pStyle w:val="BodyText"/>
        <w:spacing w:line="360" w:lineRule="auto" w:before="139"/>
        <w:ind w:left="102" w:right="114"/>
        <w:jc w:val="both"/>
      </w:pPr>
      <w:r>
        <w:rPr/>
        <w:t>Se podría decir que durante esta época la Iglesia tiene dominio sobre la creencia y el conocimiento, el poder abstracto que ejercía y buscaba someter todo a su dominio era el elemento central y no Dios o la iglesia conformada por sus feligreses. El juego de poder es otro elemento dentro de sus estructuras bajo el supuesto de conducir a los hombres hacia su felicidad.</w:t>
      </w:r>
    </w:p>
    <w:p>
      <w:pPr>
        <w:pStyle w:val="BodyText"/>
      </w:pPr>
    </w:p>
    <w:p>
      <w:pPr>
        <w:pStyle w:val="BodyText"/>
        <w:spacing w:line="360" w:lineRule="auto" w:before="142"/>
        <w:ind w:left="102" w:right="124"/>
        <w:jc w:val="both"/>
      </w:pPr>
      <w:r>
        <w:rPr/>
        <w:t>El paradigma filosófico existe durante el Renacimiento y la generación de conocimiento toma un cambio importante, ya que se va pasando de la teología a la razón,  representada esta  última  por  la filosofía,  así como  por una  </w:t>
      </w:r>
      <w:r>
        <w:rPr>
          <w:spacing w:val="52"/>
        </w:rPr>
        <w:t> </w:t>
      </w:r>
      <w:r>
        <w:rPr/>
        <w:t>principiante</w:t>
      </w:r>
    </w:p>
    <w:p>
      <w:pPr>
        <w:spacing w:after="0" w:line="360" w:lineRule="auto"/>
        <w:jc w:val="both"/>
        <w:sectPr>
          <w:pgSz w:w="12240" w:h="15840"/>
          <w:pgMar w:header="0" w:footer="689" w:top="1360" w:bottom="880" w:left="1600" w:right="1580"/>
        </w:sectPr>
      </w:pPr>
    </w:p>
    <w:p>
      <w:pPr>
        <w:pStyle w:val="BodyText"/>
        <w:spacing w:line="360" w:lineRule="auto" w:before="54"/>
        <w:ind w:left="102" w:right="116"/>
        <w:jc w:val="both"/>
      </w:pPr>
      <w:r>
        <w:rPr/>
        <w:t>actividad de observación que daría origen a la actividad posteriormente llamada “ciencia”; en cuanto a métodos de análisis existe una preferencia por el inductivo- experimental y la observación. En este periodo la </w:t>
      </w:r>
      <w:r>
        <w:rPr>
          <w:i/>
        </w:rPr>
        <w:t>verdad divina </w:t>
      </w:r>
      <w:r>
        <w:rPr/>
        <w:t>es remplazada por los conceptos de verdad científica y progreso tecnológico. La filosofía sustituyó a  la teología. La teología fue sustituida por la filosofía y la naciente actividad científica, lo cual en la práctica significó un cambio de las autoridades que podrían proclamar la validez del conocimiento</w:t>
      </w:r>
      <w:r>
        <w:rPr>
          <w:spacing w:val="-16"/>
        </w:rPr>
        <w:t> </w:t>
      </w:r>
      <w:r>
        <w:rPr/>
        <w:t>verdadero.</w:t>
      </w:r>
    </w:p>
    <w:p>
      <w:pPr>
        <w:pStyle w:val="BodyText"/>
      </w:pPr>
    </w:p>
    <w:p>
      <w:pPr>
        <w:pStyle w:val="BodyText"/>
        <w:spacing w:before="140"/>
        <w:ind w:left="891" w:right="928"/>
        <w:jc w:val="both"/>
      </w:pPr>
      <w:r>
        <w:rPr/>
        <w:t>“Newton realiza su importante descubrimiento de la ley de gravedad, valorando más los datos observados directamente en la naturaleza que los estudios basados en la revelación y en las obras de la antigüedad... los hombres de estos siglos, animados por una profunda confianza en las facultades de la  inteligencia  humana para descubrir las leyes de la naturaleza mediante la observación y la razón...” (Martínez, 1999: 34).</w:t>
      </w:r>
    </w:p>
    <w:p>
      <w:pPr>
        <w:pStyle w:val="BodyText"/>
      </w:pPr>
    </w:p>
    <w:p>
      <w:pPr>
        <w:pStyle w:val="BodyText"/>
        <w:spacing w:line="360" w:lineRule="auto" w:before="141"/>
        <w:ind w:left="102" w:right="117"/>
        <w:jc w:val="both"/>
      </w:pPr>
      <w:r>
        <w:rPr/>
        <w:t>El paradigma científico-positivista lo podemos ubicar en el siglo XVIII el principio  de experimentación junto con la perspectiva del arte dan inicio a la idea del progreso, la razón moderna llega a las realizaciones intelectuales, científicas, industriales, político-sociales, artísticas e institucionales de Occidente. Dando como resultado las facetas y expresiones culturales y sociales de lo </w:t>
      </w:r>
      <w:r>
        <w:rPr>
          <w:spacing w:val="-2"/>
        </w:rPr>
        <w:t>que </w:t>
      </w:r>
      <w:r>
        <w:rPr/>
        <w:t>comúnmente se ha llamado con el término modernidad, y en la filosofía de la ciencia, con el término</w:t>
      </w:r>
      <w:r>
        <w:rPr>
          <w:spacing w:val="-11"/>
        </w:rPr>
        <w:t> </w:t>
      </w:r>
      <w:r>
        <w:rPr/>
        <w:t>positivismo.</w:t>
      </w:r>
    </w:p>
    <w:p>
      <w:pPr>
        <w:pStyle w:val="BodyText"/>
      </w:pPr>
    </w:p>
    <w:p>
      <w:pPr>
        <w:pStyle w:val="BodyText"/>
        <w:spacing w:line="360" w:lineRule="auto" w:before="142"/>
        <w:ind w:left="102" w:right="114"/>
        <w:jc w:val="both"/>
      </w:pPr>
      <w:r>
        <w:rPr/>
        <w:t>Así, predominó la idea de que existiera una ciencia principal sobre todas las otras, “una ciencia única a cuyo criterio valuar la cientificidad o no cientificidad de las otras disciplinas; esta “superciencia” era la matemática” (Geymonat, 1993). El paradigma científico-positivista, el cual es también llamado por Martínez (1999:35) newtoniano-cartesiano, consiste entre otras cosas en la afirmación del individuo, del singular, del particular (sólo existen las naturalezas particulares).</w:t>
      </w:r>
    </w:p>
    <w:p>
      <w:pPr>
        <w:pStyle w:val="BodyText"/>
      </w:pPr>
    </w:p>
    <w:p>
      <w:pPr>
        <w:pStyle w:val="BodyText"/>
        <w:spacing w:before="139"/>
        <w:ind w:left="891" w:right="926"/>
        <w:jc w:val="both"/>
      </w:pPr>
      <w:r>
        <w:rPr/>
        <w:t>“Si tuviéramos que sintetizar en pocos conceptos este modelo o paradigma newtoniano-cartesiano, señalaríamos que valora, privilegia y propugna la objetividad del conocimiento, el determinismo   de   los   fenómenos,   la   experiencia   sensible,   la</w:t>
      </w:r>
    </w:p>
    <w:p>
      <w:pPr>
        <w:spacing w:after="0"/>
        <w:jc w:val="both"/>
        <w:sectPr>
          <w:pgSz w:w="12240" w:h="15840"/>
          <w:pgMar w:header="0" w:footer="689" w:top="1360" w:bottom="880" w:left="1600" w:right="1580"/>
        </w:sectPr>
      </w:pPr>
    </w:p>
    <w:p>
      <w:pPr>
        <w:pStyle w:val="BodyText"/>
        <w:spacing w:before="52"/>
        <w:ind w:left="891" w:right="932"/>
        <w:jc w:val="both"/>
      </w:pPr>
      <w:r>
        <w:rPr/>
        <w:t>cuantificación aleatoria de las medidas, la lógica formal y la “verificación empírica”  (Martínez, 1999: 35).</w:t>
      </w:r>
    </w:p>
    <w:p>
      <w:pPr>
        <w:pStyle w:val="BodyText"/>
      </w:pPr>
    </w:p>
    <w:p>
      <w:pPr>
        <w:pStyle w:val="BodyText"/>
        <w:spacing w:line="360" w:lineRule="auto" w:before="141"/>
        <w:ind w:left="102" w:right="115"/>
        <w:jc w:val="both"/>
      </w:pPr>
      <w:r>
        <w:rPr/>
        <w:t>El paradigma pospositivista comienza a gestarse hacia fines del siglo XIX y llega a su desarrollo pleno en las décadas de 1950 y 1960. Durante este periodo existe una crítica a la idea de historia unitaria a partir de “la crisis de la idea de progreso  y el ocaso de la modernidad y se enfatiza que el hombre no se define sólo por la técnica y la razón, también por lo imaginario y la afectividad” (Vattimo, 1994: 12). Aquí se plantea el reconocimiento de una “realidad social” que no puede predecirse </w:t>
      </w:r>
      <w:r>
        <w:rPr>
          <w:i/>
        </w:rPr>
        <w:t>a priori</w:t>
      </w:r>
      <w:r>
        <w:rPr/>
        <w:t>, tampoco se pueden extrapolar situaciones dadas en otros contextos.</w:t>
      </w:r>
    </w:p>
    <w:p>
      <w:pPr>
        <w:pStyle w:val="BodyText"/>
      </w:pPr>
    </w:p>
    <w:p>
      <w:pPr>
        <w:pStyle w:val="BodyText"/>
        <w:spacing w:before="139"/>
        <w:ind w:left="891" w:right="925"/>
        <w:jc w:val="both"/>
      </w:pPr>
      <w:r>
        <w:rPr/>
        <w:t>“... la orientación pospositivista efectúa un rescate del sujeto y de  su importancia. Así, la observación no sería pura e inmaculada (como si fuera percibida por el “ojo de Dios”), sino que implicaría una inserción de lo observado en un marco referencial o fondo constituido por nuestros intereses, valores, actitudes y creencias, que es el que le daría el sentido que tiene para nosotros” (Martínez, 1999:</w:t>
      </w:r>
      <w:r>
        <w:rPr>
          <w:spacing w:val="-5"/>
        </w:rPr>
        <w:t> </w:t>
      </w:r>
      <w:r>
        <w:rPr/>
        <w:t>38).</w:t>
      </w:r>
    </w:p>
    <w:p>
      <w:pPr>
        <w:pStyle w:val="BodyText"/>
      </w:pPr>
    </w:p>
    <w:p>
      <w:pPr>
        <w:pStyle w:val="BodyText"/>
        <w:spacing w:line="360" w:lineRule="auto" w:before="141"/>
        <w:ind w:left="102" w:right="117"/>
        <w:jc w:val="both"/>
      </w:pPr>
      <w:r>
        <w:rPr/>
        <w:t>De esta forma, podemos hacer referencia a dos formas de leer las interpretaciones de la realidad: por un lado, a una concepción lineal, abstracta y logicista; y por el otro, a una forma que intenta dar cuenta de la complejidad y de la no linealidad de los procesos (Najamanovich, 2000). De igual forma Martínez (1999) considera que la manera en que se ha explicado la realidad a lo largo de la historia de Occidente corresponde a dos formas: la primera ha sido atomista, elementalista e individualista y la segunda es la relacional, sistémica, estructural, gestáltica y humanista. La primera forma de conocimiento de la realidad está relacionada con el positivismo, mientras que la segunda corresponde al pospositivismo.</w:t>
      </w:r>
    </w:p>
    <w:p>
      <w:pPr>
        <w:pStyle w:val="BodyText"/>
      </w:pPr>
    </w:p>
    <w:p>
      <w:pPr>
        <w:pStyle w:val="BodyText"/>
        <w:spacing w:line="360" w:lineRule="auto" w:before="142"/>
        <w:ind w:left="102" w:right="116"/>
        <w:jc w:val="both"/>
      </w:pPr>
      <w:r>
        <w:rPr/>
        <w:t>En el positivismo se da prioridad al modelo de objetividad “científica” sobre una mentalidad que produce “conocimiento acerca del mundo formulado en principios explicativos sostenidos por la observación empírica, y sujetos a la posibilidad de refutación empírica” (Ruiz y Ayala, 1998: 25). Para dominar y organizar todas    las</w:t>
      </w:r>
    </w:p>
    <w:p>
      <w:pPr>
        <w:spacing w:after="0" w:line="360" w:lineRule="auto"/>
        <w:jc w:val="both"/>
        <w:sectPr>
          <w:pgSz w:w="12240" w:h="15840"/>
          <w:pgMar w:header="0" w:footer="689" w:top="1360" w:bottom="880" w:left="1600" w:right="1580"/>
        </w:sectPr>
      </w:pPr>
    </w:p>
    <w:p>
      <w:pPr>
        <w:pStyle w:val="BodyText"/>
        <w:spacing w:line="360" w:lineRule="auto" w:before="54"/>
        <w:ind w:left="102" w:right="115"/>
        <w:jc w:val="both"/>
      </w:pPr>
      <w:r>
        <w:rPr/>
        <w:t>cosas las reduce a nivel de aspectos mensurables, incluso al hombre mismo, desde su historia hasta su interioridad, para concebir a la realidad como un “elemento simple que se generaliza buscando principios o leyes de explicación” (Gutiérrez, 1998: 645).</w:t>
      </w:r>
    </w:p>
    <w:p>
      <w:pPr>
        <w:pStyle w:val="BodyText"/>
      </w:pPr>
    </w:p>
    <w:p>
      <w:pPr>
        <w:pStyle w:val="BodyText"/>
        <w:spacing w:line="360" w:lineRule="auto" w:before="142"/>
        <w:ind w:left="102" w:right="115"/>
        <w:jc w:val="both"/>
      </w:pPr>
      <w:r>
        <w:rPr/>
        <w:t>Continuando con Martínez (1999), la visión del universo está sustentada en un sistema mecánico donde se le da un lugar primordial a los modelos matemáticos, la visión del cuerpo humano como si fuera una máquina, la vida social como una lucha competitiva por la existencia, y la creencia en </w:t>
      </w:r>
      <w:r>
        <w:rPr>
          <w:spacing w:val="3"/>
        </w:rPr>
        <w:t>el </w:t>
      </w:r>
      <w:r>
        <w:rPr/>
        <w:t>progreso material ilimitado que debe alcanzarse mediante el crecimiento económico y tecnológico. Después de esta concepción de la ciencia la palabra operativa fue el progreso, la cual fue dotada de un sentimiento de infinitud que sería reforzado por los logros  alcanzados por la tecnología. Así, “lo que la epistemología clásica llamaba “conocimiento objetivo” no es más que el “producto de un proceso histórico de estandarización perceptual y cognitiva que culmina con la naturalización” (Najamanovich, 2000:</w:t>
      </w:r>
      <w:r>
        <w:rPr>
          <w:spacing w:val="-6"/>
        </w:rPr>
        <w:t> </w:t>
      </w:r>
      <w:r>
        <w:rPr/>
        <w:t>45).</w:t>
      </w:r>
    </w:p>
    <w:p>
      <w:pPr>
        <w:pStyle w:val="BodyText"/>
      </w:pPr>
    </w:p>
    <w:p>
      <w:pPr>
        <w:pStyle w:val="BodyText"/>
        <w:spacing w:line="360" w:lineRule="auto" w:before="142"/>
        <w:ind w:left="102" w:right="115"/>
        <w:jc w:val="both"/>
      </w:pPr>
      <w:r>
        <w:rPr/>
        <w:t>En el paradigma pospositivista existe una prioridad por señalar que los fenómenos sociales dejan de ser objetos puros del mundo (físico o lógico) para convertirse en “objetos de la experiencia, pero no de una experiencia lógica abstracta, sino de una experiencia humana, de interacción contextualizada, atravesada por nuestra peculiar corporalidad, nuestro lenguaje y nuestra cultura” (Najamanovich, 2000: 58). Definitivamente entre el paradigma positivista y pospositivista existe una distinción fundamental entre materia y mente, generando dos formas distintas de representar la realidad; ambas posturas enfatizan que sus esquemas explicativos son los apropiados para la veridicción del conocimiento</w:t>
      </w:r>
      <w:r>
        <w:rPr>
          <w:spacing w:val="-26"/>
        </w:rPr>
        <w:t> </w:t>
      </w:r>
      <w:r>
        <w:rPr/>
        <w:t>científico.</w:t>
      </w:r>
    </w:p>
    <w:p>
      <w:pPr>
        <w:pStyle w:val="BodyText"/>
      </w:pPr>
    </w:p>
    <w:p>
      <w:pPr>
        <w:pStyle w:val="BodyText"/>
        <w:spacing w:line="360" w:lineRule="auto" w:before="142"/>
        <w:ind w:left="102" w:right="120"/>
        <w:jc w:val="both"/>
      </w:pPr>
      <w:r>
        <w:rPr/>
        <w:t>Sin embargo, la principal diferencia entre estos paradigmas, la cual es propuesta por el pospositivismo, está dada por el rescate del sujeto o la reafirmación de éste en la construcción del conocimiento científico.</w:t>
      </w:r>
    </w:p>
    <w:p>
      <w:pPr>
        <w:spacing w:after="0" w:line="360" w:lineRule="auto"/>
        <w:jc w:val="both"/>
        <w:sectPr>
          <w:pgSz w:w="12240" w:h="15840"/>
          <w:pgMar w:header="0" w:footer="689" w:top="1360" w:bottom="880" w:left="1600" w:right="1580"/>
        </w:sectPr>
      </w:pPr>
    </w:p>
    <w:p>
      <w:pPr>
        <w:pStyle w:val="BodyText"/>
        <w:spacing w:before="52"/>
        <w:ind w:left="891" w:right="925"/>
        <w:jc w:val="both"/>
      </w:pPr>
      <w:r>
        <w:rPr/>
        <w:t>“... centrar nuestra atención en el hombre como sujeto, y no sólo como objeto de estudio, es decir, en el hombre como persona, con conciencia y libertad, irreductible a cualquier otra cosa” (Martínez, 1999: 27).</w:t>
      </w:r>
    </w:p>
    <w:p>
      <w:pPr>
        <w:pStyle w:val="BodyText"/>
      </w:pPr>
    </w:p>
    <w:p>
      <w:pPr>
        <w:pStyle w:val="BodyText"/>
        <w:spacing w:line="360" w:lineRule="auto" w:before="141"/>
        <w:ind w:left="102" w:right="112"/>
        <w:jc w:val="both"/>
      </w:pPr>
      <w:r>
        <w:rPr/>
        <w:t>Para ambos paradigmas hay un dinamismo en la generación de conocimiento en el que emergen conjuntamente sujeto y objeto; sin embargo, el panorama se hace más complejo al advertir que aún se considera a la ciencia como productora de conocimiento y teorías, dejando a un lado la existencia de actores intencionales — los científicos y los tecnólogos— que buscan producir o transformar algo. Estos cambios pueden modificar nuestra concepción del mundo, ya que “nuestra mente siempre actúa dentro de un marco teórico interpretativo, dentro de un “lenguaje lógico”, no hay algún elemento de juicio, prueba o testimonio empírico que sea independiente de un marco interpretativo” (Martínez, 1999:</w:t>
      </w:r>
      <w:r>
        <w:rPr>
          <w:spacing w:val="-17"/>
        </w:rPr>
        <w:t> </w:t>
      </w:r>
      <w:r>
        <w:rPr/>
        <w:t>47).</w:t>
      </w:r>
    </w:p>
    <w:p>
      <w:pPr>
        <w:pStyle w:val="BodyText"/>
      </w:pPr>
    </w:p>
    <w:p>
      <w:pPr>
        <w:pStyle w:val="BodyText"/>
        <w:spacing w:line="360" w:lineRule="auto" w:before="142"/>
        <w:ind w:left="102" w:right="117"/>
        <w:jc w:val="both"/>
      </w:pPr>
      <w:r>
        <w:rPr/>
        <w:t>En este sentido, la propuesta va más allá de decir que el paradigma pospositivista emerge como el camino “verdadero”, “global” o “actual” para sustentar las bases en la generación del conocimiento científico, en cambio, podemos  entenderlo como un proceso en el que se está dando una ruptura de postulados que han sido utilizados a lo largo de la historia de la</w:t>
      </w:r>
      <w:r>
        <w:rPr>
          <w:spacing w:val="-19"/>
        </w:rPr>
        <w:t> </w:t>
      </w:r>
      <w:r>
        <w:rPr/>
        <w:t>ciencia.</w:t>
      </w:r>
    </w:p>
    <w:p>
      <w:pPr>
        <w:pStyle w:val="BodyText"/>
      </w:pPr>
    </w:p>
    <w:p>
      <w:pPr>
        <w:pStyle w:val="BodyText"/>
        <w:spacing w:line="360" w:lineRule="auto" w:before="142"/>
        <w:ind w:left="102" w:right="116"/>
        <w:jc w:val="both"/>
      </w:pPr>
      <w:r>
        <w:rPr/>
        <w:t>Una postura radical en el desarrollo de la “ciencia” puede ser generada, según Geymonat (1993), por el desinterés filosófico de los científicos en la discusión de los postulados que constituyen las investigaciones; aunque se consideren contrarios a toda filosofía, en realidad —no rara vez— se hacen sostenedores de una mala filosofía. La segunda consecuencia es que las ciencias se han marginado de la cultura (ésta en efecto, se quiera o no, ha tenido siempre como eje portador justamente a la filosofía). De aquí nace la famosa separación de las “dos culturas” (la científica y la</w:t>
      </w:r>
      <w:r>
        <w:rPr>
          <w:spacing w:val="-11"/>
        </w:rPr>
        <w:t> </w:t>
      </w:r>
      <w:r>
        <w:rPr/>
        <w:t>humanista).</w:t>
      </w:r>
    </w:p>
    <w:p>
      <w:pPr>
        <w:pStyle w:val="BodyText"/>
      </w:pPr>
    </w:p>
    <w:p>
      <w:pPr>
        <w:pStyle w:val="BodyText"/>
        <w:spacing w:line="360" w:lineRule="auto" w:before="142"/>
        <w:ind w:left="102" w:right="119"/>
        <w:jc w:val="both"/>
      </w:pPr>
      <w:r>
        <w:rPr/>
        <w:t>Podríamos considerar que existe un contexto histórico-cultural que es la fuente  que rige el modo general de conocer, propio de un determinado periodo y ubicado también  dentro  de  una  geografía  específica,  el  cual  “asigna  significados a</w:t>
      </w:r>
      <w:r>
        <w:rPr>
          <w:spacing w:val="3"/>
        </w:rPr>
        <w:t> </w:t>
      </w:r>
      <w:r>
        <w:rPr/>
        <w:t>las</w:t>
      </w:r>
    </w:p>
    <w:p>
      <w:pPr>
        <w:spacing w:after="0" w:line="360" w:lineRule="auto"/>
        <w:jc w:val="both"/>
        <w:sectPr>
          <w:pgSz w:w="12240" w:h="15840"/>
          <w:pgMar w:header="0" w:footer="689" w:top="1360" w:bottom="880" w:left="1600" w:right="1580"/>
        </w:sectPr>
      </w:pPr>
    </w:p>
    <w:p>
      <w:pPr>
        <w:pStyle w:val="BodyText"/>
        <w:spacing w:line="360" w:lineRule="auto" w:before="54"/>
        <w:ind w:left="102" w:right="116"/>
        <w:jc w:val="both"/>
      </w:pPr>
      <w:r>
        <w:rPr/>
        <w:t>cosas y a los eventos, es decir, en su capacidad y forma de simbolizar la realidad” (Martínez, 1999: 24). Para autores como Zemelman (1994), Olivé (2000) y Olivé y Pérez (2011) los debates sobre la historia interna de la ciencia y su relación con la historia externa resultan en este caso más significativos que nunca.</w:t>
      </w:r>
    </w:p>
    <w:p>
      <w:pPr>
        <w:pStyle w:val="BodyText"/>
      </w:pPr>
    </w:p>
    <w:p>
      <w:pPr>
        <w:pStyle w:val="BodyText"/>
        <w:spacing w:line="360" w:lineRule="auto" w:before="142"/>
        <w:ind w:left="102" w:right="117"/>
        <w:jc w:val="both"/>
      </w:pPr>
      <w:r>
        <w:rPr/>
        <w:t>Ahora bien, según Zemelman (1987) una de las razones que explican la dificultad para impulsar la autorreflexión sobre las prácticas de las ciencias sociales, radica precisamente en el desfase entre conciencia teórica y conciencia histórica. El divorcio entre ambas marca la divergencia entre la realidad que es teorizada y la de las experiencias de la historia vivida. Por lo que es necesario revalorar las posibilidades cognitivas del observador y las circunstancias de su búsqueda. Lo que implica pasar de una forma de estudiar la realidad con base en objetos, construidos teóricamente, a una lógica de reconstrucción de la realidad, a partir  del reconocimiento de situaciones problemáticas “donde el criterio para sostener un conocimiento como válido es que sea útil como apoyo a soluciones viables” (Zemelman,</w:t>
      </w:r>
      <w:r>
        <w:rPr>
          <w:spacing w:val="-6"/>
        </w:rPr>
        <w:t> </w:t>
      </w:r>
      <w:r>
        <w:rPr/>
        <w:t>1987:6).</w:t>
      </w:r>
    </w:p>
    <w:p>
      <w:pPr>
        <w:pStyle w:val="BodyText"/>
      </w:pPr>
    </w:p>
    <w:p>
      <w:pPr>
        <w:pStyle w:val="BodyText"/>
        <w:spacing w:before="140"/>
        <w:ind w:left="891" w:right="926"/>
        <w:jc w:val="both"/>
      </w:pPr>
      <w:r>
        <w:rPr/>
        <w:t>Sí, en efecto, las ciencias son reducidas a refinadísimas construcciones lingüísticas privadas de objeto, si se opta por  formas de silopsismo lingüístico que niegan la posibilidad de salir del universo constituido por el lenguaje, entonces es obvio que ciencias que operan con lenguajes radicalmente distintos no  puedan ser otra cosa que edificios cerrados, aislados, incomunicables el uno con el otro (Geymonat,</w:t>
      </w:r>
      <w:r>
        <w:rPr>
          <w:spacing w:val="-16"/>
        </w:rPr>
        <w:t> </w:t>
      </w:r>
      <w:r>
        <w:rPr/>
        <w:t>1993).</w:t>
      </w:r>
    </w:p>
    <w:p>
      <w:pPr>
        <w:pStyle w:val="BodyText"/>
      </w:pPr>
    </w:p>
    <w:p>
      <w:pPr>
        <w:pStyle w:val="BodyText"/>
        <w:spacing w:line="360" w:lineRule="auto" w:before="139"/>
        <w:ind w:left="102" w:right="114"/>
        <w:jc w:val="both"/>
      </w:pPr>
      <w:r>
        <w:rPr/>
        <w:t>A manera de conclusión podemos señalar que en las actuales reflexiones de la filosofía de la ciencia ya no se trata de establecer como “debe ser” el conocimiento de un mundo del que nos “creíamos” independientes; por el contrario, se trata de preguntarnos por nuestros métodos de investigación y estrategias de análisis, por lo que es necesario enfrentar la construcción del conocimiento social a partir de   las exigencias</w:t>
      </w:r>
      <w:r>
        <w:rPr>
          <w:spacing w:val="-14"/>
        </w:rPr>
        <w:t> </w:t>
      </w:r>
      <w:r>
        <w:rPr/>
        <w:t>filosóficas-metodológicas.</w:t>
      </w:r>
    </w:p>
    <w:p>
      <w:pPr>
        <w:pStyle w:val="BodyText"/>
      </w:pPr>
    </w:p>
    <w:p>
      <w:pPr>
        <w:pStyle w:val="BodyText"/>
        <w:spacing w:line="362" w:lineRule="auto" w:before="139"/>
        <w:ind w:left="102" w:right="119"/>
        <w:jc w:val="both"/>
      </w:pPr>
      <w:r>
        <w:rPr/>
        <w:t>Desde este marco la IUL no está exenta de los cuestionamientos que la sustentan como  área  de  investigación,  si  bien  no  se  pide  que  todas  las    aportaciones</w:t>
      </w:r>
    </w:p>
    <w:p>
      <w:pPr>
        <w:spacing w:after="0" w:line="362" w:lineRule="auto"/>
        <w:jc w:val="both"/>
        <w:sectPr>
          <w:pgSz w:w="12240" w:h="15840"/>
          <w:pgMar w:header="0" w:footer="689" w:top="1360" w:bottom="880" w:left="1600" w:right="1580"/>
        </w:sectPr>
      </w:pPr>
    </w:p>
    <w:p>
      <w:pPr>
        <w:pStyle w:val="BodyText"/>
        <w:spacing w:line="360" w:lineRule="auto" w:before="54"/>
        <w:ind w:left="102" w:right="114"/>
        <w:jc w:val="both"/>
      </w:pPr>
      <w:r>
        <w:rPr/>
        <w:t>provenientes de las disciplinas que confluyen en esta área deban contar con un apartado metateórico antes de presentar sus resultados, si es necesario considerar un programa que considere este tipo de reflexiones en una menor periodicidad, principalmente por la dinámica de la producción científica generada a partir de las reglas de instituciones públicas y privadas que rigen en la investigación</w:t>
      </w:r>
      <w:r>
        <w:rPr>
          <w:spacing w:val="-6"/>
        </w:rPr>
        <w:t> </w:t>
      </w:r>
      <w:r>
        <w:rPr/>
        <w:t>científica.</w:t>
      </w:r>
    </w:p>
    <w:p>
      <w:pPr>
        <w:spacing w:after="0" w:line="360" w:lineRule="auto"/>
        <w:jc w:val="both"/>
        <w:sectPr>
          <w:pgSz w:w="12240" w:h="15840"/>
          <w:pgMar w:header="0" w:footer="689" w:top="1360" w:bottom="880" w:left="1600" w:right="1580"/>
        </w:sectPr>
      </w:pPr>
    </w:p>
    <w:p>
      <w:pPr>
        <w:pStyle w:val="BodyText"/>
        <w:rPr>
          <w:sz w:val="20"/>
        </w:rPr>
      </w:pPr>
    </w:p>
    <w:p>
      <w:pPr>
        <w:pStyle w:val="BodyText"/>
        <w:rPr>
          <w:sz w:val="20"/>
        </w:rPr>
      </w:pPr>
    </w:p>
    <w:p>
      <w:pPr>
        <w:pStyle w:val="BodyText"/>
        <w:spacing w:before="6"/>
        <w:rPr>
          <w:sz w:val="18"/>
        </w:rPr>
      </w:pPr>
    </w:p>
    <w:p>
      <w:pPr>
        <w:pStyle w:val="Heading1"/>
        <w:spacing w:before="69"/>
        <w:ind w:left="0" w:right="119"/>
        <w:jc w:val="right"/>
      </w:pPr>
      <w:r>
        <w:rPr/>
        <w:t>CAPÍTULO II</w:t>
      </w:r>
    </w:p>
    <w:p>
      <w:pPr>
        <w:spacing w:before="139"/>
        <w:ind w:left="0" w:right="116" w:firstLine="0"/>
        <w:jc w:val="right"/>
        <w:rPr>
          <w:b/>
          <w:sz w:val="24"/>
        </w:rPr>
      </w:pPr>
      <w:r>
        <w:rPr>
          <w:b/>
          <w:sz w:val="24"/>
        </w:rPr>
        <w:t>Ciencia social y disciplinas sociales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line="360" w:lineRule="auto"/>
        <w:ind w:left="102" w:right="116" w:firstLine="6051"/>
        <w:jc w:val="both"/>
      </w:pPr>
      <w:r>
        <w:rPr>
          <w:b/>
        </w:rPr>
        <w:t>Introducción de capítulo </w:t>
      </w:r>
      <w:r>
        <w:rPr/>
        <w:t>En este capítulo se hace un análisis de la ciencia social y el surgimiento de la disciplinas para establecer una referencia a la clasificación actual de las disciplinas, se hace un recorrido a través de Wallerstein (2001) y Pedroza (2003) para delimitar el surgimiento de las disciplinas; en este proceso se dieron varias demarcaciones, la primera de ellas fue entre la ciencia y la religión, posteriormente entre filosofía y ciencia, y por último entre ciencia natural y ciencia social. Las primeras disciplinas que se crearon fueron matemáticas, física, química y biología dentro de la ciencia social, después en la ciencia social se crearon la economía, ciencia política y sociología. Con estas propuestas se aborda el papel  </w:t>
      </w:r>
      <w:r>
        <w:rPr>
          <w:spacing w:val="-2"/>
        </w:rPr>
        <w:t>que  </w:t>
      </w:r>
      <w:r>
        <w:rPr/>
        <w:t>tuvieron las universidades en el disciplinamiento del</w:t>
      </w:r>
      <w:r>
        <w:rPr>
          <w:spacing w:val="-23"/>
        </w:rPr>
        <w:t> </w:t>
      </w:r>
      <w:r>
        <w:rPr/>
        <w:t>conocimiento.</w:t>
      </w:r>
    </w:p>
    <w:p>
      <w:pPr>
        <w:pStyle w:val="BodyText"/>
      </w:pPr>
    </w:p>
    <w:p>
      <w:pPr>
        <w:pStyle w:val="BodyText"/>
        <w:spacing w:line="360" w:lineRule="auto" w:before="142"/>
        <w:ind w:left="102" w:right="123"/>
        <w:jc w:val="both"/>
      </w:pPr>
      <w:r>
        <w:rPr/>
        <w:t>También se retoma a Bunge (2000) como una de las principales categorizaciones de las disciplinas durante el siglo XX, para este autor la ciencia está divida en: a) Formal y b) Factual (natural, biosocial y social). La ciencia factual natural está integrada por la física, química, biología y psicología individual. La biosocial por la antropología, demografía, psicología social y bioeconomía. Finalmente la ciencia factual social está integrada por la sociología, economía, ciencia política, historia material e historia de las ideas. Finalmente se hace un análisis de los campos de la ciencia de la</w:t>
      </w:r>
      <w:r>
        <w:rPr>
          <w:spacing w:val="-6"/>
        </w:rPr>
        <w:t> </w:t>
      </w:r>
      <w:r>
        <w:rPr/>
        <w:t>UNESCO.</w:t>
      </w:r>
    </w:p>
    <w:p>
      <w:pPr>
        <w:spacing w:after="0" w:line="360" w:lineRule="auto"/>
        <w:jc w:val="both"/>
        <w:sectPr>
          <w:pgSz w:w="12240" w:h="15840"/>
          <w:pgMar w:header="0" w:footer="689" w:top="1500" w:bottom="880" w:left="1600" w:right="1580"/>
        </w:sectPr>
      </w:pPr>
    </w:p>
    <w:p>
      <w:pPr>
        <w:pStyle w:val="Heading1"/>
        <w:numPr>
          <w:ilvl w:val="1"/>
          <w:numId w:val="6"/>
        </w:numPr>
        <w:tabs>
          <w:tab w:pos="590" w:val="left" w:leader="none"/>
        </w:tabs>
        <w:spacing w:line="240" w:lineRule="auto" w:before="54" w:after="0"/>
        <w:ind w:left="590" w:right="0" w:hanging="468"/>
        <w:jc w:val="both"/>
      </w:pPr>
      <w:r>
        <w:rPr/>
        <w:t>Surgimiento de las disciplinas</w:t>
      </w:r>
      <w:r>
        <w:rPr>
          <w:spacing w:val="-15"/>
        </w:rPr>
        <w:t> </w:t>
      </w:r>
      <w:r>
        <w:rPr/>
        <w:t>científicas</w:t>
      </w:r>
    </w:p>
    <w:p>
      <w:pPr>
        <w:pStyle w:val="BodyText"/>
        <w:spacing w:line="350" w:lineRule="auto" w:before="139"/>
        <w:ind w:left="122" w:right="115"/>
        <w:jc w:val="both"/>
        <w:rPr>
          <w:sz w:val="16"/>
        </w:rPr>
      </w:pPr>
      <w:r>
        <w:rPr/>
        <w:t>En el capítulo anterior mencionamos que la ciencia es un concepto polifacético y por lo tanto su definición depende del ámbito y corriente de pensamiento desde el que se realiza, si mientras para algunas posturas los procesos de análisis pueden ser científicos, de forma paradójica para otras no lo son.</w:t>
      </w:r>
      <w:r>
        <w:rPr>
          <w:position w:val="11"/>
          <w:sz w:val="16"/>
        </w:rPr>
        <w:t>6</w:t>
      </w:r>
    </w:p>
    <w:p>
      <w:pPr>
        <w:pStyle w:val="BodyText"/>
        <w:spacing w:before="8"/>
        <w:rPr>
          <w:sz w:val="35"/>
        </w:rPr>
      </w:pPr>
    </w:p>
    <w:p>
      <w:pPr>
        <w:pStyle w:val="BodyText"/>
        <w:spacing w:line="360" w:lineRule="auto" w:before="1"/>
        <w:ind w:left="122" w:right="115"/>
        <w:jc w:val="both"/>
      </w:pPr>
      <w:r>
        <w:rPr/>
        <w:t>Otra característica del concepto de ciencia es que cambia en el tiempo porque es realizado desde un contexto histórico del que dependen sus referentes, así por ejemplo, si su objetivo de transformar el entorno en beneficio del hombre se ha mantenido, no sucede lo mismo con sus referentes (paradigmas, teorías y conceptos) que debieron cambiar para que en la actualidad se impulse un menor impacto sobre los recursos naturales y mantener el entorno natural.</w:t>
      </w:r>
    </w:p>
    <w:p>
      <w:pPr>
        <w:pStyle w:val="BodyText"/>
      </w:pPr>
    </w:p>
    <w:p>
      <w:pPr>
        <w:pStyle w:val="BodyText"/>
        <w:spacing w:line="360" w:lineRule="auto" w:before="142"/>
        <w:ind w:left="122" w:right="116"/>
        <w:jc w:val="both"/>
      </w:pPr>
      <w:r>
        <w:rPr/>
        <w:t>También en el capítulo anterior mencionamos que la ciencia no es un concepto abstracto sin actores, por el contrario son los científicos y las instituciones académicas los encargados de conformar su narrativa histórica a través de las disciplinas científicas que son fundamentales para la organización de la ciencia, al interior de cada disciplina se han delimitado sus áreas de estudio como forma de aprehensión de una parte de la realidad.</w:t>
      </w:r>
    </w:p>
    <w:p>
      <w:pPr>
        <w:pStyle w:val="BodyText"/>
      </w:pPr>
    </w:p>
    <w:p>
      <w:pPr>
        <w:pStyle w:val="BodyText"/>
        <w:spacing w:before="139"/>
        <w:ind w:left="911" w:right="928"/>
        <w:jc w:val="both"/>
      </w:pPr>
      <w:r>
        <w:rPr/>
        <w:t>“una disciplina se define por un ámbito de objetos, un conjunto de métodos, un corpus de proposiciones consideradas verdaderas, un juego de reglas y de definiciones, de técnicas y de instrumentos” (Foucault, 1973:36).</w:t>
      </w:r>
    </w:p>
    <w:p>
      <w:pPr>
        <w:pStyle w:val="BodyText"/>
      </w:pPr>
    </w:p>
    <w:p>
      <w:pPr>
        <w:pStyle w:val="BodyText"/>
        <w:spacing w:line="360" w:lineRule="auto" w:before="142"/>
        <w:ind w:left="122" w:right="117"/>
        <w:jc w:val="both"/>
      </w:pPr>
      <w:r>
        <w:rPr/>
        <w:t>La constitución de una disciplina según Moulines (2013) se realiza a partir de seis criterios: 1) Tiene un nombre común y específico reconocido por sus  practicantes,</w:t>
      </w:r>
    </w:p>
    <w:p>
      <w:pPr>
        <w:pStyle w:val="BodyText"/>
        <w:spacing w:line="360" w:lineRule="auto" w:before="5"/>
        <w:ind w:left="122" w:right="116"/>
        <w:jc w:val="both"/>
      </w:pPr>
      <w:r>
        <w:rPr/>
        <w:t>2) Se han publicado revistas profesionales especializadas en la disciplina en cuestión, 3) Se realizan congresos sobre la temática de la disciplina, 4) Hay una impartición de cátedras y una presencia sistemática en planes de estudio, 5) Se publican libros dedicados a la enseñanza de las disciplinas y 6) Hay sociedades  o</w:t>
      </w:r>
    </w:p>
    <w:p>
      <w:pPr>
        <w:pStyle w:val="BodyText"/>
        <w:spacing w:before="6"/>
        <w:rPr>
          <w:sz w:val="29"/>
        </w:rPr>
      </w:pPr>
      <w:r>
        <w:rPr/>
        <w:pict>
          <v:line style="position:absolute;mso-position-horizontal-relative:page;mso-position-vertical-relative:paragraph;z-index:1336;mso-wrap-distance-left:0;mso-wrap-distance-right:0" from="85.103996pt,19.249918pt" to="229.123996pt,19.249918pt" stroked="true" strokeweight=".599980pt" strokecolor="#000000">
            <w10:wrap type="topAndBottom"/>
          </v:line>
        </w:pict>
      </w:r>
    </w:p>
    <w:p>
      <w:pPr>
        <w:spacing w:before="44"/>
        <w:ind w:left="122" w:right="0" w:firstLine="0"/>
        <w:jc w:val="left"/>
        <w:rPr>
          <w:sz w:val="20"/>
        </w:rPr>
      </w:pPr>
      <w:r>
        <w:rPr>
          <w:position w:val="10"/>
          <w:sz w:val="13"/>
        </w:rPr>
        <w:t>6 </w:t>
      </w:r>
      <w:r>
        <w:rPr>
          <w:sz w:val="20"/>
        </w:rPr>
        <w:t>Un ejemplo está dado por el realismo científico en contra posición a la fenomenología.</w:t>
      </w:r>
    </w:p>
    <w:p>
      <w:pPr>
        <w:spacing w:after="0"/>
        <w:jc w:val="left"/>
        <w:rPr>
          <w:sz w:val="20"/>
        </w:rPr>
        <w:sectPr>
          <w:pgSz w:w="12240" w:h="15840"/>
          <w:pgMar w:header="0" w:footer="689" w:top="1360" w:bottom="880" w:left="1580" w:right="1580"/>
        </w:sectPr>
      </w:pPr>
    </w:p>
    <w:p>
      <w:pPr>
        <w:pStyle w:val="BodyText"/>
        <w:spacing w:line="360" w:lineRule="auto" w:before="54"/>
        <w:ind w:left="102" w:right="116"/>
        <w:jc w:val="both"/>
      </w:pPr>
      <w:r>
        <w:rPr/>
        <w:t>asociaciones profesionales para la promoción de la disciplina. Las condiciones que establece Moulines para identificar una disciplina son indispensables para la demarcación de las disciplinas de reciente creación.</w:t>
      </w:r>
    </w:p>
    <w:p>
      <w:pPr>
        <w:pStyle w:val="BodyText"/>
      </w:pPr>
    </w:p>
    <w:p>
      <w:pPr>
        <w:pStyle w:val="BodyText"/>
        <w:spacing w:line="360" w:lineRule="auto" w:before="142"/>
        <w:ind w:left="102" w:right="115"/>
        <w:jc w:val="both"/>
      </w:pPr>
      <w:r>
        <w:rPr/>
        <w:t>Previo a la identificación de disciplinas es necesario no perder de vista que la mayoría de los estudios sobre historia de la disciplinas se hace desde la concepción que en la actualidad tenemos sobre </w:t>
      </w:r>
      <w:r>
        <w:rPr>
          <w:i/>
        </w:rPr>
        <w:t>la ciencia</w:t>
      </w:r>
      <w:r>
        <w:rPr/>
        <w:t>, por lo que las particularidades que atribuye Moulines a la disciplinas no necesariamente debemos encontrarlas en las disciplinas de los siglos anteriores para considerarlas como</w:t>
      </w:r>
      <w:r>
        <w:rPr>
          <w:spacing w:val="-5"/>
        </w:rPr>
        <w:t> </w:t>
      </w:r>
      <w:r>
        <w:rPr/>
        <w:t>tales.</w:t>
      </w:r>
    </w:p>
    <w:p>
      <w:pPr>
        <w:pStyle w:val="BodyText"/>
      </w:pPr>
    </w:p>
    <w:p>
      <w:pPr>
        <w:pStyle w:val="BodyText"/>
        <w:spacing w:line="360" w:lineRule="auto" w:before="142"/>
        <w:ind w:left="102" w:right="116"/>
        <w:jc w:val="both"/>
      </w:pPr>
      <w:r>
        <w:rPr/>
        <w:t>Desde la propuesta de Cerejido (1994) un aspecto a resaltar en el surgimiento de las disciplinas científicas es la forma en que el conocimiento científico fue demarcándose respecto a otros saberes, principalmente del religioso, y que conlleva una reflexión filosófica propia de la ciencia. En este sentido podemos hacer referencia a tres fases: a) Universalización, b) Disciplinamiento, y c) Reunificación.</w:t>
      </w:r>
    </w:p>
    <w:p>
      <w:pPr>
        <w:pStyle w:val="BodyText"/>
      </w:pPr>
    </w:p>
    <w:p>
      <w:pPr>
        <w:pStyle w:val="BodyText"/>
        <w:spacing w:line="360" w:lineRule="auto" w:before="142"/>
        <w:ind w:left="102" w:right="121"/>
        <w:jc w:val="both"/>
        <w:rPr>
          <w:i/>
        </w:rPr>
      </w:pPr>
      <w:r>
        <w:rPr/>
        <w:t>El primero está relacionado al inicio de la historia del conocimiento científico y en el que se hacia la distinción entre ciencia y filosofía, que a pesar de ser consideradas como formas de saber distintas aún existía un reconocimiento de las reflexiones filosóficas epistemológicas que darían las bases para el desarrollo de la ciencia. Es decir, independientemente de las estrategias de análisis de los científicos sociales aún realizaban reflexiones sobre los postulados que utilizaban para el estudio de </w:t>
      </w:r>
      <w:r>
        <w:rPr>
          <w:i/>
        </w:rPr>
        <w:t>la</w:t>
      </w:r>
      <w:r>
        <w:rPr>
          <w:i/>
          <w:spacing w:val="-8"/>
        </w:rPr>
        <w:t> </w:t>
      </w:r>
      <w:r>
        <w:rPr>
          <w:i/>
        </w:rPr>
        <w:t>realidad.</w:t>
      </w:r>
    </w:p>
    <w:p>
      <w:pPr>
        <w:pStyle w:val="BodyText"/>
        <w:rPr>
          <w:i/>
        </w:rPr>
      </w:pPr>
    </w:p>
    <w:p>
      <w:pPr>
        <w:pStyle w:val="BodyText"/>
        <w:spacing w:line="360" w:lineRule="auto" w:before="144"/>
        <w:ind w:left="102" w:right="118"/>
        <w:jc w:val="both"/>
      </w:pPr>
      <w:r>
        <w:rPr/>
        <w:t>Si bien no hay fechas exactas para el inicio y conclusión de esta fase, podemos ubicarla en el Renacimiento hasta la mitad del siglo XVII, tuvo como principal característica la secularización del conocimiento. Durante este periodo la explicación  del  universo  surge  a  partir  de  la  razón  generada  por  reflexiones,</w:t>
      </w:r>
    </w:p>
    <w:p>
      <w:pPr>
        <w:spacing w:after="0" w:line="360" w:lineRule="auto"/>
        <w:jc w:val="both"/>
        <w:sectPr>
          <w:pgSz w:w="12240" w:h="15840"/>
          <w:pgMar w:header="0" w:footer="689" w:top="1360" w:bottom="880" w:left="1600" w:right="1580"/>
        </w:sectPr>
      </w:pPr>
    </w:p>
    <w:p>
      <w:pPr>
        <w:pStyle w:val="BodyText"/>
        <w:spacing w:line="360" w:lineRule="auto" w:before="54"/>
        <w:ind w:left="102" w:right="127"/>
        <w:jc w:val="both"/>
      </w:pPr>
      <w:r>
        <w:rPr/>
        <w:t>observaciones y experimentos; aquí podemos hablar del inicio de una actividad descubridora, la cual hasta el siglo XVIII se le nombró como la ciencia.</w:t>
      </w:r>
    </w:p>
    <w:p>
      <w:pPr>
        <w:pStyle w:val="BodyText"/>
      </w:pPr>
    </w:p>
    <w:p>
      <w:pPr>
        <w:pStyle w:val="BodyText"/>
        <w:spacing w:line="360" w:lineRule="auto" w:before="142"/>
        <w:ind w:left="102" w:right="118"/>
        <w:jc w:val="both"/>
      </w:pPr>
      <w:r>
        <w:rPr/>
        <w:t>El segundo momento se da cuando el saber científico se especializa cada vez más, eso quería decir que sólo subconjuntos de científicos (los de cada subespecialidad) eran considerados miembros del grupo que tenía derecho a juzgar la validez de la verdad científica. La respuesta que daban los científicos es que sólo la comunidad de cada disciplina podía hacer explicaciones de su área. Con la especialización del conocimiento se generó la exclusión de las cuestiones epistemológicas de </w:t>
      </w:r>
      <w:r>
        <w:rPr>
          <w:i/>
        </w:rPr>
        <w:t>la ciencia</w:t>
      </w:r>
      <w:r>
        <w:rPr/>
        <w:t>, pocas veces se cuestionaban las teorías, metodologías y estrategias de análisis. Sin embargo rápidamente surgió la  cuestión de quién tenía derecho a juzgar cuál era la verdad entre afirmaciones científicas</w:t>
      </w:r>
      <w:r>
        <w:rPr>
          <w:spacing w:val="-6"/>
        </w:rPr>
        <w:t> </w:t>
      </w:r>
      <w:r>
        <w:rPr/>
        <w:t>rivales.</w:t>
      </w:r>
    </w:p>
    <w:p>
      <w:pPr>
        <w:pStyle w:val="BodyText"/>
      </w:pPr>
    </w:p>
    <w:p>
      <w:pPr>
        <w:pStyle w:val="BodyText"/>
        <w:spacing w:line="360" w:lineRule="auto" w:before="139"/>
        <w:ind w:left="102" w:right="115"/>
        <w:jc w:val="both"/>
      </w:pPr>
      <w:r>
        <w:rPr/>
        <w:t>Podemos ubicarla del siglo XVIII a principio del XX, existe la </w:t>
      </w:r>
      <w:r>
        <w:rPr>
          <w:i/>
        </w:rPr>
        <w:t>razón </w:t>
      </w:r>
      <w:r>
        <w:rPr/>
        <w:t>como medio de explicación y, al mismo tiempo, se da una reafirmación del dualismo  mente/materia propuesto por Descartes; es decir, se establece que el hombre existe independientemente del mundo físico y que las explicaciones que se hagan serán científicas sólo si son verificadas empíricamente. En esta fase podemos ubicar a la ciencia social que surgió en el siglo XVIII (que buscaba reestablecer el “orden” perdido a causa de la Revolución Francesa) y que hasta 1920 se hablará de una ciencia, la cual se conforma por cinco disciplinas: historia, economía, sociología, ciencia política, antropología y ciencias</w:t>
      </w:r>
      <w:r>
        <w:rPr>
          <w:spacing w:val="-15"/>
        </w:rPr>
        <w:t> </w:t>
      </w:r>
      <w:r>
        <w:rPr/>
        <w:t>orientales.</w:t>
      </w:r>
    </w:p>
    <w:p>
      <w:pPr>
        <w:pStyle w:val="BodyText"/>
      </w:pPr>
    </w:p>
    <w:p>
      <w:pPr>
        <w:pStyle w:val="BodyText"/>
        <w:spacing w:line="360" w:lineRule="auto" w:before="142"/>
        <w:ind w:left="102" w:right="117"/>
        <w:jc w:val="both"/>
      </w:pPr>
      <w:r>
        <w:rPr/>
        <w:t>En la tercera etapa se identifica la reunificación de las disciplinas, buscando sobre todo el proceso de unificación de sus lenguajes. Se retoman las reflexiones epistemológicas a partir de la aceptación de que las barreras disciplinarias y los recortes de la realidad muchas veces corresponden al ámbito de lo político (incluyendo el de los científicos y tecnólogos); ya que existen diferentes disciplinas que cuentan con organizaciones, con límites, estructuras y personal para defender sus intereses colectivos y garantizar su reproducción colectiva.</w:t>
      </w:r>
    </w:p>
    <w:p>
      <w:pPr>
        <w:spacing w:after="0" w:line="360" w:lineRule="auto"/>
        <w:jc w:val="both"/>
        <w:sectPr>
          <w:pgSz w:w="12240" w:h="15840"/>
          <w:pgMar w:header="0" w:footer="689" w:top="1360" w:bottom="880" w:left="1600" w:right="1580"/>
        </w:sectPr>
      </w:pPr>
    </w:p>
    <w:p>
      <w:pPr>
        <w:pStyle w:val="BodyText"/>
        <w:spacing w:before="7"/>
        <w:rPr>
          <w:sz w:val="22"/>
        </w:rPr>
      </w:pPr>
    </w:p>
    <w:p>
      <w:pPr>
        <w:pStyle w:val="BodyText"/>
        <w:spacing w:line="360" w:lineRule="auto" w:before="69"/>
        <w:ind w:left="122" w:right="116"/>
        <w:jc w:val="both"/>
      </w:pPr>
      <w:r>
        <w:rPr/>
        <w:t>Para lograr este objetivo se impulsó la reducción de las barreras entre las disciplinas, a través del apoyo de la investigación inter y transdiciplinaria, ya que  el análisis de algunas zonas problemáticas puede ser favorable si el enfoque combina las perspectivas de muchas disciplinas. Esta fase la ubicamos hacia fines del siglo XIX y llega a su desarrollo pleno en las décadas de 1950 y 1960, plantea el reconocimiento del hombre como sujeto, y no sólo como objeto de estudio, es decir, en el hombre como persona, con conciencia y libertad, así como una realidad social que no puede predecirse a priori, tampoco se pueden extrapolar situaciones dadas en otros</w:t>
      </w:r>
      <w:r>
        <w:rPr>
          <w:spacing w:val="-11"/>
        </w:rPr>
        <w:t> </w:t>
      </w:r>
      <w:r>
        <w:rPr/>
        <w:t>contextos.</w:t>
      </w:r>
    </w:p>
    <w:p>
      <w:pPr>
        <w:pStyle w:val="BodyText"/>
      </w:pPr>
    </w:p>
    <w:p>
      <w:pPr>
        <w:pStyle w:val="BodyText"/>
        <w:spacing w:line="360" w:lineRule="auto" w:before="142"/>
        <w:ind w:left="122" w:right="118"/>
        <w:jc w:val="both"/>
      </w:pPr>
      <w:r>
        <w:rPr/>
        <w:t>Para hablar de la ciencia como una actividad consolidada, según Chalmers (1999), es necesario hacer referencia a la primera gran revolución científica desarrollada durante el siglo XVII a través de Copérnico, Galileo, Bacón y Newton, donde se considera a la experiencia como fuente de conocimiento a partir del positivismo, que da prioridad al modelo de "objetividad científica” que produce conocimiento acerca del mundo bajo los principios explicativos sostenidos por la observación empírica.</w:t>
      </w:r>
    </w:p>
    <w:p>
      <w:pPr>
        <w:pStyle w:val="BodyText"/>
      </w:pPr>
    </w:p>
    <w:p>
      <w:pPr>
        <w:pStyle w:val="BodyText"/>
        <w:spacing w:before="139"/>
        <w:ind w:left="911" w:right="925"/>
        <w:jc w:val="both"/>
      </w:pPr>
      <w:r>
        <w:rPr/>
        <w:t>En el siglo XVII triunfa “el experimento —que ya en el Renacimiento había sido propuesto como el medio de controlar fidedignamente la experiencia— como el principio básico de la investigación de la ciencia” (Olvera, 1993:13).</w:t>
      </w:r>
    </w:p>
    <w:p>
      <w:pPr>
        <w:pStyle w:val="BodyText"/>
      </w:pPr>
    </w:p>
    <w:p>
      <w:pPr>
        <w:pStyle w:val="BodyText"/>
        <w:spacing w:line="352" w:lineRule="auto" w:before="139"/>
        <w:ind w:left="122" w:right="120"/>
        <w:jc w:val="both"/>
      </w:pPr>
      <w:r>
        <w:rPr/>
        <w:t>De este modo, según Cerejido (1994), la filosofía ha situado en numerosas ocasiones el concepto de </w:t>
      </w:r>
      <w:r>
        <w:rPr>
          <w:i/>
        </w:rPr>
        <w:t>modernidad </w:t>
      </w:r>
      <w:r>
        <w:rPr>
          <w:position w:val="11"/>
          <w:sz w:val="16"/>
        </w:rPr>
        <w:t>7 </w:t>
      </w:r>
      <w:r>
        <w:rPr/>
        <w:t>en los inicios del siglo XVII; en donde existe como idea principal la imagen de una esperanza de salvación secularizada, que se concretaba en el “progreso” y buscaba una felicidad terrena de forma individualizada.</w:t>
      </w:r>
    </w:p>
    <w:p>
      <w:pPr>
        <w:pStyle w:val="BodyText"/>
        <w:rPr>
          <w:sz w:val="20"/>
        </w:rPr>
      </w:pPr>
    </w:p>
    <w:p>
      <w:pPr>
        <w:pStyle w:val="BodyText"/>
        <w:rPr>
          <w:sz w:val="20"/>
        </w:rPr>
      </w:pPr>
    </w:p>
    <w:p>
      <w:pPr>
        <w:pStyle w:val="BodyText"/>
        <w:spacing w:before="2"/>
        <w:rPr>
          <w:sz w:val="22"/>
        </w:rPr>
      </w:pPr>
      <w:r>
        <w:rPr/>
        <w:pict>
          <v:line style="position:absolute;mso-position-horizontal-relative:page;mso-position-vertical-relative:paragraph;z-index:1360;mso-wrap-distance-left:0;mso-wrap-distance-right:0" from="85.103996pt,15.01806pt" to="229.123996pt,15.01806pt" stroked="true" strokeweight=".599980pt" strokecolor="#000000">
            <w10:wrap type="topAndBottom"/>
          </v:line>
        </w:pict>
      </w:r>
    </w:p>
    <w:p>
      <w:pPr>
        <w:spacing w:line="240" w:lineRule="auto" w:before="44"/>
        <w:ind w:left="122" w:right="520" w:firstLine="0"/>
        <w:jc w:val="both"/>
        <w:rPr>
          <w:sz w:val="20"/>
        </w:rPr>
      </w:pPr>
      <w:r>
        <w:rPr>
          <w:position w:val="10"/>
          <w:sz w:val="13"/>
        </w:rPr>
        <w:t>7 </w:t>
      </w:r>
      <w:r>
        <w:rPr>
          <w:sz w:val="20"/>
        </w:rPr>
        <w:t>A partir de aquel periodo se desarrollaron dos tradiciones: el empirismo fue introducido con el </w:t>
      </w:r>
      <w:r>
        <w:rPr>
          <w:i/>
          <w:sz w:val="20"/>
        </w:rPr>
        <w:t>Novum organum scientiarum </w:t>
      </w:r>
      <w:r>
        <w:rPr>
          <w:sz w:val="20"/>
        </w:rPr>
        <w:t>de Francis Bacon. El racionalismo, con el </w:t>
      </w:r>
      <w:r>
        <w:rPr>
          <w:i/>
          <w:sz w:val="20"/>
        </w:rPr>
        <w:t>Discours de la méthode </w:t>
      </w:r>
      <w:r>
        <w:rPr>
          <w:sz w:val="20"/>
        </w:rPr>
        <w:t>(1637) de René Descartes. Ambas tradiciones impulsaron el “desencantamiento del mundo”.</w:t>
      </w:r>
    </w:p>
    <w:p>
      <w:pPr>
        <w:spacing w:after="0" w:line="240" w:lineRule="auto"/>
        <w:jc w:val="both"/>
        <w:rPr>
          <w:sz w:val="20"/>
        </w:rPr>
        <w:sectPr>
          <w:pgSz w:w="12240" w:h="15840"/>
          <w:pgMar w:header="0" w:footer="689" w:top="1500" w:bottom="880" w:left="1580" w:right="1580"/>
        </w:sectPr>
      </w:pPr>
    </w:p>
    <w:p>
      <w:pPr>
        <w:pStyle w:val="BodyText"/>
        <w:spacing w:before="52"/>
        <w:ind w:left="891" w:right="927"/>
        <w:jc w:val="both"/>
      </w:pPr>
      <w:r>
        <w:rPr/>
        <w:t>De modo que si bien la idea de una ciencia unitaria y universal – que encadena todos los conocimientos humanos posibles en una sabiduría sistemática-, se atribuye a René Descartes, porque indudablemente él la elaboró y la representó convincentemente como tal (Cerejido,1994:53).</w:t>
      </w:r>
    </w:p>
    <w:p>
      <w:pPr>
        <w:pStyle w:val="BodyText"/>
      </w:pPr>
    </w:p>
    <w:p>
      <w:pPr>
        <w:pStyle w:val="BodyText"/>
        <w:spacing w:line="360" w:lineRule="auto" w:before="141"/>
        <w:ind w:left="102" w:right="115"/>
        <w:jc w:val="both"/>
      </w:pPr>
      <w:r>
        <w:rPr/>
        <w:t>El trabajo experimental y empírico obtuvo un papel preponderante dentro de la ciencia, por este motivo para los científicos naturales las reflexiones filosóficas perdieron importancia porque generaba resultados imposibles de poner a prueba y proclamaron que su forma de saber era la única forma racional de conocimiento.</w:t>
      </w:r>
    </w:p>
    <w:p>
      <w:pPr>
        <w:pStyle w:val="BodyText"/>
      </w:pPr>
    </w:p>
    <w:p>
      <w:pPr>
        <w:pStyle w:val="BodyText"/>
        <w:spacing w:line="360" w:lineRule="auto" w:before="142"/>
        <w:ind w:left="102" w:right="115"/>
        <w:jc w:val="both"/>
      </w:pPr>
      <w:r>
        <w:rPr/>
        <w:t>Continuando con Cerejido (1994) para el comienzo del siglo XIX la división del conocimiento había adquirido una jerarquía, donde la ciencia natural consiguió para sí una legitimidad socio-intelectual totalmente separada e incluso en  oposición a la filosofía. Se proclamó que la ciencia era el descubrimiento de la realidad objetiva, y fue así que durante el siglo XVIII y XIX la ciencia, específicamente la natural, se consolida y, a la vez, mantiene una disputa con las humanidades (concretamente con la</w:t>
      </w:r>
      <w:r>
        <w:rPr>
          <w:spacing w:val="-18"/>
        </w:rPr>
        <w:t> </w:t>
      </w:r>
      <w:r>
        <w:rPr/>
        <w:t>filosofía).</w:t>
      </w:r>
    </w:p>
    <w:p>
      <w:pPr>
        <w:pStyle w:val="BodyText"/>
      </w:pPr>
    </w:p>
    <w:p>
      <w:pPr>
        <w:pStyle w:val="BodyText"/>
      </w:pPr>
    </w:p>
    <w:p>
      <w:pPr>
        <w:pStyle w:val="BodyText"/>
        <w:spacing w:before="5"/>
      </w:pPr>
    </w:p>
    <w:p>
      <w:pPr>
        <w:pStyle w:val="Heading1"/>
        <w:numPr>
          <w:ilvl w:val="1"/>
          <w:numId w:val="6"/>
        </w:numPr>
        <w:tabs>
          <w:tab w:pos="570" w:val="left" w:leader="none"/>
        </w:tabs>
        <w:spacing w:line="240" w:lineRule="auto" w:before="0" w:after="0"/>
        <w:ind w:left="569" w:right="0" w:hanging="467"/>
        <w:jc w:val="both"/>
      </w:pPr>
      <w:r>
        <w:rPr/>
        <w:t>Surgimiento de las disciplinas científicas</w:t>
      </w:r>
      <w:r>
        <w:rPr>
          <w:spacing w:val="-20"/>
        </w:rPr>
        <w:t> </w:t>
      </w:r>
      <w:r>
        <w:rPr/>
        <w:t>sociales</w:t>
      </w:r>
    </w:p>
    <w:p>
      <w:pPr>
        <w:pStyle w:val="BodyText"/>
        <w:spacing w:line="360" w:lineRule="auto" w:before="137"/>
        <w:ind w:left="102" w:right="119"/>
        <w:jc w:val="both"/>
      </w:pPr>
      <w:r>
        <w:rPr/>
        <w:t>Según Wallerstein (2001), posterior a la Revolución Francesa existió una transformación política y social, en la cual se proclamaba un cambio en la estructura social, por lo tanto ya no resultaba fácil contener esas exigencias mediante la proclamación de teorías sobre un supuesto orden natural de la vida social; ya que entre “1500 y 1800 los diversos Estados ya se habían  acostumbrado a dirigirse a especialistas, en general empleados públicos, para que los ayudaran a crear política, particularmente en sus momentos mercantilistas” (Wallerstein,</w:t>
      </w:r>
      <w:r>
        <w:rPr>
          <w:spacing w:val="-10"/>
        </w:rPr>
        <w:t> </w:t>
      </w:r>
      <w:r>
        <w:rPr/>
        <w:t>2001:165).</w:t>
      </w:r>
    </w:p>
    <w:p>
      <w:pPr>
        <w:pStyle w:val="BodyText"/>
      </w:pPr>
    </w:p>
    <w:p>
      <w:pPr>
        <w:pStyle w:val="BodyText"/>
        <w:spacing w:line="360" w:lineRule="auto" w:before="142"/>
        <w:ind w:left="102" w:right="121"/>
        <w:jc w:val="both"/>
      </w:pPr>
      <w:r>
        <w:rPr/>
        <w:t>A pesar de que la revolución Francesa fue el cambio más importante del siglo XVIII, que a la vez moldeó la visión de la ciencia sobre el mundo, la idea de objetividad se mantenía firme y dominaba los espacios académicos. Sin embargo,</w:t>
      </w:r>
    </w:p>
    <w:p>
      <w:pPr>
        <w:spacing w:after="0" w:line="360" w:lineRule="auto"/>
        <w:jc w:val="both"/>
        <w:sectPr>
          <w:pgSz w:w="12240" w:h="15840"/>
          <w:pgMar w:header="0" w:footer="689" w:top="1360" w:bottom="880" w:left="1600" w:right="1580"/>
        </w:sectPr>
      </w:pPr>
    </w:p>
    <w:p>
      <w:pPr>
        <w:pStyle w:val="BodyText"/>
        <w:spacing w:before="4"/>
        <w:rPr>
          <w:sz w:val="22"/>
        </w:rPr>
      </w:pPr>
    </w:p>
    <w:p>
      <w:pPr>
        <w:pStyle w:val="BodyText"/>
        <w:spacing w:before="70"/>
        <w:ind w:left="1071" w:right="926"/>
        <w:jc w:val="both"/>
      </w:pPr>
      <w:r>
        <w:rPr/>
        <w:t>“la lucha epistemológica sobre qué era conocimiento legítimo ya no era solamente una lucha sobre quién controlaría el conocimiento sobre la naturaleza (para el siglo XVIII estaba claro que los científicos naturales habían ganado los derechos exclusivos sobre ese campo) sino sobre quién controlaría el conocimiento sobre el mundo humano” (Wallerstein, 1998b:8).</w:t>
      </w:r>
    </w:p>
    <w:p>
      <w:pPr>
        <w:pStyle w:val="BodyText"/>
      </w:pPr>
    </w:p>
    <w:p>
      <w:pPr>
        <w:pStyle w:val="BodyText"/>
        <w:spacing w:line="360" w:lineRule="auto" w:before="139"/>
        <w:ind w:left="102" w:right="122"/>
        <w:jc w:val="both"/>
      </w:pPr>
      <w:r>
        <w:rPr/>
        <w:t>Por ello, no resultaba difícil el proponer un nuevo orden social a través de los esquemas de la ciencia, que cuanto más exactos (o “positivos”) fuesen mejor serían los resultados, utilizando sus principios al examen de la sociedad y las instituciones que se tradujera en un progreso moral. Así, el estudio de los problemas sociales hizo que surgieran nuevos grupos de “estudiosos” en esa  área; esta nueva actividad intelectual aún mantenía una estrecha relación con los filósofos, ya que se consideraba que para resolver los problemas era necesaria la búsqueda de esquemas generales que permitieran explicar datos</w:t>
      </w:r>
      <w:r>
        <w:rPr>
          <w:spacing w:val="-27"/>
        </w:rPr>
        <w:t> </w:t>
      </w:r>
      <w:r>
        <w:rPr/>
        <w:t>empíricos.</w:t>
      </w:r>
    </w:p>
    <w:p>
      <w:pPr>
        <w:pStyle w:val="BodyText"/>
      </w:pPr>
    </w:p>
    <w:p>
      <w:pPr>
        <w:pStyle w:val="BodyText"/>
        <w:spacing w:before="139"/>
        <w:ind w:left="1071" w:right="927"/>
        <w:jc w:val="both"/>
      </w:pPr>
      <w:r>
        <w:rPr/>
        <w:t>Es precisamente para poner remedio a esta “anarquía científica”, a este “unánime rechazo de los científicos a toda especie de generalidad”, a su “predilección exclusiva, viciosamente sistematizada, por las especialidades cada vez más restringidas”, que Comte construye su famosa clasificación de las ciencias: matemática, astronomía, física, química, biología, sociología. (Geymonat, 1993:</w:t>
      </w:r>
      <w:r>
        <w:rPr>
          <w:spacing w:val="-6"/>
        </w:rPr>
        <w:t> </w:t>
      </w:r>
      <w:r>
        <w:rPr/>
        <w:t>78).</w:t>
      </w:r>
    </w:p>
    <w:p>
      <w:pPr>
        <w:pStyle w:val="BodyText"/>
      </w:pPr>
    </w:p>
    <w:p>
      <w:pPr>
        <w:pStyle w:val="BodyText"/>
        <w:spacing w:line="360" w:lineRule="auto" w:before="139"/>
        <w:ind w:left="102" w:right="118"/>
        <w:jc w:val="both"/>
      </w:pPr>
      <w:r>
        <w:rPr/>
        <w:t>Con la división entre la ciencia (no olvidemos que se hacía referencia a la natural) y la filosofía, Auguste Comte revive el término </w:t>
      </w:r>
      <w:r>
        <w:rPr>
          <w:i/>
        </w:rPr>
        <w:t>física-social </w:t>
      </w:r>
      <w:r>
        <w:rPr/>
        <w:t>donde expresaba claramente su interés político, ya que quería salvar a Occidente de la “corrupción sistemática” que se debía a la </w:t>
      </w:r>
      <w:r>
        <w:rPr>
          <w:i/>
        </w:rPr>
        <w:t>anarquía intelectual </w:t>
      </w:r>
      <w:r>
        <w:rPr/>
        <w:t>manifiesta desde la Revolución Francesa.</w:t>
      </w:r>
    </w:p>
    <w:p>
      <w:pPr>
        <w:pStyle w:val="BodyText"/>
      </w:pPr>
    </w:p>
    <w:p>
      <w:pPr>
        <w:pStyle w:val="BodyText"/>
        <w:spacing w:before="139"/>
        <w:ind w:left="1071" w:right="927"/>
        <w:jc w:val="both"/>
      </w:pPr>
      <w:r>
        <w:rPr/>
        <w:t>Pero si bien era claro que la base de las divisiones dentro de las ciencias sociales se estaba cristalizando en la primera mitad del siglo XIX, la diversificación intelectual reflejada en la estructura disciplinaria de las ciencias sociales sólo fue formalmente reconocida en las principales universidades, en las formas en que las conocemos hoy, en el periodo comprendido entre 1850  y 1914. Es obvio que en el periodo comprendido entre 1500 y  1850</w:t>
      </w:r>
    </w:p>
    <w:p>
      <w:pPr>
        <w:spacing w:after="0"/>
        <w:jc w:val="both"/>
        <w:sectPr>
          <w:pgSz w:w="12240" w:h="15840"/>
          <w:pgMar w:header="0" w:footer="689" w:top="1500" w:bottom="880" w:left="1600" w:right="1580"/>
        </w:sectPr>
      </w:pPr>
    </w:p>
    <w:p>
      <w:pPr>
        <w:pStyle w:val="BodyText"/>
        <w:spacing w:before="52"/>
        <w:ind w:left="1071" w:right="925"/>
        <w:jc w:val="both"/>
      </w:pPr>
      <w:r>
        <w:rPr/>
        <w:t>ya existía una literatura sobre muchos de los asuntos centrales tratados por lo que hoy llamamos ciencia social (Wallerstein, 1998a:16).</w:t>
      </w:r>
    </w:p>
    <w:p>
      <w:pPr>
        <w:pStyle w:val="BodyText"/>
      </w:pPr>
    </w:p>
    <w:p>
      <w:pPr>
        <w:pStyle w:val="BodyText"/>
        <w:spacing w:line="360" w:lineRule="auto" w:before="141"/>
        <w:ind w:left="102" w:right="115"/>
        <w:jc w:val="both"/>
      </w:pPr>
      <w:r>
        <w:rPr/>
        <w:t>Esta división racional prometía ser intelectualmente productiva, no sólo por la diversificación del conocimiento científico, sino también por la profesionalización del conocimiento a través de estructuras institucionales para producirlo, así podemos considerar que en este siglo se da el resurgimiento de las universidades como centros de producción institucionalizada de conocimiento.</w:t>
      </w:r>
    </w:p>
    <w:p>
      <w:pPr>
        <w:pStyle w:val="BodyText"/>
      </w:pPr>
    </w:p>
    <w:p>
      <w:pPr>
        <w:pStyle w:val="BodyText"/>
        <w:spacing w:before="142"/>
        <w:ind w:left="102"/>
        <w:jc w:val="both"/>
      </w:pPr>
      <w:r>
        <w:rPr/>
        <w:t>En este sentido, la universidad en este siglo XIX,</w:t>
      </w:r>
    </w:p>
    <w:p>
      <w:pPr>
        <w:pStyle w:val="BodyText"/>
      </w:pPr>
    </w:p>
    <w:p>
      <w:pPr>
        <w:pStyle w:val="BodyText"/>
        <w:spacing w:before="9"/>
        <w:rPr>
          <w:sz w:val="23"/>
        </w:rPr>
      </w:pPr>
    </w:p>
    <w:p>
      <w:pPr>
        <w:pStyle w:val="BodyText"/>
        <w:ind w:left="1071" w:right="923"/>
        <w:jc w:val="both"/>
      </w:pPr>
      <w:r>
        <w:rPr/>
        <w:t>En el marco de los Estados-nación, crecimiento del aporte científico y el fortalecimiento de la economía mundo-mundo capitalista, el propósito de la enseñanza universitaria tendió hacia la preservación cultural de la identidad, la práctica y la técnica. Se dio la ramificación disciplinar y la competencia académica disciplinar; la lectio (interpretación de textos) fue sustituida por la conferencia; el canon establecido de verdades fue sustituido por el estudio y aprendizaje independiente vinculado  directamente con la investigación científica institucionalizada (modelo de Humboldt), y se crearon profesiones prácticas como: ingeniería, trabajo social, psicología, administración y periodismo (Pedroza, 2003:</w:t>
      </w:r>
      <w:r>
        <w:rPr>
          <w:spacing w:val="-5"/>
        </w:rPr>
        <w:t> </w:t>
      </w:r>
      <w:r>
        <w:rPr/>
        <w:t>120)</w:t>
      </w:r>
    </w:p>
    <w:p>
      <w:pPr>
        <w:pStyle w:val="BodyText"/>
      </w:pPr>
    </w:p>
    <w:p>
      <w:pPr>
        <w:pStyle w:val="BodyText"/>
        <w:spacing w:line="360" w:lineRule="auto" w:before="139"/>
        <w:ind w:left="102" w:right="116"/>
        <w:jc w:val="both"/>
      </w:pPr>
      <w:r>
        <w:rPr/>
        <w:t>Otro aspecto importante de este disciplinamiento de la ciencia fue la proclamación del sistema newtoniano como base técnica dentro de la ciencia social; de esta forma, con la ruptura definitiva con la filosofía se olvidó la discusión filosófica dentro de la ciencia natural y, especialmente, en la social. Ya que para alcanzar verdades científicas </w:t>
      </w:r>
      <w:r>
        <w:rPr>
          <w:i/>
        </w:rPr>
        <w:t>universales </w:t>
      </w:r>
      <w:r>
        <w:rPr/>
        <w:t>y comprobables, sólo se tenía que tomar el modelo de las ciencias naturales y en particular, el método experimental como garantía de cientificidad.</w:t>
      </w:r>
    </w:p>
    <w:p>
      <w:pPr>
        <w:pStyle w:val="BodyText"/>
      </w:pPr>
    </w:p>
    <w:p>
      <w:pPr>
        <w:pStyle w:val="BodyText"/>
        <w:spacing w:before="139"/>
        <w:ind w:left="1071" w:right="924"/>
        <w:jc w:val="both"/>
      </w:pPr>
      <w:r>
        <w:rPr/>
        <w:t>La creación de las múltiples disciplinas de ciencia social fue parte del intento general del siglo XIX de obtener e impulsar el conocimiento “objetivo” de la “realidad” con base en descubrimientos empíricos (lo contrario de la “especulación”). Se intentaba “aprender” la verdad, no inventarla o intuirla. Ante  todo,</w:t>
      </w:r>
    </w:p>
    <w:p>
      <w:pPr>
        <w:spacing w:after="0"/>
        <w:jc w:val="both"/>
        <w:sectPr>
          <w:pgSz w:w="12240" w:h="15840"/>
          <w:pgMar w:header="0" w:footer="689" w:top="1360" w:bottom="880" w:left="1600" w:right="1580"/>
        </w:sectPr>
      </w:pPr>
    </w:p>
    <w:p>
      <w:pPr>
        <w:pStyle w:val="BodyText"/>
        <w:spacing w:before="52"/>
        <w:ind w:left="1071" w:right="927"/>
        <w:jc w:val="both"/>
      </w:pPr>
      <w:r>
        <w:rPr/>
        <w:t>no estaba claro si esa actividad iba a ser una sola o debería dividirse más bien en varias disciplinas, como ocurrió después. Y lo menos claro de todo era si las ciencias sociales podían ser consideradas en algún sentido como una “tercera cultura”, situada “entre la ciencia y la literatura  (Wallerstein, 1998a:25).</w:t>
      </w:r>
    </w:p>
    <w:p>
      <w:pPr>
        <w:pStyle w:val="BodyText"/>
      </w:pPr>
    </w:p>
    <w:p>
      <w:pPr>
        <w:pStyle w:val="BodyText"/>
        <w:spacing w:line="360" w:lineRule="auto" w:before="141"/>
        <w:ind w:left="102" w:right="117"/>
        <w:jc w:val="both"/>
      </w:pPr>
      <w:r>
        <w:rPr/>
        <w:t>No olvidemos que al principio del siglo XIX la matemática y las ciencias naturales se ubican en la cima de la pirámide del conocimiento, dejando en segundo plano a las humanidades. Sin embargo existía un tercer nivel, en el cual se ubicaba a la reciente “ciencia social” y a la historia (véase figura 6).</w:t>
      </w:r>
    </w:p>
    <w:p>
      <w:pPr>
        <w:pStyle w:val="BodyText"/>
      </w:pPr>
    </w:p>
    <w:p>
      <w:pPr>
        <w:pStyle w:val="BodyText"/>
        <w:spacing w:before="3"/>
      </w:pPr>
    </w:p>
    <w:p>
      <w:pPr>
        <w:pStyle w:val="Heading1"/>
        <w:ind w:left="100" w:right="117"/>
      </w:pPr>
      <w:r>
        <w:rPr/>
        <w:t>Figura 5</w:t>
      </w:r>
    </w:p>
    <w:p>
      <w:pPr>
        <w:spacing w:before="0"/>
        <w:ind w:left="95" w:right="117" w:firstLine="0"/>
        <w:jc w:val="center"/>
        <w:rPr>
          <w:b/>
          <w:sz w:val="24"/>
        </w:rPr>
      </w:pPr>
      <w:r>
        <w:rPr>
          <w:b/>
          <w:sz w:val="24"/>
        </w:rPr>
        <w:t>División de la ciencia durante la segunda mitad del siglo XIX</w:t>
      </w:r>
    </w:p>
    <w:p>
      <w:pPr>
        <w:pStyle w:val="BodyText"/>
        <w:rPr>
          <w:b/>
          <w:sz w:val="20"/>
        </w:rPr>
      </w:pPr>
    </w:p>
    <w:p>
      <w:pPr>
        <w:pStyle w:val="BodyText"/>
        <w:spacing w:before="9"/>
        <w:rPr>
          <w:b/>
          <w:sz w:val="12"/>
        </w:rPr>
      </w:pPr>
      <w:r>
        <w:rPr/>
        <w:drawing>
          <wp:anchor distT="0" distB="0" distL="0" distR="0" allowOverlap="1" layoutInCell="1" locked="0" behindDoc="0" simplePos="0" relativeHeight="1384">
            <wp:simplePos x="0" y="0"/>
            <wp:positionH relativeFrom="page">
              <wp:posOffset>1084580</wp:posOffset>
            </wp:positionH>
            <wp:positionV relativeFrom="paragraph">
              <wp:posOffset>118592</wp:posOffset>
            </wp:positionV>
            <wp:extent cx="5643561" cy="3866197"/>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7" cstate="print"/>
                    <a:stretch>
                      <a:fillRect/>
                    </a:stretch>
                  </pic:blipFill>
                  <pic:spPr>
                    <a:xfrm>
                      <a:off x="0" y="0"/>
                      <a:ext cx="5643561" cy="3866197"/>
                    </a:xfrm>
                    <a:prstGeom prst="rect">
                      <a:avLst/>
                    </a:prstGeom>
                  </pic:spPr>
                </pic:pic>
              </a:graphicData>
            </a:graphic>
          </wp:anchor>
        </w:drawing>
      </w:r>
    </w:p>
    <w:p>
      <w:pPr>
        <w:spacing w:before="63"/>
        <w:ind w:left="98" w:right="117" w:firstLine="0"/>
        <w:jc w:val="center"/>
        <w:rPr>
          <w:sz w:val="20"/>
        </w:rPr>
      </w:pPr>
      <w:r>
        <w:rPr>
          <w:sz w:val="20"/>
        </w:rPr>
        <w:t>Fuente: Elaboración propia a partir de Wallerstein, Immanuel (2001)</w:t>
      </w:r>
    </w:p>
    <w:p>
      <w:pPr>
        <w:pStyle w:val="BodyText"/>
        <w:rPr>
          <w:sz w:val="20"/>
        </w:rPr>
      </w:pPr>
    </w:p>
    <w:p>
      <w:pPr>
        <w:pStyle w:val="BodyText"/>
        <w:spacing w:before="2"/>
        <w:rPr>
          <w:sz w:val="26"/>
        </w:rPr>
      </w:pPr>
    </w:p>
    <w:p>
      <w:pPr>
        <w:pStyle w:val="BodyText"/>
        <w:spacing w:line="360" w:lineRule="auto"/>
        <w:ind w:left="102" w:right="126" w:hanging="1"/>
        <w:jc w:val="center"/>
      </w:pPr>
      <w:r>
        <w:rPr/>
        <w:t>Como lo hemos comentado en párrafos anteriores con la separación total de la “ciencia social” frente a la filosofía, ésta buscaba alinearse a los esquemas de   las</w:t>
      </w:r>
    </w:p>
    <w:p>
      <w:pPr>
        <w:spacing w:after="0" w:line="360" w:lineRule="auto"/>
        <w:jc w:val="center"/>
        <w:sectPr>
          <w:pgSz w:w="12240" w:h="15840"/>
          <w:pgMar w:header="0" w:footer="689" w:top="1360" w:bottom="880" w:left="1600" w:right="1580"/>
        </w:sectPr>
      </w:pPr>
    </w:p>
    <w:p>
      <w:pPr>
        <w:pStyle w:val="BodyText"/>
        <w:spacing w:line="360" w:lineRule="auto" w:before="54"/>
        <w:ind w:left="102" w:right="120"/>
        <w:jc w:val="both"/>
      </w:pPr>
      <w:r>
        <w:rPr/>
        <w:t>ciencias naturales, pero por obvias razones no llegaría a tener el nivel de esquematización y predicción como en ese momento lo tenía la química, biología  o física. En cambio la historia contaba con mayor aceptación que la filosofía, ya que se le veía como el medio para elaborar relatos históricos nacionales con el objeto de dar soporte a nuevas</w:t>
      </w:r>
      <w:r>
        <w:rPr>
          <w:spacing w:val="-16"/>
        </w:rPr>
        <w:t> </w:t>
      </w:r>
      <w:r>
        <w:rPr/>
        <w:t>soberanías.</w:t>
      </w:r>
    </w:p>
    <w:p>
      <w:pPr>
        <w:pStyle w:val="BodyText"/>
      </w:pPr>
    </w:p>
    <w:p>
      <w:pPr>
        <w:pStyle w:val="BodyText"/>
        <w:spacing w:line="360" w:lineRule="auto" w:before="142"/>
        <w:ind w:left="102" w:right="117"/>
        <w:jc w:val="both"/>
      </w:pPr>
      <w:r>
        <w:rPr/>
        <w:t>Sin embargo, tal como lo menciona Wallerstein (1998a), entre la ciencia social de ese siglo y la historia se dio una diferencia fundamental relacionada con un énfasis epistemológico diferente, es decir, existió una división entre una posición nomotética e idiográfica. Esta división para el estudio de la </w:t>
      </w:r>
      <w:r>
        <w:rPr>
          <w:i/>
        </w:rPr>
        <w:t>realidad </w:t>
      </w:r>
      <w:r>
        <w:rPr/>
        <w:t>quizás fue la discusión más importante hecha sobre la ciencia social durante el siglo XIX, por lo que vale la pena conocer sus principales postulados ya que, como lo veremos en páginas siguientes, resultará de particular interés la reflexión de ellos para después contrastarlos en un contexto donde el paradigma científico-positivista ya no se considera como la corriente</w:t>
      </w:r>
      <w:r>
        <w:rPr>
          <w:spacing w:val="-13"/>
        </w:rPr>
        <w:t> </w:t>
      </w:r>
      <w:r>
        <w:rPr/>
        <w:t>dominante.</w:t>
      </w:r>
    </w:p>
    <w:p>
      <w:pPr>
        <w:pStyle w:val="BodyText"/>
      </w:pPr>
    </w:p>
    <w:p>
      <w:pPr>
        <w:pStyle w:val="BodyText"/>
        <w:spacing w:line="360" w:lineRule="auto" w:before="142"/>
        <w:ind w:left="102" w:right="116"/>
        <w:jc w:val="both"/>
      </w:pPr>
      <w:r>
        <w:rPr/>
        <w:t>Es interesante destacar, siguiendo a Wallerstein (1998a), que la ciencia social surgió buscando establecer leyes generales del comportamiento humano y de la sociedad con el fin de explicar los acontecimientos en curso, por lo que en países como Inglaterra, Francia o Estados Unidos alcanzó un mayor auge por su importancia para desarrollar políticas de planificación y de reforma social. Para ello, segmentaron la realidad, construyeron sus propios datos y utilizaron sus propias formas de contrastación empírica a través de una observación directa independiente del trabajo de</w:t>
      </w:r>
      <w:r>
        <w:rPr>
          <w:spacing w:val="-13"/>
        </w:rPr>
        <w:t> </w:t>
      </w:r>
      <w:r>
        <w:rPr/>
        <w:t>archivos.</w:t>
      </w:r>
    </w:p>
    <w:p>
      <w:pPr>
        <w:pStyle w:val="BodyText"/>
      </w:pPr>
    </w:p>
    <w:p>
      <w:pPr>
        <w:pStyle w:val="BodyText"/>
        <w:spacing w:line="360" w:lineRule="auto" w:before="142"/>
        <w:ind w:left="102" w:right="116"/>
        <w:jc w:val="both"/>
      </w:pPr>
      <w:r>
        <w:rPr/>
        <w:t>Para Wallerstein (1998a), en el esfuerzo por privilegiar el pasado, la historia como disciplina fue particularmente importante en países como Alemania e Italia, preocupados por crear una identidad nacional a mediados del siglo XIX. La historia se encaminó a reconstruir la realidad pasada a fin de escribir la historia nacional  de los pueblos promoviendo la unidad</w:t>
      </w:r>
      <w:r>
        <w:rPr>
          <w:spacing w:val="-15"/>
        </w:rPr>
        <w:t> </w:t>
      </w:r>
      <w:r>
        <w:rPr/>
        <w:t>nacional.</w:t>
      </w:r>
    </w:p>
    <w:p>
      <w:pPr>
        <w:spacing w:after="0" w:line="360" w:lineRule="auto"/>
        <w:jc w:val="both"/>
        <w:sectPr>
          <w:pgSz w:w="12240" w:h="15840"/>
          <w:pgMar w:header="0" w:footer="689" w:top="1360" w:bottom="880" w:left="1600" w:right="1580"/>
        </w:sectPr>
      </w:pPr>
    </w:p>
    <w:p>
      <w:pPr>
        <w:pStyle w:val="BodyText"/>
        <w:spacing w:line="360" w:lineRule="auto" w:before="52"/>
        <w:ind w:left="102" w:right="119"/>
        <w:jc w:val="both"/>
      </w:pPr>
      <w:r>
        <w:rPr/>
        <w:t>Si bien en un principio la historia buscó su </w:t>
      </w:r>
      <w:r>
        <w:rPr>
          <w:i/>
        </w:rPr>
        <w:t>status </w:t>
      </w:r>
      <w:r>
        <w:rPr/>
        <w:t>de cientificidad enfatizando la existencia de un mundo real objetivo, la neutralidad del investigador y la búsqueda de la evidencia empírica en las fuentes documentales existentes en los archivos, con el desarrollo de su actividad fue identificando que la “historia real” de los pueblos estaba llena de </w:t>
      </w:r>
      <w:r>
        <w:rPr>
          <w:i/>
        </w:rPr>
        <w:t>particularidades</w:t>
      </w:r>
      <w:r>
        <w:rPr/>
        <w:t>, por lo que no se podía hablar  una historia </w:t>
      </w:r>
      <w:r>
        <w:rPr>
          <w:i/>
        </w:rPr>
        <w:t>general </w:t>
      </w:r>
      <w:r>
        <w:rPr/>
        <w:t>para su estudio.</w:t>
      </w:r>
    </w:p>
    <w:p>
      <w:pPr>
        <w:pStyle w:val="BodyText"/>
      </w:pPr>
    </w:p>
    <w:p>
      <w:pPr>
        <w:pStyle w:val="BodyText"/>
        <w:spacing w:line="360" w:lineRule="auto" w:before="144"/>
        <w:ind w:left="102" w:right="115"/>
        <w:jc w:val="both"/>
      </w:pPr>
      <w:r>
        <w:rPr/>
        <w:t>De esta forma, en el siglo XIX a la ciencia social, a partir de las diferencias de análisis metodológico con la historia, se le vinculaba con las ciencias naturales y utilizaba lo que se llamaba una </w:t>
      </w:r>
      <w:r>
        <w:rPr>
          <w:i/>
        </w:rPr>
        <w:t>epistemología nomotética </w:t>
      </w:r>
      <w:r>
        <w:rPr/>
        <w:t>con las siguientes características:</w:t>
      </w:r>
    </w:p>
    <w:p>
      <w:pPr>
        <w:pStyle w:val="BodyText"/>
      </w:pPr>
    </w:p>
    <w:p>
      <w:pPr>
        <w:pStyle w:val="ListParagraph"/>
        <w:numPr>
          <w:ilvl w:val="2"/>
          <w:numId w:val="6"/>
        </w:numPr>
        <w:tabs>
          <w:tab w:pos="822" w:val="left" w:leader="none"/>
        </w:tabs>
        <w:spacing w:line="240" w:lineRule="auto" w:before="142" w:after="0"/>
        <w:ind w:left="822" w:right="0" w:hanging="360"/>
        <w:jc w:val="left"/>
        <w:rPr>
          <w:sz w:val="24"/>
        </w:rPr>
      </w:pPr>
      <w:r>
        <w:rPr>
          <w:sz w:val="24"/>
        </w:rPr>
        <w:t>Paralelismo lógico entre los procesos humanos y procesos</w:t>
      </w:r>
      <w:r>
        <w:rPr>
          <w:spacing w:val="-21"/>
          <w:sz w:val="24"/>
        </w:rPr>
        <w:t> </w:t>
      </w:r>
      <w:r>
        <w:rPr>
          <w:sz w:val="24"/>
        </w:rPr>
        <w:t>materiales.</w:t>
      </w:r>
    </w:p>
    <w:p>
      <w:pPr>
        <w:pStyle w:val="ListParagraph"/>
        <w:numPr>
          <w:ilvl w:val="2"/>
          <w:numId w:val="6"/>
        </w:numPr>
        <w:tabs>
          <w:tab w:pos="822" w:val="left" w:leader="none"/>
        </w:tabs>
        <w:spacing w:line="360" w:lineRule="auto" w:before="139" w:after="0"/>
        <w:ind w:left="822" w:right="127" w:hanging="360"/>
        <w:jc w:val="left"/>
        <w:rPr>
          <w:sz w:val="24"/>
        </w:rPr>
      </w:pPr>
      <w:r>
        <w:rPr>
          <w:sz w:val="24"/>
        </w:rPr>
        <w:t>Buscaba leyes simples y universales con validez en el tiempo y en el espacio a semejanza de la</w:t>
      </w:r>
      <w:r>
        <w:rPr>
          <w:spacing w:val="-9"/>
          <w:sz w:val="24"/>
        </w:rPr>
        <w:t> </w:t>
      </w:r>
      <w:r>
        <w:rPr>
          <w:sz w:val="24"/>
        </w:rPr>
        <w:t>física.</w:t>
      </w:r>
    </w:p>
    <w:p>
      <w:pPr>
        <w:pStyle w:val="ListParagraph"/>
        <w:numPr>
          <w:ilvl w:val="2"/>
          <w:numId w:val="6"/>
        </w:numPr>
        <w:tabs>
          <w:tab w:pos="822" w:val="left" w:leader="none"/>
        </w:tabs>
        <w:spacing w:line="240" w:lineRule="auto" w:before="5" w:after="0"/>
        <w:ind w:left="822" w:right="0" w:hanging="360"/>
        <w:jc w:val="left"/>
        <w:rPr>
          <w:sz w:val="24"/>
        </w:rPr>
      </w:pPr>
      <w:r>
        <w:rPr>
          <w:sz w:val="24"/>
        </w:rPr>
        <w:t>Segmentar la realidad humana para</w:t>
      </w:r>
      <w:r>
        <w:rPr>
          <w:spacing w:val="-14"/>
          <w:sz w:val="24"/>
        </w:rPr>
        <w:t> </w:t>
      </w:r>
      <w:r>
        <w:rPr>
          <w:sz w:val="24"/>
        </w:rPr>
        <w:t>analizarla.</w:t>
      </w:r>
    </w:p>
    <w:p>
      <w:pPr>
        <w:pStyle w:val="ListParagraph"/>
        <w:numPr>
          <w:ilvl w:val="2"/>
          <w:numId w:val="6"/>
        </w:numPr>
        <w:tabs>
          <w:tab w:pos="822" w:val="left" w:leader="none"/>
        </w:tabs>
        <w:spacing w:line="240" w:lineRule="auto" w:before="137" w:after="0"/>
        <w:ind w:left="822" w:right="0" w:hanging="360"/>
        <w:jc w:val="left"/>
        <w:rPr>
          <w:sz w:val="24"/>
        </w:rPr>
      </w:pPr>
      <w:r>
        <w:rPr>
          <w:sz w:val="24"/>
        </w:rPr>
        <w:t>Uso de métodos científicos estrictos y</w:t>
      </w:r>
      <w:r>
        <w:rPr>
          <w:spacing w:val="-14"/>
          <w:sz w:val="24"/>
        </w:rPr>
        <w:t> </w:t>
      </w:r>
      <w:r>
        <w:rPr>
          <w:sz w:val="24"/>
        </w:rPr>
        <w:t>cuantitativos.</w:t>
      </w:r>
    </w:p>
    <w:p>
      <w:pPr>
        <w:pStyle w:val="ListParagraph"/>
        <w:numPr>
          <w:ilvl w:val="2"/>
          <w:numId w:val="6"/>
        </w:numPr>
        <w:tabs>
          <w:tab w:pos="822" w:val="left" w:leader="none"/>
        </w:tabs>
        <w:spacing w:line="360" w:lineRule="auto" w:before="139" w:after="0"/>
        <w:ind w:left="822" w:right="124" w:hanging="360"/>
        <w:jc w:val="left"/>
        <w:rPr>
          <w:sz w:val="24"/>
        </w:rPr>
      </w:pPr>
      <w:r>
        <w:rPr>
          <w:sz w:val="24"/>
        </w:rPr>
        <w:t>Preferencia por los datos producidos sistemáticamente (por ejemplo, los datos de encuestas) y las observaciones controladas sobre textos</w:t>
      </w:r>
      <w:r>
        <w:rPr>
          <w:spacing w:val="-27"/>
          <w:sz w:val="24"/>
        </w:rPr>
        <w:t> </w:t>
      </w:r>
      <w:r>
        <w:rPr>
          <w:sz w:val="24"/>
        </w:rPr>
        <w:t>recibidos.</w:t>
      </w:r>
    </w:p>
    <w:p>
      <w:pPr>
        <w:pStyle w:val="BodyText"/>
      </w:pPr>
    </w:p>
    <w:p>
      <w:pPr>
        <w:pStyle w:val="BodyText"/>
        <w:spacing w:line="360" w:lineRule="auto" w:before="142"/>
        <w:ind w:left="102" w:right="114"/>
        <w:jc w:val="both"/>
      </w:pPr>
      <w:r>
        <w:rPr/>
        <w:t>Otros investigadores que se inclinaban hacia la historia utilizaron lo que se  llamaba una </w:t>
      </w:r>
      <w:r>
        <w:rPr>
          <w:i/>
        </w:rPr>
        <w:t>epistemología idiográfica</w:t>
      </w:r>
      <w:r>
        <w:rPr/>
        <w:t>: a) Destacaban la particularidad de todos  los fenómenos sociales, b) Advertían de la utilidad limitada de todas las generalizaciones, c) Proponían la necesidad de una comprensión empática, y d) Utilización de metodologías cualitativas e</w:t>
      </w:r>
      <w:r>
        <w:rPr>
          <w:spacing w:val="-19"/>
        </w:rPr>
        <w:t> </w:t>
      </w:r>
      <w:r>
        <w:rPr/>
        <w:t>interpretativas.</w:t>
      </w:r>
    </w:p>
    <w:p>
      <w:pPr>
        <w:pStyle w:val="BodyText"/>
      </w:pPr>
    </w:p>
    <w:p>
      <w:pPr>
        <w:pStyle w:val="BodyText"/>
        <w:spacing w:line="360" w:lineRule="auto" w:before="142"/>
        <w:ind w:left="102" w:right="116"/>
        <w:jc w:val="both"/>
      </w:pPr>
      <w:r>
        <w:rPr/>
        <w:t>La metodología que adoptó la ciencia social nomotética imitó los principios básicos de la ciencia natural, su predecesora socialmente exitosa: investigación empírica sistemática y precisa y, después, inducción que lleve a teorías. Al tomar como modelo a las ciencias naturales, alimentaron tres tipos de expectativas: de predicción, de administración, de exactitud cuantificable. Principalmente porque se</w:t>
      </w:r>
    </w:p>
    <w:p>
      <w:pPr>
        <w:spacing w:after="0" w:line="360" w:lineRule="auto"/>
        <w:jc w:val="both"/>
        <w:sectPr>
          <w:pgSz w:w="12240" w:h="15840"/>
          <w:pgMar w:header="0" w:footer="689" w:top="1360" w:bottom="880" w:left="1600" w:right="1580"/>
        </w:sectPr>
      </w:pPr>
    </w:p>
    <w:p>
      <w:pPr>
        <w:pStyle w:val="BodyText"/>
        <w:spacing w:line="360" w:lineRule="auto" w:before="54"/>
        <w:ind w:left="102" w:right="129"/>
        <w:jc w:val="both"/>
      </w:pPr>
      <w:r>
        <w:rPr/>
        <w:t>creía que “cuanto más elegante la teoría, más avanzada la ciencia, y después de esto seguirían las aplicaciones prácticas” (Wallerstein, 1998b:276).</w:t>
      </w:r>
    </w:p>
    <w:p>
      <w:pPr>
        <w:pStyle w:val="BodyText"/>
      </w:pPr>
    </w:p>
    <w:p>
      <w:pPr>
        <w:pStyle w:val="BodyText"/>
        <w:spacing w:line="360" w:lineRule="auto" w:before="142"/>
        <w:ind w:left="102" w:right="124"/>
        <w:jc w:val="both"/>
      </w:pPr>
      <w:r>
        <w:rPr/>
        <w:t>La adopción de una epistemología nomotética dentro de la ciencia social también tuvo su origen en que finalmente, durante el siglo XIX, Europa estaba confirmando su dominio sobre gran parte del mundo, donde el sentido del tiempo moderno era la búsqueda del progreso.</w:t>
      </w:r>
    </w:p>
    <w:p>
      <w:pPr>
        <w:pStyle w:val="BodyText"/>
      </w:pPr>
    </w:p>
    <w:p>
      <w:pPr>
        <w:pStyle w:val="BodyText"/>
        <w:spacing w:line="360" w:lineRule="auto" w:before="142"/>
        <w:ind w:left="102" w:right="124"/>
        <w:jc w:val="both"/>
      </w:pPr>
      <w:r>
        <w:rPr/>
        <w:t>Pero este concepto mantuvo una dinámica importante en la historia de la civilización occidental, ya que la idea del progreso nace en el siglo XVI y forma parte de la cultura de renacimiento. Siendo “el triunfo de la racionalidad, de una sociedad urbana e industrial, el pilar fundamental de la modernidad. Y la sociedad moderna es el resultado de dos proyectos que se vienen gestando desde el siglo XVII: la razón y la democracia: el mundo sustentado en el conocimiento científico y humanista, lo mismo que en la tolerancia de las ideas para constituir si no una sociedad perfecta, sí profundamente racional” (Careaga, 2001:14).</w:t>
      </w:r>
    </w:p>
    <w:p>
      <w:pPr>
        <w:pStyle w:val="BodyText"/>
      </w:pPr>
    </w:p>
    <w:p>
      <w:pPr>
        <w:pStyle w:val="BodyText"/>
        <w:spacing w:line="360" w:lineRule="auto" w:before="142"/>
        <w:ind w:left="102" w:right="120"/>
        <w:jc w:val="both"/>
      </w:pPr>
      <w:r>
        <w:rPr/>
        <w:t>En el curso del siglo XIX las diversas disciplinas se abrieron como un abanico para cubrir toda una gama de posiciones epistemológicas. En un extremo se hallaba la matemática y las ciencias naturales experimentales. En el otro estaban las humanidades (o artes y letras), que empezaban por la filosofía y junto a ella el estudio de prácticas artísticas formales. Y entre las humanidades y las ciencias naturales así definidas quedaba el estudio de las realidades sociales con la historia (idiográfica) y la “ciencia social” (nomotética), esta última con una orientación mayor hacia las ciencias</w:t>
      </w:r>
      <w:r>
        <w:rPr>
          <w:spacing w:val="-15"/>
        </w:rPr>
        <w:t> </w:t>
      </w:r>
      <w:r>
        <w:rPr/>
        <w:t>naturales.</w:t>
      </w:r>
    </w:p>
    <w:p>
      <w:pPr>
        <w:pStyle w:val="BodyText"/>
      </w:pPr>
    </w:p>
    <w:p>
      <w:pPr>
        <w:pStyle w:val="BodyText"/>
      </w:pPr>
    </w:p>
    <w:p>
      <w:pPr>
        <w:pStyle w:val="BodyText"/>
        <w:spacing w:before="5"/>
      </w:pPr>
    </w:p>
    <w:p>
      <w:pPr>
        <w:pStyle w:val="BodyText"/>
        <w:spacing w:line="360" w:lineRule="auto"/>
        <w:ind w:left="102" w:right="120"/>
        <w:jc w:val="both"/>
      </w:pPr>
      <w:r>
        <w:rPr/>
        <w:t>Pues bien, el acento en el progreso y la política de organización del cambio social dio una oportunidad básica a la dimensión temporal de la existencia social, pero dejó la dimensión espacial en un limbo incierto. Si los “procesos eran universales y deterministas, el espacio era teóricamente irrelevante. Sin embargo, en la</w:t>
      </w:r>
      <w:r>
        <w:rPr>
          <w:spacing w:val="50"/>
        </w:rPr>
        <w:t> </w:t>
      </w:r>
      <w:r>
        <w:rPr/>
        <w:t>práctica</w:t>
      </w:r>
    </w:p>
    <w:p>
      <w:pPr>
        <w:spacing w:after="0" w:line="360" w:lineRule="auto"/>
        <w:jc w:val="both"/>
        <w:sectPr>
          <w:pgSz w:w="12240" w:h="15840"/>
          <w:pgMar w:header="0" w:footer="689" w:top="1360" w:bottom="880" w:left="1600" w:right="1580"/>
        </w:sectPr>
      </w:pPr>
    </w:p>
    <w:p>
      <w:pPr>
        <w:pStyle w:val="BodyText"/>
        <w:spacing w:line="360" w:lineRule="auto" w:before="54"/>
        <w:ind w:left="102" w:right="121"/>
        <w:jc w:val="both"/>
      </w:pPr>
      <w:r>
        <w:rPr/>
        <w:t>la ciencia social se basaba en una visión particular de la espacialidad, aunque no era declarada” (Wallerstein, 1998b:30).</w:t>
      </w:r>
    </w:p>
    <w:p>
      <w:pPr>
        <w:pStyle w:val="BodyText"/>
      </w:pPr>
    </w:p>
    <w:p>
      <w:pPr>
        <w:pStyle w:val="BodyText"/>
        <w:spacing w:line="360" w:lineRule="auto" w:before="142"/>
        <w:ind w:left="102" w:right="126"/>
        <w:jc w:val="both"/>
      </w:pPr>
      <w:r>
        <w:rPr/>
        <w:t>Por ello, se puede establecer que las disciplinas como la historia, la economía y la ciencia política surgieron de manera particular para el estudio de Occidente, ya que desde la perspectiva de la Europa moderna del siglo XIX sólo Occidente valía la pena de ser estudiado y sólo allí podían generarse fuentes y datos confiables para el</w:t>
      </w:r>
      <w:r>
        <w:rPr>
          <w:spacing w:val="-8"/>
        </w:rPr>
        <w:t> </w:t>
      </w:r>
      <w:r>
        <w:rPr/>
        <w:t>investigador.</w:t>
      </w:r>
    </w:p>
    <w:p>
      <w:pPr>
        <w:pStyle w:val="BodyText"/>
      </w:pPr>
    </w:p>
    <w:p>
      <w:pPr>
        <w:pStyle w:val="BodyText"/>
        <w:spacing w:line="360" w:lineRule="auto" w:before="142"/>
        <w:ind w:left="102" w:right="122"/>
        <w:jc w:val="both"/>
      </w:pPr>
      <w:r>
        <w:rPr/>
        <w:t>Las divisiones del objeto de estudio se derivan de la ideología liberal dominante del siglo XIX que decía que el estado y el mercado, la política y la economía, eran ámbitos separados de manera analítica. “Se pidió a la sociedad que las  mantuviera separadas y los académicos las estudiaron por separado. A pesar de que parecía haber muchas realidades que en apariencia no se encontraban en el ámbito del mercado ni en el del Estado” (Vattimo, 1994:</w:t>
      </w:r>
      <w:r>
        <w:rPr>
          <w:spacing w:val="-15"/>
        </w:rPr>
        <w:t> </w:t>
      </w:r>
      <w:r>
        <w:rPr/>
        <w:t>15).</w:t>
      </w:r>
    </w:p>
    <w:p>
      <w:pPr>
        <w:pStyle w:val="BodyText"/>
      </w:pPr>
    </w:p>
    <w:p>
      <w:pPr>
        <w:pStyle w:val="BodyText"/>
        <w:spacing w:line="360" w:lineRule="auto" w:before="142"/>
        <w:ind w:left="102" w:right="118"/>
        <w:jc w:val="both"/>
      </w:pPr>
      <w:r>
        <w:rPr/>
        <w:t>A fines del siglo XIX había tres líneas divisorias claras en el sistema de disciplinas establecido para estructurar las ciencias sociales. “La línea entre el estudio del mundo moderno/civilizado (historia más las tres ciencias sociales nomotéticas: la economía, la ciencia política y la sociología) y el estudio del mundo no moderno (antropología más estudios orientales); dentro del estudio del mundo moderno, la línea entre el pasado (historia) y el presente (ciencias sociales  nomotéticas); dentro de las ciencias sociales nomotéticas, las muy marcadas líneas entre el estudio del mercado (economía), el estado (ciencia política) y la sociedad civil (sociología). En el mundo posterior a 1945 todas esas líneas fueron cuestionadas” (Wallerstein, 1998b:40).</w:t>
      </w:r>
    </w:p>
    <w:p>
      <w:pPr>
        <w:pStyle w:val="BodyText"/>
      </w:pPr>
    </w:p>
    <w:p>
      <w:pPr>
        <w:pStyle w:val="BodyText"/>
        <w:spacing w:line="360" w:lineRule="auto" w:before="142"/>
        <w:ind w:left="102" w:right="116"/>
        <w:jc w:val="both"/>
      </w:pPr>
      <w:r>
        <w:rPr/>
        <w:t>Para la primera guerra mundial había un consenso general sobre la consolidación de unos pocos nombres específicos de disciplinas que conformaban a la ciencia social, “eran principalmente cinco: historia, economía, sociología, ciencia política y antropología. A esta lista se podría agregar las ciencias orientales” (Wallerstein,</w:t>
      </w:r>
    </w:p>
    <w:p>
      <w:pPr>
        <w:spacing w:after="0" w:line="360" w:lineRule="auto"/>
        <w:jc w:val="both"/>
        <w:sectPr>
          <w:pgSz w:w="12240" w:h="15840"/>
          <w:pgMar w:header="0" w:footer="689" w:top="1360" w:bottom="880" w:left="1600" w:right="1580"/>
        </w:sectPr>
      </w:pPr>
    </w:p>
    <w:p>
      <w:pPr>
        <w:pStyle w:val="BodyText"/>
        <w:spacing w:line="360" w:lineRule="auto" w:before="54"/>
        <w:ind w:left="102" w:right="123"/>
        <w:jc w:val="both"/>
      </w:pPr>
      <w:r>
        <w:rPr/>
        <w:t>1998b:17). Mientras que los demás candidatos habían sido más o menos abandonados.</w:t>
      </w:r>
    </w:p>
    <w:p>
      <w:pPr>
        <w:pStyle w:val="BodyText"/>
      </w:pPr>
    </w:p>
    <w:p>
      <w:pPr>
        <w:pStyle w:val="BodyText"/>
        <w:spacing w:line="360" w:lineRule="auto" w:before="142"/>
        <w:ind w:left="102" w:right="126"/>
        <w:jc w:val="both"/>
      </w:pPr>
      <w:r>
        <w:rPr/>
        <w:t>Se podría decir que en el siglo XX se consolidó la sociología, economía y política como núcleo de las ciencias sociales, delineando sus terrenos separados en su objeto de estudio y metodología. Ellas surgen de la necesidad del Estado moderno de un conocimiento más exacto sobre el cual basar sus decisiones, en organizar y racionalizar el cambio social sobre una base estable.</w:t>
      </w:r>
    </w:p>
    <w:p>
      <w:pPr>
        <w:pStyle w:val="BodyText"/>
      </w:pPr>
    </w:p>
    <w:p>
      <w:pPr>
        <w:pStyle w:val="BodyText"/>
        <w:spacing w:line="360" w:lineRule="auto" w:before="142"/>
        <w:ind w:left="102" w:right="116"/>
        <w:jc w:val="both"/>
      </w:pPr>
      <w:r>
        <w:rPr/>
        <w:t>Por eso “la historia, la antropología y la geografía terminaron por marginar completamente lo que quedaba de sus antiguas tradiciones universalizantes y la trinidad estadocéntrica de sociología, economía y ciencia política consolidó sus posiciones como núcleo (nomotético) de las ciencias sociales” (Wallerstein, 1998b:33). Asimismo, se consideró que la ciencia social, por características de las disciplinas que la integraban, era estadocéntrica porque los estados constituían el marco en el cual tenían lugar los procesos analizados por las ciencias sociales.</w:t>
      </w:r>
    </w:p>
    <w:p>
      <w:pPr>
        <w:pStyle w:val="BodyText"/>
      </w:pPr>
    </w:p>
    <w:p>
      <w:pPr>
        <w:pStyle w:val="BodyText"/>
        <w:spacing w:line="360" w:lineRule="auto" w:before="142"/>
        <w:ind w:left="102" w:right="116"/>
        <w:jc w:val="both"/>
      </w:pPr>
      <w:r>
        <w:rPr/>
        <w:t>Se reconoció por lo tanto que las tres presuntas áreas de actividad humana colectiva —la económica, la política y la social o sociocultural— no son áreas autónomas de la actividad social y que no tenían lógicas separadas. Ya que es tal el “entrelazamiento de limitaciones, opciones, decisiones, normas, y “racionalidades” que ningún modelo de investigación útil puede aislar “factores” conforme a una categoría económica, política y social, y considerar un solo tipo de variable, indicando así de manera implícita que las demás son constantes” (Wallerstein, 1999a:262).</w:t>
      </w:r>
    </w:p>
    <w:p>
      <w:pPr>
        <w:pStyle w:val="BodyText"/>
      </w:pPr>
    </w:p>
    <w:p>
      <w:pPr>
        <w:pStyle w:val="BodyText"/>
        <w:spacing w:line="360" w:lineRule="auto" w:before="142"/>
        <w:ind w:left="102" w:right="118"/>
        <w:jc w:val="both"/>
      </w:pPr>
      <w:r>
        <w:rPr/>
        <w:t>De esta forma de manera explícita se creó una presión social por el aumento de la especialización, debido simplemente al hecho de que los estudiosos buscaban nichos que pudieran definir su originalidad o por lo menos su utilidad social. El efecto más inmediato consistió en estimular las intrusiones recíprocas de científicos sociales en campos disciplinarios vecinos, llegando a “ignorar en este</w:t>
      </w:r>
    </w:p>
    <w:p>
      <w:pPr>
        <w:spacing w:after="0" w:line="360" w:lineRule="auto"/>
        <w:jc w:val="both"/>
        <w:sectPr>
          <w:pgSz w:w="12240" w:h="15840"/>
          <w:pgMar w:header="0" w:footer="689" w:top="1360" w:bottom="880" w:left="1600" w:right="1580"/>
        </w:sectPr>
      </w:pPr>
    </w:p>
    <w:p>
      <w:pPr>
        <w:pStyle w:val="BodyText"/>
        <w:spacing w:line="360" w:lineRule="auto" w:before="54"/>
        <w:ind w:left="102" w:right="115"/>
        <w:jc w:val="both"/>
      </w:pPr>
      <w:r>
        <w:rPr/>
        <w:t>proceso las variantes legitimaciones que cada una de las ciencias sociales había erigido para justificar sus especificidades como reinos reservados” (Wallerstein, 1998a:38).</w:t>
      </w:r>
    </w:p>
    <w:p>
      <w:pPr>
        <w:pStyle w:val="BodyText"/>
      </w:pPr>
    </w:p>
    <w:p>
      <w:pPr>
        <w:pStyle w:val="BodyText"/>
        <w:spacing w:line="360" w:lineRule="auto" w:before="142"/>
        <w:ind w:left="102" w:right="117"/>
        <w:jc w:val="both"/>
      </w:pPr>
      <w:r>
        <w:rPr/>
        <w:t>Tal vez el principal factor para la formación de “nuevas disciplinas” fue la forma en que se entendió la demarcación disciplinar, en principio se consideró como un proceso de diferenciación de los saberes en cuanto a competencias. “Esta idea llevó a una especialización del conocimiento y a un proceso de autonomización de cada disciplina” (Castañeda, 1994:20).</w:t>
      </w:r>
    </w:p>
    <w:p>
      <w:pPr>
        <w:pStyle w:val="BodyText"/>
      </w:pPr>
    </w:p>
    <w:p>
      <w:pPr>
        <w:pStyle w:val="BodyText"/>
        <w:spacing w:line="360" w:lineRule="auto" w:before="142"/>
        <w:ind w:left="102" w:right="116"/>
        <w:jc w:val="both"/>
      </w:pPr>
      <w:r>
        <w:rPr/>
        <w:t>De forma paradójica, mientras que en 1945 todavía parecía haber demarcaciones claras que separaban una disciplina de la otra, en el periodo subsecuente esas demarcaciones han sido constantemente erosionadas. Es decir, “en cierto sentido hemos regresado a la situación de 1750-1850, en la que gran número de categorías no produjeron una taxonomía útil” (Wallerstein, 1998b:268).</w:t>
      </w:r>
    </w:p>
    <w:p>
      <w:pPr>
        <w:pStyle w:val="BodyText"/>
      </w:pPr>
    </w:p>
    <w:p>
      <w:pPr>
        <w:pStyle w:val="BodyText"/>
        <w:spacing w:line="360" w:lineRule="auto" w:before="142"/>
        <w:ind w:left="102" w:right="116"/>
        <w:jc w:val="both"/>
      </w:pPr>
      <w:r>
        <w:rPr/>
        <w:t>Según Wallerstein (1998a) probablemente la innovación académica más importante después de 1945 fue la creación de los estudios de área (como antecesores de los estudios culturales). La idea básica de los estudios de área era muy sencilla; un área era una zona geográfica grande que supuestamente tenía alguna coherencia cultural, histórica y frecuentemente lingüística.</w:t>
      </w:r>
    </w:p>
    <w:p>
      <w:pPr>
        <w:pStyle w:val="BodyText"/>
      </w:pPr>
    </w:p>
    <w:p>
      <w:pPr>
        <w:pStyle w:val="BodyText"/>
        <w:spacing w:line="360" w:lineRule="auto" w:before="142"/>
        <w:ind w:left="102" w:right="117"/>
        <w:jc w:val="both"/>
      </w:pPr>
      <w:r>
        <w:rPr/>
        <w:t>Los cuales al ser entendidos como un campo de estudio y de enseñanza permitían la reunión de una importante cantidad de investigadores sociales —en ocasiones de las humanidades y de la ciencia natural—, su principal interés era el trabajar en sus respectivas disciplinas en torno al “área” determinada. En principio este tipo de estudios abría las puertas a una forma diferente de entender un proceso social, en el cual se advertía de las características “particulares” del área en estudio a diferencia de los esquemas utilizados anteriormente.</w:t>
      </w:r>
    </w:p>
    <w:p>
      <w:pPr>
        <w:spacing w:after="0" w:line="360" w:lineRule="auto"/>
        <w:jc w:val="both"/>
        <w:sectPr>
          <w:pgSz w:w="12240" w:h="15840"/>
          <w:pgMar w:header="0" w:footer="689" w:top="1360" w:bottom="880" w:left="1600" w:right="1580"/>
        </w:sectPr>
      </w:pPr>
    </w:p>
    <w:p>
      <w:pPr>
        <w:pStyle w:val="BodyText"/>
        <w:spacing w:line="360" w:lineRule="auto" w:before="54"/>
        <w:ind w:left="102" w:right="116"/>
        <w:jc w:val="both"/>
      </w:pPr>
      <w:r>
        <w:rPr/>
        <w:t>A partir de la década de 1960 hasta el presente siglo se ha desarrollo un conjunto alternativo de supuestos que afirma básicamente que “la ciencia está en transición hacia una nueva forma de racionalidad basada en la complejidad, una racionalidad que va más allá de la racionalidad del determinismo y por lo tanto de un futuro que ya está decidido” (Wallerstein, 2001:188). Lógicamente el cuestionamiento hecho hacia las ciencias influyen directamente sobre las disciplinas que las conforman y sobre sus estructuras en diferentes niveles.</w:t>
      </w:r>
    </w:p>
    <w:p>
      <w:pPr>
        <w:pStyle w:val="BodyText"/>
      </w:pPr>
    </w:p>
    <w:p>
      <w:pPr>
        <w:pStyle w:val="BodyText"/>
        <w:spacing w:line="360" w:lineRule="auto" w:before="142"/>
        <w:ind w:left="102" w:right="114"/>
        <w:jc w:val="both"/>
      </w:pPr>
      <w:r>
        <w:rPr/>
        <w:t>La clasificación que nos presenta Wallerstein tiene un enfoque historicista y nos da un contexto de la forma en que los actores e instituciones fueron conformando las disciplinas hasta principios del siglo XX; para finalizar la clasificación de la ciencia en el siglo XX haremos mención de la propuesta realizada por Mario Bunge (2000) a finales de la década de los años sesenta.</w:t>
      </w:r>
    </w:p>
    <w:p>
      <w:pPr>
        <w:pStyle w:val="BodyText"/>
      </w:pPr>
    </w:p>
    <w:p>
      <w:pPr>
        <w:pStyle w:val="BodyText"/>
        <w:spacing w:line="360" w:lineRule="auto" w:before="142"/>
        <w:ind w:left="102" w:right="117"/>
        <w:jc w:val="both"/>
      </w:pPr>
      <w:r>
        <w:rPr/>
        <w:t>Mario Bunge, uno de los principales representantes del realismo científico, generó una clasificación de la ciencia desde un enfoque más apegado a la ciencia natural, según la cual la ciencia se divide en ciencias formales y ciencias factuales, las primeras estudian ideas y las segundas estudian hechos.</w:t>
      </w:r>
    </w:p>
    <w:p>
      <w:pPr>
        <w:pStyle w:val="BodyText"/>
      </w:pPr>
    </w:p>
    <w:p>
      <w:pPr>
        <w:pStyle w:val="BodyText"/>
        <w:spacing w:line="360" w:lineRule="auto" w:before="142"/>
        <w:ind w:left="102" w:right="124"/>
        <w:jc w:val="both"/>
      </w:pPr>
      <w:r>
        <w:rPr/>
        <w:t>La ciencia formal está integrada por la lógica y la matemática, mientras que la ciencia factual está dividida en natural, biosocial y social (véase figura 7).</w:t>
      </w:r>
    </w:p>
    <w:p>
      <w:pPr>
        <w:pStyle w:val="BodyText"/>
      </w:pPr>
    </w:p>
    <w:p>
      <w:pPr>
        <w:pStyle w:val="BodyText"/>
        <w:spacing w:before="139"/>
        <w:ind w:left="1071" w:right="928"/>
        <w:jc w:val="both"/>
      </w:pPr>
      <w:r>
        <w:rPr/>
        <w:t>La diferencia primera y más notable entre las varias ciencias es la que se presenta entre ciencias formales y ciencias fácticas, o sea, entre las que estudian ideas y las que estudian hechos. La lógica y la matemática son ciencias formales: no se refieren a nada que se encuentre en la realidad, y, por tanto, no pueden utilizar nuestros contactos con la realidad para convalidar sus fórmulas (Bunge, 2000:</w:t>
      </w:r>
      <w:r>
        <w:rPr>
          <w:spacing w:val="-7"/>
        </w:rPr>
        <w:t> </w:t>
      </w:r>
      <w:r>
        <w:rPr/>
        <w:t>19)</w:t>
      </w:r>
    </w:p>
    <w:p>
      <w:pPr>
        <w:spacing w:after="0"/>
        <w:jc w:val="both"/>
        <w:sectPr>
          <w:pgSz w:w="12240" w:h="15840"/>
          <w:pgMar w:header="0" w:footer="689" w:top="1360" w:bottom="880" w:left="1600" w:right="1580"/>
        </w:sectPr>
      </w:pPr>
    </w:p>
    <w:p>
      <w:pPr>
        <w:pStyle w:val="Heading1"/>
        <w:spacing w:before="52"/>
        <w:ind w:left="100" w:right="117"/>
      </w:pPr>
      <w:r>
        <w:rPr/>
        <w:t>Figura 6</w:t>
      </w:r>
    </w:p>
    <w:p>
      <w:pPr>
        <w:spacing w:before="0" w:after="5"/>
        <w:ind w:left="99" w:right="117" w:firstLine="0"/>
        <w:jc w:val="center"/>
        <w:rPr>
          <w:b/>
          <w:sz w:val="24"/>
        </w:rPr>
      </w:pPr>
      <w:r>
        <w:rPr>
          <w:b/>
          <w:sz w:val="24"/>
        </w:rPr>
        <w:t>Clasificación de la ciencia para Bunge</w:t>
      </w:r>
    </w:p>
    <w:p>
      <w:pPr>
        <w:pStyle w:val="BodyText"/>
        <w:ind w:left="1775"/>
        <w:rPr>
          <w:sz w:val="20"/>
        </w:rPr>
      </w:pPr>
      <w:r>
        <w:rPr>
          <w:sz w:val="20"/>
        </w:rPr>
        <w:drawing>
          <wp:inline distT="0" distB="0" distL="0" distR="0">
            <wp:extent cx="3494318" cy="2788348"/>
            <wp:effectExtent l="0" t="0" r="0" b="0"/>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8" cstate="print"/>
                    <a:stretch>
                      <a:fillRect/>
                    </a:stretch>
                  </pic:blipFill>
                  <pic:spPr>
                    <a:xfrm>
                      <a:off x="0" y="0"/>
                      <a:ext cx="3494318" cy="2788348"/>
                    </a:xfrm>
                    <a:prstGeom prst="rect">
                      <a:avLst/>
                    </a:prstGeom>
                  </pic:spPr>
                </pic:pic>
              </a:graphicData>
            </a:graphic>
          </wp:inline>
        </w:drawing>
      </w:r>
      <w:r>
        <w:rPr>
          <w:sz w:val="20"/>
        </w:rPr>
      </w:r>
    </w:p>
    <w:p>
      <w:pPr>
        <w:spacing w:before="139"/>
        <w:ind w:left="95" w:right="117" w:firstLine="0"/>
        <w:jc w:val="center"/>
        <w:rPr>
          <w:sz w:val="20"/>
        </w:rPr>
      </w:pPr>
      <w:r>
        <w:rPr>
          <w:sz w:val="20"/>
        </w:rPr>
        <w:t>Fuente: Tomado de La investigación científica su estrategia y filosofía de Mario Bunge (2000:21)</w:t>
      </w:r>
    </w:p>
    <w:p>
      <w:pPr>
        <w:pStyle w:val="BodyText"/>
        <w:rPr>
          <w:sz w:val="20"/>
        </w:rPr>
      </w:pPr>
    </w:p>
    <w:p>
      <w:pPr>
        <w:pStyle w:val="BodyText"/>
        <w:rPr>
          <w:sz w:val="26"/>
        </w:rPr>
      </w:pPr>
    </w:p>
    <w:p>
      <w:pPr>
        <w:pStyle w:val="BodyText"/>
        <w:spacing w:line="360" w:lineRule="auto"/>
        <w:ind w:left="102" w:right="119"/>
        <w:jc w:val="both"/>
      </w:pPr>
      <w:r>
        <w:rPr/>
        <w:t>La ciencia factual natural está integrada por la física, química, biología  y  psicología individual. La biosocial está integrada por la antropología, demografía, psicología social y bioeconomía. Finalmente la ciencia factual social está conformada por la sociología, economía, ciencia política, historia material e  historia de las</w:t>
      </w:r>
      <w:r>
        <w:rPr>
          <w:spacing w:val="-6"/>
        </w:rPr>
        <w:t> </w:t>
      </w:r>
      <w:r>
        <w:rPr/>
        <w:t>ideas.</w:t>
      </w:r>
    </w:p>
    <w:p>
      <w:pPr>
        <w:pStyle w:val="BodyText"/>
      </w:pPr>
    </w:p>
    <w:p>
      <w:pPr>
        <w:pStyle w:val="BodyText"/>
        <w:spacing w:line="360" w:lineRule="auto" w:before="142"/>
        <w:ind w:left="102" w:right="116"/>
        <w:jc w:val="both"/>
      </w:pPr>
      <w:r>
        <w:rPr/>
        <w:t>De esta forma, al hacer una comparación de la clasificación de la ciencia con el origen de las disciplinas propuesta por Wallerstein podemos advertir que en la ciencia natural las disciplinas base son la física, química, biología. Mientras que en la ciencia social las disciplinas base son la sociología, economía, ciencia política y la historia. Un avance importante en la clasificación de la ciencia a partir de Bunge es la propuesta de una ciencia conformada por el vínculo entre la ciencia natural y la social con la que se generaron una especia de disciplinas de frontera: antropología, demografía, psicología social y bioeconomía.</w:t>
      </w:r>
    </w:p>
    <w:p>
      <w:pPr>
        <w:pStyle w:val="BodyText"/>
      </w:pPr>
    </w:p>
    <w:p>
      <w:pPr>
        <w:pStyle w:val="BodyText"/>
        <w:spacing w:line="360" w:lineRule="auto" w:before="142"/>
        <w:ind w:left="102" w:right="119"/>
        <w:jc w:val="both"/>
      </w:pPr>
      <w:r>
        <w:rPr/>
        <w:t>Continuando con Wallerstein (1996) antes de la segunda guerra mundial el  número</w:t>
      </w:r>
      <w:r>
        <w:rPr>
          <w:spacing w:val="21"/>
        </w:rPr>
        <w:t> </w:t>
      </w:r>
      <w:r>
        <w:rPr/>
        <w:t>de</w:t>
      </w:r>
      <w:r>
        <w:rPr>
          <w:spacing w:val="22"/>
        </w:rPr>
        <w:t> </w:t>
      </w:r>
      <w:r>
        <w:rPr/>
        <w:t>nombres</w:t>
      </w:r>
      <w:r>
        <w:rPr>
          <w:spacing w:val="21"/>
        </w:rPr>
        <w:t> </w:t>
      </w:r>
      <w:r>
        <w:rPr/>
        <w:t>utilizados</w:t>
      </w:r>
      <w:r>
        <w:rPr>
          <w:spacing w:val="23"/>
        </w:rPr>
        <w:t> </w:t>
      </w:r>
      <w:r>
        <w:rPr/>
        <w:t>para</w:t>
      </w:r>
      <w:r>
        <w:rPr>
          <w:spacing w:val="23"/>
        </w:rPr>
        <w:t> </w:t>
      </w:r>
      <w:r>
        <w:rPr/>
        <w:t>clasificar</w:t>
      </w:r>
      <w:r>
        <w:rPr>
          <w:spacing w:val="22"/>
        </w:rPr>
        <w:t> </w:t>
      </w:r>
      <w:r>
        <w:rPr/>
        <w:t>la</w:t>
      </w:r>
      <w:r>
        <w:rPr>
          <w:spacing w:val="24"/>
        </w:rPr>
        <w:t> </w:t>
      </w:r>
      <w:r>
        <w:rPr/>
        <w:t>actividad</w:t>
      </w:r>
      <w:r>
        <w:rPr>
          <w:spacing w:val="22"/>
        </w:rPr>
        <w:t> </w:t>
      </w:r>
      <w:r>
        <w:rPr/>
        <w:t>de</w:t>
      </w:r>
      <w:r>
        <w:rPr>
          <w:spacing w:val="24"/>
        </w:rPr>
        <w:t> </w:t>
      </w:r>
      <w:r>
        <w:rPr/>
        <w:t>conocimiento</w:t>
      </w:r>
      <w:r>
        <w:rPr>
          <w:spacing w:val="24"/>
        </w:rPr>
        <w:t> </w:t>
      </w:r>
      <w:r>
        <w:rPr/>
        <w:t>en</w:t>
      </w:r>
      <w:r>
        <w:rPr>
          <w:spacing w:val="24"/>
        </w:rPr>
        <w:t> </w:t>
      </w:r>
      <w:r>
        <w:rPr/>
        <w:t>las</w:t>
      </w:r>
    </w:p>
    <w:p>
      <w:pPr>
        <w:spacing w:after="0" w:line="360" w:lineRule="auto"/>
        <w:jc w:val="both"/>
        <w:sectPr>
          <w:pgSz w:w="12240" w:h="15840"/>
          <w:pgMar w:header="0" w:footer="689" w:top="1360" w:bottom="880" w:left="1600" w:right="1580"/>
        </w:sectPr>
      </w:pPr>
    </w:p>
    <w:p>
      <w:pPr>
        <w:pStyle w:val="BodyText"/>
        <w:spacing w:line="360" w:lineRule="auto" w:before="54"/>
        <w:ind w:left="102" w:right="119"/>
        <w:jc w:val="both"/>
      </w:pPr>
      <w:r>
        <w:rPr/>
        <w:t>ciencias sociales se fue reduciendo constantemente hasta terminar con una lista relativamente corta de nombres aceptados para distintas disciplinas. En cambio después de la segunda guerra mundial el proceso se dio en dirección contraria  con la constante aparición de nuevos nombres que luego buscaban bases institucionales</w:t>
      </w:r>
      <w:r>
        <w:rPr>
          <w:spacing w:val="-9"/>
        </w:rPr>
        <w:t> </w:t>
      </w:r>
      <w:r>
        <w:rPr/>
        <w:t>adecuadas.</w:t>
      </w:r>
    </w:p>
    <w:p>
      <w:pPr>
        <w:pStyle w:val="BodyText"/>
      </w:pPr>
    </w:p>
    <w:p>
      <w:pPr>
        <w:pStyle w:val="BodyText"/>
        <w:spacing w:line="360" w:lineRule="auto" w:before="142"/>
        <w:ind w:left="102" w:right="123"/>
        <w:jc w:val="both"/>
      </w:pPr>
      <w:r>
        <w:rPr/>
        <w:t>Por ello, si bien es cierto que desde el desarrollo de la actividad intelectual llamada “ciencia” ha existido una división en tres grandes grupos (en ciencias naturales, humanidades y ciencias sociales), también es importante advertir que en la actualidad estos tres “grandes reinos” mantienen un cuestionamiento sobre "el modo dominante de la ciencia natural desde el siglo XVII, es decir, esa forma de ciencia que se basa en la mecánica newtoniana” (Wallerstein, 2001:213).</w:t>
      </w:r>
    </w:p>
    <w:p>
      <w:pPr>
        <w:pStyle w:val="BodyText"/>
      </w:pPr>
    </w:p>
    <w:p>
      <w:pPr>
        <w:pStyle w:val="Heading1"/>
        <w:numPr>
          <w:ilvl w:val="1"/>
          <w:numId w:val="6"/>
        </w:numPr>
        <w:tabs>
          <w:tab w:pos="572" w:val="left" w:leader="none"/>
        </w:tabs>
        <w:spacing w:line="240" w:lineRule="auto" w:before="142" w:after="0"/>
        <w:ind w:left="571" w:right="0" w:hanging="469"/>
        <w:jc w:val="both"/>
      </w:pPr>
      <w:r>
        <w:rPr/>
        <w:t>Disciplinas científicas sociales en el siglo</w:t>
      </w:r>
      <w:r>
        <w:rPr>
          <w:spacing w:val="-16"/>
        </w:rPr>
        <w:t> </w:t>
      </w:r>
      <w:r>
        <w:rPr/>
        <w:t>XXI</w:t>
      </w:r>
    </w:p>
    <w:p>
      <w:pPr>
        <w:pStyle w:val="BodyText"/>
        <w:spacing w:line="360" w:lineRule="auto" w:before="137"/>
        <w:ind w:left="102" w:right="115"/>
        <w:jc w:val="both"/>
      </w:pPr>
      <w:r>
        <w:rPr/>
        <w:t>Como lo comentamos al inicio de este capítulo la universidad tuvo un papel importante en el impulso y consolidación de las disciplinas científicas a través de  la formación de profesionistas e investigadores en áreas específicas. Con las transformaciones económicas y políticas a final del siglo XIX las universidades tuvieron cambios en sus esquemas de enseñanza pero sobre todo en la generación de conocimiento científico, ya</w:t>
      </w:r>
      <w:r>
        <w:rPr>
          <w:spacing w:val="-18"/>
        </w:rPr>
        <w:t> </w:t>
      </w:r>
      <w:r>
        <w:rPr/>
        <w:t>que,</w:t>
      </w:r>
    </w:p>
    <w:p>
      <w:pPr>
        <w:pStyle w:val="BodyText"/>
      </w:pPr>
    </w:p>
    <w:p>
      <w:pPr>
        <w:pStyle w:val="BodyText"/>
      </w:pPr>
    </w:p>
    <w:p>
      <w:pPr>
        <w:pStyle w:val="BodyText"/>
      </w:pPr>
    </w:p>
    <w:p>
      <w:pPr>
        <w:pStyle w:val="BodyText"/>
        <w:ind w:left="1071" w:right="924"/>
        <w:jc w:val="both"/>
      </w:pPr>
      <w:r>
        <w:rPr/>
        <w:t>[La] tendencia hacia un conocimiento útil y polivalente acorde con las competencias laborales [implicaba] una enseñanza orientada  a cubrir las necesidades y demandas sociales: interesa más lo práctico que la aportación e innovación teórica. Confrontaciones entre el </w:t>
      </w:r>
      <w:r>
        <w:rPr>
          <w:i/>
        </w:rPr>
        <w:t>Bildung </w:t>
      </w:r>
      <w:r>
        <w:rPr/>
        <w:t>(formación académica) y el </w:t>
      </w:r>
      <w:r>
        <w:rPr>
          <w:i/>
        </w:rPr>
        <w:t>Ausbildung  </w:t>
      </w:r>
      <w:r>
        <w:rPr/>
        <w:t>(formación profesional y vocacional), predominando la idea del </w:t>
      </w:r>
      <w:r>
        <w:rPr>
          <w:i/>
        </w:rPr>
        <w:t>Leisfungswissen </w:t>
      </w:r>
      <w:r>
        <w:rPr/>
        <w:t>(conocimiento práctico y efectivo). En la enseñanza predomina la base conceptual racionalista, empirista y positivista que dota de sentido a las propuestas curriculares (Pedroza,</w:t>
      </w:r>
      <w:r>
        <w:rPr>
          <w:spacing w:val="-10"/>
        </w:rPr>
        <w:t> </w:t>
      </w:r>
      <w:r>
        <w:rPr/>
        <w:t>2003:124).</w:t>
      </w:r>
    </w:p>
    <w:p>
      <w:pPr>
        <w:pStyle w:val="BodyText"/>
      </w:pPr>
    </w:p>
    <w:p>
      <w:pPr>
        <w:pStyle w:val="BodyText"/>
        <w:spacing w:line="362" w:lineRule="auto" w:before="139"/>
        <w:ind w:left="102" w:right="116"/>
        <w:jc w:val="both"/>
      </w:pPr>
      <w:r>
        <w:rPr/>
        <w:t>En este sentido la permanencia de los investigadores depende de la continuidad de la disciplina que en su actividad aborde las demandas sociales actuales;   </w:t>
      </w:r>
      <w:r>
        <w:rPr>
          <w:spacing w:val="23"/>
        </w:rPr>
        <w:t> </w:t>
      </w:r>
      <w:r>
        <w:rPr/>
        <w:t>para</w:t>
      </w:r>
    </w:p>
    <w:p>
      <w:pPr>
        <w:spacing w:after="0" w:line="362" w:lineRule="auto"/>
        <w:jc w:val="both"/>
        <w:sectPr>
          <w:pgSz w:w="12240" w:h="15840"/>
          <w:pgMar w:header="0" w:footer="689" w:top="1360" w:bottom="880" w:left="1600" w:right="1580"/>
        </w:sectPr>
      </w:pPr>
    </w:p>
    <w:p>
      <w:pPr>
        <w:pStyle w:val="BodyText"/>
        <w:spacing w:line="360" w:lineRule="auto" w:before="54"/>
        <w:ind w:left="102" w:right="118"/>
        <w:jc w:val="both"/>
      </w:pPr>
      <w:r>
        <w:rPr/>
        <w:t>cubrir este objetivo existen dos caminos: a) Generar nuevas propuestas teóricas, metodológicas y tecnológicas o b) Crear nuevas áreas que conlleve a la formación de nuevas disciplinas. Con lo cual se continuaría con la “puralización y fragmentación a ritmo galopante de las disciplinas sociales, sobre todo a partir de los años setenta. Esta pluralización se ha realizado en dos vías principales: la especialización y la hibridación o amagalma” (Giménez, 2004: 65).</w:t>
      </w:r>
    </w:p>
    <w:p>
      <w:pPr>
        <w:pStyle w:val="BodyText"/>
      </w:pPr>
    </w:p>
    <w:p>
      <w:pPr>
        <w:pStyle w:val="BodyText"/>
        <w:spacing w:line="360" w:lineRule="auto" w:before="142"/>
        <w:ind w:left="102" w:right="117"/>
        <w:jc w:val="both"/>
      </w:pPr>
      <w:r>
        <w:rPr/>
        <w:t>Continuando con Giménez (2004), la especialización se da cuando el objeto de estudio de una disciplina se segmenta según diferentes criterios: escala, instituciones específicas, hechos sociales particulares. Mientras que la hibridación o amalgama consiste en la fusión, recombinación o cruzamiento de especialidades o fragmentos de disciplinas vecinas. No abarca disciplinas completas, sino sólo sectores parciales de las mismas.</w:t>
      </w:r>
    </w:p>
    <w:p>
      <w:pPr>
        <w:pStyle w:val="BodyText"/>
      </w:pPr>
    </w:p>
    <w:p>
      <w:pPr>
        <w:pStyle w:val="BodyText"/>
        <w:spacing w:line="360" w:lineRule="auto" w:before="142"/>
        <w:ind w:left="102" w:right="115"/>
        <w:jc w:val="both"/>
      </w:pPr>
      <w:r>
        <w:rPr/>
        <w:t>De esta forma, el ciclo vital de las disciplinas sociales, según Giménez (2004: 65), estaría a partir de cuatro fases:</w:t>
      </w:r>
    </w:p>
    <w:p>
      <w:pPr>
        <w:pStyle w:val="BodyText"/>
      </w:pPr>
    </w:p>
    <w:p>
      <w:pPr>
        <w:pStyle w:val="BodyText"/>
        <w:spacing w:line="360" w:lineRule="auto" w:before="142"/>
        <w:ind w:left="102" w:right="115"/>
        <w:jc w:val="both"/>
      </w:pPr>
      <w:r>
        <w:rPr>
          <w:b/>
        </w:rPr>
        <w:t>Fase 1. Fundacional</w:t>
      </w:r>
      <w:r>
        <w:rPr/>
        <w:t>. Se da con la formación de un patrimonio científico originario (“capital adquirido” = Momento de anclaje o formación de un “núcleo disciplinario” inicial”)</w:t>
      </w:r>
    </w:p>
    <w:p>
      <w:pPr>
        <w:pStyle w:val="BodyText"/>
      </w:pPr>
    </w:p>
    <w:p>
      <w:pPr>
        <w:pStyle w:val="BodyText"/>
        <w:spacing w:line="360" w:lineRule="auto" w:before="142"/>
        <w:ind w:left="102" w:right="122"/>
        <w:jc w:val="both"/>
      </w:pPr>
      <w:r>
        <w:rPr>
          <w:b/>
        </w:rPr>
        <w:t>Fase 2. Expansión. </w:t>
      </w:r>
      <w:r>
        <w:rPr/>
        <w:t>Enriquecimiento del patrimonio inicial mediante la contribución de numerosos</w:t>
      </w:r>
      <w:r>
        <w:rPr>
          <w:spacing w:val="-10"/>
        </w:rPr>
        <w:t> </w:t>
      </w:r>
      <w:r>
        <w:rPr/>
        <w:t>científicos.</w:t>
      </w:r>
    </w:p>
    <w:p>
      <w:pPr>
        <w:pStyle w:val="BodyText"/>
      </w:pPr>
    </w:p>
    <w:p>
      <w:pPr>
        <w:spacing w:line="360" w:lineRule="auto" w:before="142"/>
        <w:ind w:left="102" w:right="118" w:firstLine="0"/>
        <w:jc w:val="both"/>
        <w:rPr>
          <w:sz w:val="24"/>
        </w:rPr>
      </w:pPr>
      <w:r>
        <w:rPr>
          <w:b/>
          <w:sz w:val="24"/>
        </w:rPr>
        <w:t>Fase 3. Especialización</w:t>
      </w:r>
      <w:r>
        <w:rPr>
          <w:sz w:val="24"/>
        </w:rPr>
        <w:t>. Fragmentación de las disciplinas en numerosos científicos.</w:t>
      </w:r>
    </w:p>
    <w:p>
      <w:pPr>
        <w:pStyle w:val="BodyText"/>
      </w:pPr>
    </w:p>
    <w:p>
      <w:pPr>
        <w:spacing w:line="360" w:lineRule="auto" w:before="142"/>
        <w:ind w:left="102" w:right="121" w:firstLine="0"/>
        <w:jc w:val="both"/>
        <w:rPr>
          <w:sz w:val="24"/>
        </w:rPr>
      </w:pPr>
      <w:r>
        <w:rPr>
          <w:b/>
          <w:sz w:val="24"/>
        </w:rPr>
        <w:t>Fase 4. Hibridación y amalgama</w:t>
      </w:r>
      <w:r>
        <w:rPr>
          <w:sz w:val="24"/>
        </w:rPr>
        <w:t>. Recombinación de especialidades o de fragmentos de disciplinas vecinas.</w:t>
      </w:r>
    </w:p>
    <w:p>
      <w:pPr>
        <w:spacing w:after="0" w:line="360" w:lineRule="auto"/>
        <w:jc w:val="both"/>
        <w:rPr>
          <w:sz w:val="24"/>
        </w:rPr>
        <w:sectPr>
          <w:pgSz w:w="12240" w:h="15840"/>
          <w:pgMar w:header="0" w:footer="689" w:top="1360" w:bottom="880" w:left="1600" w:right="1580"/>
        </w:sectPr>
      </w:pPr>
    </w:p>
    <w:p>
      <w:pPr>
        <w:pStyle w:val="BodyText"/>
        <w:spacing w:line="360" w:lineRule="auto" w:before="54"/>
        <w:ind w:left="102" w:right="117"/>
        <w:jc w:val="both"/>
      </w:pPr>
      <w:r>
        <w:rPr/>
        <w:t>La generación de nuevas disciplinas involucra tanto a las universidades como proveedores de ese conocimiento pero a la vez y a instituciones nacionales o supranacionales de educación que den legitimidad social al quehacer de las universidades. En este reconocimiento de disciplinas podemos hacer referencia a las clasificaciones propuestas por instituciones internacionales como la UNESCO  y la</w:t>
      </w:r>
      <w:r>
        <w:rPr>
          <w:spacing w:val="-5"/>
        </w:rPr>
        <w:t> </w:t>
      </w:r>
      <w:r>
        <w:rPr/>
        <w:t>OCDE.</w:t>
      </w:r>
    </w:p>
    <w:p>
      <w:pPr>
        <w:pStyle w:val="BodyText"/>
      </w:pPr>
    </w:p>
    <w:p>
      <w:pPr>
        <w:pStyle w:val="BodyText"/>
        <w:spacing w:line="360" w:lineRule="auto" w:before="142"/>
        <w:ind w:left="102" w:right="115"/>
        <w:jc w:val="both"/>
      </w:pPr>
      <w:r>
        <w:rPr/>
        <w:t>En el caso de la UNESCO, su nomenclatura internacional fue propuesta desde la década de los años setenta en la que define tres términos: a) campo, b) disciplina y c) subdisciplinas. El campo hace referencia a varias disciplinas. Las disciplinas corresponden a grupos de especialidades en ciencia y tecnología. Las subdisciplinas agrupan las actividades que se realizan dentro de una disciplina (véase figura</w:t>
      </w:r>
      <w:r>
        <w:rPr>
          <w:spacing w:val="-3"/>
        </w:rPr>
        <w:t> </w:t>
      </w:r>
      <w:r>
        <w:rPr/>
        <w:t>8).</w:t>
      </w:r>
    </w:p>
    <w:p>
      <w:pPr>
        <w:pStyle w:val="BodyText"/>
      </w:pPr>
    </w:p>
    <w:p>
      <w:pPr>
        <w:pStyle w:val="BodyText"/>
        <w:spacing w:line="360" w:lineRule="auto" w:before="142"/>
        <w:ind w:left="102" w:right="116"/>
        <w:jc w:val="both"/>
      </w:pPr>
      <w:r>
        <w:rPr/>
        <w:t>Si bien la UNESCO define como campos a las disciplinas que se definen en las clasificaciones de Wallerstein y Bunge podemos hacer la comparación entre ellas  e identificamos que la clasificación de la UNESCO mantiene una estructura semejante a la de Bunge con la Lógica y Matemática al principio de su categorización y correspondería a la ciencia formal; posteriormente en la clasificación continua la física, química, ciencias de la vida y psicología que harían referencia a la ciencia factual natural (más ciencias agrarias, técnicas y ciencias tecnológicas); la antropología y demografía como parte de la ciencia factual biosocial; sociología, ciencias económicas, ciencia política, historia que hacen referencia a la ciencia factual social (más geografía, ciencias jurídicas y pedagogía). Un aspecto a resaltar de la categorización de la UNESCO es que considera a las ciencias de las artes y las letras, ética y filosofía las cuales pertenecen a las humanidades. El desagregado de los campos puede verse en la figura</w:t>
      </w:r>
      <w:r>
        <w:rPr>
          <w:spacing w:val="-2"/>
        </w:rPr>
        <w:t> </w:t>
      </w:r>
      <w:r>
        <w:rPr/>
        <w:t>9.</w:t>
      </w:r>
    </w:p>
    <w:p>
      <w:pPr>
        <w:spacing w:after="0" w:line="360" w:lineRule="auto"/>
        <w:jc w:val="both"/>
        <w:sectPr>
          <w:pgSz w:w="12240" w:h="15840"/>
          <w:pgMar w:header="0" w:footer="689" w:top="1360" w:bottom="880" w:left="1600" w:right="1580"/>
        </w:sectPr>
      </w:pPr>
    </w:p>
    <w:p>
      <w:pPr>
        <w:pStyle w:val="BodyText"/>
        <w:rPr>
          <w:sz w:val="20"/>
        </w:rPr>
      </w:pPr>
    </w:p>
    <w:p>
      <w:pPr>
        <w:pStyle w:val="BodyText"/>
        <w:rPr>
          <w:sz w:val="20"/>
        </w:rPr>
      </w:pPr>
    </w:p>
    <w:p>
      <w:pPr>
        <w:pStyle w:val="BodyText"/>
        <w:spacing w:before="3"/>
        <w:rPr>
          <w:sz w:val="18"/>
        </w:rPr>
      </w:pPr>
    </w:p>
    <w:p>
      <w:pPr>
        <w:pStyle w:val="Heading1"/>
        <w:spacing w:before="70"/>
        <w:ind w:left="1259" w:right="1396"/>
      </w:pPr>
      <w:r>
        <w:rPr/>
        <w:t>Figura 7</w:t>
      </w:r>
    </w:p>
    <w:p>
      <w:pPr>
        <w:spacing w:before="0" w:after="5"/>
        <w:ind w:left="1257" w:right="1396" w:firstLine="0"/>
        <w:jc w:val="center"/>
        <w:rPr>
          <w:b/>
          <w:sz w:val="24"/>
        </w:rPr>
      </w:pPr>
      <w:r>
        <w:rPr>
          <w:b/>
          <w:sz w:val="24"/>
        </w:rPr>
        <w:t>Campos de la ciencia UNESCO</w:t>
      </w:r>
    </w:p>
    <w:p>
      <w:pPr>
        <w:pStyle w:val="BodyText"/>
        <w:ind w:left="1505"/>
        <w:rPr>
          <w:sz w:val="20"/>
        </w:rPr>
      </w:pPr>
      <w:r>
        <w:rPr>
          <w:sz w:val="20"/>
        </w:rPr>
        <w:drawing>
          <wp:inline distT="0" distB="0" distL="0" distR="0">
            <wp:extent cx="3664548" cy="4809744"/>
            <wp:effectExtent l="0" t="0" r="0" b="0"/>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19" cstate="print"/>
                    <a:stretch>
                      <a:fillRect/>
                    </a:stretch>
                  </pic:blipFill>
                  <pic:spPr>
                    <a:xfrm>
                      <a:off x="0" y="0"/>
                      <a:ext cx="3664548" cy="4809744"/>
                    </a:xfrm>
                    <a:prstGeom prst="rect">
                      <a:avLst/>
                    </a:prstGeom>
                  </pic:spPr>
                </pic:pic>
              </a:graphicData>
            </a:graphic>
          </wp:inline>
        </w:drawing>
      </w:r>
      <w:r>
        <w:rPr>
          <w:sz w:val="20"/>
        </w:rPr>
      </w:r>
    </w:p>
    <w:p>
      <w:pPr>
        <w:spacing w:before="191"/>
        <w:ind w:left="1258" w:right="1396" w:firstLine="0"/>
        <w:jc w:val="center"/>
        <w:rPr>
          <w:sz w:val="20"/>
        </w:rPr>
      </w:pPr>
      <w:r>
        <w:rPr>
          <w:sz w:val="20"/>
        </w:rPr>
        <w:t>UNESCO, 2007</w:t>
      </w:r>
    </w:p>
    <w:p>
      <w:pPr>
        <w:spacing w:after="0"/>
        <w:jc w:val="center"/>
        <w:rPr>
          <w:sz w:val="20"/>
        </w:rPr>
        <w:sectPr>
          <w:pgSz w:w="12240" w:h="15840"/>
          <w:pgMar w:header="0" w:footer="689" w:top="1500" w:bottom="880" w:left="1720" w:right="1580"/>
        </w:sectPr>
      </w:pPr>
    </w:p>
    <w:p>
      <w:pPr>
        <w:pStyle w:val="BodyText"/>
        <w:spacing w:before="3"/>
        <w:rPr>
          <w:sz w:val="10"/>
        </w:rPr>
      </w:pPr>
    </w:p>
    <w:p>
      <w:pPr>
        <w:pStyle w:val="Heading1"/>
        <w:spacing w:before="70"/>
        <w:ind w:left="1259" w:right="1396"/>
      </w:pPr>
      <w:r>
        <w:rPr/>
        <w:t>Figura 8</w:t>
      </w:r>
    </w:p>
    <w:p>
      <w:pPr>
        <w:spacing w:before="0" w:after="5"/>
        <w:ind w:left="1260" w:right="1396" w:firstLine="0"/>
        <w:jc w:val="center"/>
        <w:rPr>
          <w:b/>
          <w:sz w:val="24"/>
        </w:rPr>
      </w:pPr>
      <w:r>
        <w:rPr>
          <w:b/>
          <w:sz w:val="24"/>
        </w:rPr>
        <w:t>Desagregación de campos de la ciencia de la UNESCO</w:t>
      </w:r>
    </w:p>
    <w:tbl>
      <w:tblPr>
        <w:tblW w:w="0" w:type="auto"/>
        <w:jc w:val="left"/>
        <w:tblInd w:w="15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4"/>
        <w:gridCol w:w="1414"/>
        <w:gridCol w:w="1414"/>
        <w:gridCol w:w="1414"/>
      </w:tblGrid>
      <w:tr>
        <w:trPr>
          <w:trHeight w:val="407" w:hRule="exact"/>
        </w:trPr>
        <w:tc>
          <w:tcPr>
            <w:tcW w:w="1414" w:type="dxa"/>
          </w:tcPr>
          <w:p>
            <w:pPr>
              <w:pStyle w:val="TableParagraph"/>
              <w:spacing w:before="6"/>
              <w:rPr>
                <w:b/>
                <w:sz w:val="18"/>
              </w:rPr>
            </w:pPr>
          </w:p>
          <w:p>
            <w:pPr>
              <w:pStyle w:val="TableParagraph"/>
              <w:ind w:left="437"/>
              <w:rPr>
                <w:rFonts w:ascii="Calibri" w:hAnsi="Calibri"/>
                <w:b/>
                <w:sz w:val="15"/>
              </w:rPr>
            </w:pPr>
            <w:r>
              <w:rPr>
                <w:rFonts w:ascii="Calibri" w:hAnsi="Calibri"/>
                <w:b/>
                <w:sz w:val="15"/>
              </w:rPr>
              <w:t>1. Lógica</w:t>
            </w:r>
          </w:p>
        </w:tc>
        <w:tc>
          <w:tcPr>
            <w:tcW w:w="1414" w:type="dxa"/>
          </w:tcPr>
          <w:p>
            <w:pPr>
              <w:pStyle w:val="TableParagraph"/>
              <w:spacing w:before="6"/>
              <w:rPr>
                <w:b/>
                <w:sz w:val="18"/>
              </w:rPr>
            </w:pPr>
          </w:p>
          <w:p>
            <w:pPr>
              <w:pStyle w:val="TableParagraph"/>
              <w:ind w:left="223"/>
              <w:rPr>
                <w:rFonts w:ascii="Calibri" w:hAnsi="Calibri"/>
                <w:b/>
                <w:sz w:val="15"/>
              </w:rPr>
            </w:pPr>
            <w:r>
              <w:rPr>
                <w:rFonts w:ascii="Calibri" w:hAnsi="Calibri"/>
                <w:b/>
                <w:sz w:val="15"/>
              </w:rPr>
              <w:t>2. Matemáticas</w:t>
            </w:r>
          </w:p>
        </w:tc>
        <w:tc>
          <w:tcPr>
            <w:tcW w:w="1414" w:type="dxa"/>
          </w:tcPr>
          <w:p>
            <w:pPr>
              <w:pStyle w:val="TableParagraph"/>
              <w:spacing w:line="266" w:lineRule="auto" w:before="9"/>
              <w:ind w:left="376" w:hanging="163"/>
              <w:rPr>
                <w:rFonts w:ascii="Calibri" w:hAnsi="Calibri"/>
                <w:b/>
                <w:sz w:val="15"/>
              </w:rPr>
            </w:pPr>
            <w:r>
              <w:rPr>
                <w:rFonts w:ascii="Calibri" w:hAnsi="Calibri"/>
                <w:b/>
                <w:sz w:val="15"/>
              </w:rPr>
              <w:t>3. Astronomía y Astrofísica</w:t>
            </w:r>
          </w:p>
        </w:tc>
        <w:tc>
          <w:tcPr>
            <w:tcW w:w="1414" w:type="dxa"/>
          </w:tcPr>
          <w:p>
            <w:pPr>
              <w:pStyle w:val="TableParagraph"/>
              <w:spacing w:before="6"/>
              <w:rPr>
                <w:b/>
                <w:sz w:val="18"/>
              </w:rPr>
            </w:pPr>
          </w:p>
          <w:p>
            <w:pPr>
              <w:pStyle w:val="TableParagraph"/>
              <w:ind w:left="457"/>
              <w:rPr>
                <w:rFonts w:ascii="Calibri" w:hAnsi="Calibri"/>
                <w:b/>
                <w:sz w:val="15"/>
              </w:rPr>
            </w:pPr>
            <w:r>
              <w:rPr>
                <w:rFonts w:ascii="Calibri" w:hAnsi="Calibri"/>
                <w:b/>
                <w:sz w:val="15"/>
              </w:rPr>
              <w:t>4. Física</w:t>
            </w:r>
          </w:p>
        </w:tc>
      </w:tr>
      <w:tr>
        <w:trPr>
          <w:trHeight w:val="221" w:hRule="exact"/>
        </w:trPr>
        <w:tc>
          <w:tcPr>
            <w:tcW w:w="1414" w:type="dxa"/>
            <w:tcBorders>
              <w:bottom w:val="nil"/>
            </w:tcBorders>
          </w:tcPr>
          <w:p>
            <w:pPr/>
          </w:p>
        </w:tc>
        <w:tc>
          <w:tcPr>
            <w:tcW w:w="1414" w:type="dxa"/>
            <w:tcBorders>
              <w:bottom w:val="nil"/>
            </w:tcBorders>
          </w:tcPr>
          <w:p>
            <w:pPr/>
          </w:p>
        </w:tc>
        <w:tc>
          <w:tcPr>
            <w:tcW w:w="1414" w:type="dxa"/>
            <w:tcBorders>
              <w:bottom w:val="nil"/>
            </w:tcBorders>
          </w:tcPr>
          <w:p>
            <w:pPr/>
          </w:p>
        </w:tc>
        <w:tc>
          <w:tcPr>
            <w:tcW w:w="1414" w:type="dxa"/>
            <w:tcBorders>
              <w:bottom w:val="nil"/>
            </w:tcBorders>
          </w:tcPr>
          <w:p>
            <w:pPr>
              <w:pStyle w:val="TableParagraph"/>
              <w:spacing w:before="10"/>
              <w:ind w:left="20"/>
              <w:rPr>
                <w:rFonts w:ascii="Calibri" w:hAnsi="Calibri"/>
                <w:sz w:val="15"/>
              </w:rPr>
            </w:pPr>
            <w:r>
              <w:rPr>
                <w:rFonts w:ascii="Calibri" w:hAnsi="Calibri"/>
                <w:sz w:val="15"/>
              </w:rPr>
              <w:t>Acústica</w:t>
            </w:r>
          </w:p>
        </w:tc>
      </w:tr>
      <w:tr>
        <w:trPr>
          <w:trHeight w:val="204" w:hRule="exact"/>
        </w:trPr>
        <w:tc>
          <w:tcPr>
            <w:tcW w:w="1414" w:type="dxa"/>
            <w:tcBorders>
              <w:top w:val="nil"/>
              <w:bottom w:val="nil"/>
            </w:tcBorders>
          </w:tcPr>
          <w:p>
            <w:pPr>
              <w:pStyle w:val="TableParagraph"/>
              <w:spacing w:line="180" w:lineRule="exact"/>
              <w:ind w:left="20"/>
              <w:rPr>
                <w:rFonts w:ascii="Calibri"/>
                <w:sz w:val="15"/>
              </w:rPr>
            </w:pPr>
            <w:r>
              <w:rPr>
                <w:rFonts w:ascii="Calibri"/>
                <w:sz w:val="15"/>
              </w:rPr>
              <w:t>Aplicaciones de la</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Álgebra</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Cosmología y</w:t>
            </w:r>
          </w:p>
        </w:tc>
        <w:tc>
          <w:tcPr>
            <w:tcW w:w="1414" w:type="dxa"/>
            <w:tcBorders>
              <w:top w:val="nil"/>
              <w:bottom w:val="nil"/>
            </w:tcBorders>
          </w:tcPr>
          <w:p>
            <w:pPr>
              <w:pStyle w:val="TableParagraph"/>
              <w:spacing w:line="180" w:lineRule="exact"/>
              <w:ind w:left="20"/>
              <w:rPr>
                <w:rFonts w:ascii="Calibri"/>
                <w:sz w:val="15"/>
              </w:rPr>
            </w:pPr>
            <w:r>
              <w:rPr>
                <w:rFonts w:ascii="Calibri"/>
                <w:sz w:val="15"/>
              </w:rPr>
              <w:t>Electromagnetismo</w:t>
            </w:r>
          </w:p>
        </w:tc>
      </w:tr>
      <w:tr>
        <w:trPr>
          <w:trHeight w:val="204" w:hRule="exact"/>
        </w:trPr>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lógica</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Análisis  y análisis</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cosmogonía</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Electrónica</w:t>
            </w:r>
          </w:p>
        </w:tc>
      </w:tr>
      <w:tr>
        <w:trPr>
          <w:trHeight w:val="203" w:hRule="exact"/>
        </w:trPr>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Lógica deductiva</w:t>
            </w:r>
          </w:p>
        </w:tc>
        <w:tc>
          <w:tcPr>
            <w:tcW w:w="1414" w:type="dxa"/>
            <w:tcBorders>
              <w:top w:val="nil"/>
              <w:bottom w:val="nil"/>
            </w:tcBorders>
          </w:tcPr>
          <w:p>
            <w:pPr>
              <w:pStyle w:val="TableParagraph"/>
              <w:spacing w:line="180" w:lineRule="exact"/>
              <w:ind w:left="20"/>
              <w:rPr>
                <w:rFonts w:ascii="Calibri"/>
                <w:sz w:val="15"/>
              </w:rPr>
            </w:pPr>
            <w:r>
              <w:rPr>
                <w:rFonts w:ascii="Calibri"/>
                <w:sz w:val="15"/>
              </w:rPr>
              <w:t>funcional</w:t>
            </w:r>
          </w:p>
        </w:tc>
        <w:tc>
          <w:tcPr>
            <w:tcW w:w="1414" w:type="dxa"/>
            <w:tcBorders>
              <w:top w:val="nil"/>
              <w:bottom w:val="nil"/>
            </w:tcBorders>
          </w:tcPr>
          <w:p>
            <w:pPr>
              <w:pStyle w:val="TableParagraph"/>
              <w:spacing w:line="180" w:lineRule="exact"/>
              <w:ind w:left="20"/>
              <w:rPr>
                <w:rFonts w:ascii="Calibri"/>
                <w:sz w:val="15"/>
              </w:rPr>
            </w:pPr>
            <w:r>
              <w:rPr>
                <w:rFonts w:ascii="Calibri"/>
                <w:sz w:val="15"/>
              </w:rPr>
              <w:t>Medio</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Física de fluidos</w:t>
            </w:r>
          </w:p>
        </w:tc>
      </w:tr>
      <w:tr>
        <w:trPr>
          <w:trHeight w:val="204" w:hRule="exact"/>
        </w:trPr>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Lógica general</w:t>
            </w:r>
          </w:p>
        </w:tc>
        <w:tc>
          <w:tcPr>
            <w:tcW w:w="1414" w:type="dxa"/>
            <w:tcBorders>
              <w:top w:val="nil"/>
              <w:bottom w:val="nil"/>
            </w:tcBorders>
          </w:tcPr>
          <w:p>
            <w:pPr>
              <w:pStyle w:val="TableParagraph"/>
              <w:spacing w:line="180" w:lineRule="exact"/>
              <w:ind w:left="20"/>
              <w:rPr>
                <w:rFonts w:ascii="Calibri"/>
                <w:sz w:val="15"/>
              </w:rPr>
            </w:pPr>
            <w:r>
              <w:rPr>
                <w:rFonts w:ascii="Calibri"/>
                <w:sz w:val="15"/>
              </w:rPr>
              <w:t>Ciencias de los</w:t>
            </w:r>
          </w:p>
        </w:tc>
        <w:tc>
          <w:tcPr>
            <w:tcW w:w="1414" w:type="dxa"/>
            <w:tcBorders>
              <w:top w:val="nil"/>
              <w:bottom w:val="nil"/>
            </w:tcBorders>
          </w:tcPr>
          <w:p>
            <w:pPr>
              <w:pStyle w:val="TableParagraph"/>
              <w:spacing w:line="180" w:lineRule="exact"/>
              <w:ind w:left="20"/>
              <w:rPr>
                <w:rFonts w:ascii="Calibri"/>
                <w:sz w:val="15"/>
              </w:rPr>
            </w:pPr>
            <w:r>
              <w:rPr>
                <w:rFonts w:ascii="Calibri"/>
                <w:sz w:val="15"/>
              </w:rPr>
              <w:t>interplanetario</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Mecánica</w:t>
            </w:r>
          </w:p>
        </w:tc>
      </w:tr>
      <w:tr>
        <w:trPr>
          <w:trHeight w:val="204" w:hRule="exact"/>
        </w:trPr>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Lógica inductiva</w:t>
            </w:r>
          </w:p>
        </w:tc>
        <w:tc>
          <w:tcPr>
            <w:tcW w:w="1414" w:type="dxa"/>
            <w:tcBorders>
              <w:top w:val="nil"/>
              <w:bottom w:val="nil"/>
            </w:tcBorders>
          </w:tcPr>
          <w:p>
            <w:pPr>
              <w:pStyle w:val="TableParagraph"/>
              <w:spacing w:line="180" w:lineRule="exact"/>
              <w:ind w:left="20"/>
              <w:rPr>
                <w:rFonts w:ascii="Calibri"/>
                <w:sz w:val="15"/>
              </w:rPr>
            </w:pPr>
            <w:r>
              <w:rPr>
                <w:rFonts w:ascii="Calibri"/>
                <w:sz w:val="15"/>
              </w:rPr>
              <w:t>ordenadores</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Astronomía optica</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Física molecular</w:t>
            </w:r>
          </w:p>
        </w:tc>
      </w:tr>
      <w:tr>
        <w:trPr>
          <w:trHeight w:val="203" w:hRule="exact"/>
        </w:trPr>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Metodología</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Geometría</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Planetología</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Física atómica y</w:t>
            </w:r>
          </w:p>
        </w:tc>
      </w:tr>
      <w:tr>
        <w:trPr>
          <w:trHeight w:val="204" w:hRule="exact"/>
        </w:trPr>
        <w:tc>
          <w:tcPr>
            <w:tcW w:w="1414" w:type="dxa"/>
            <w:tcBorders>
              <w:top w:val="nil"/>
              <w:bottom w:val="nil"/>
            </w:tcBorders>
          </w:tcPr>
          <w:p>
            <w:pPr>
              <w:pStyle w:val="TableParagraph"/>
              <w:spacing w:line="180" w:lineRule="exact"/>
              <w:ind w:left="20"/>
              <w:rPr>
                <w:rFonts w:ascii="Calibri"/>
                <w:sz w:val="15"/>
              </w:rPr>
            </w:pPr>
            <w:r>
              <w:rPr>
                <w:rFonts w:ascii="Calibri"/>
                <w:sz w:val="15"/>
              </w:rPr>
              <w:t>Otras  especialidades</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Teoría de números</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Radioastronomía</w:t>
            </w:r>
          </w:p>
        </w:tc>
        <w:tc>
          <w:tcPr>
            <w:tcW w:w="1414" w:type="dxa"/>
            <w:tcBorders>
              <w:top w:val="nil"/>
              <w:bottom w:val="nil"/>
            </w:tcBorders>
          </w:tcPr>
          <w:p>
            <w:pPr>
              <w:pStyle w:val="TableParagraph"/>
              <w:spacing w:line="180" w:lineRule="exact"/>
              <w:ind w:left="20"/>
              <w:rPr>
                <w:rFonts w:ascii="Calibri"/>
                <w:sz w:val="15"/>
              </w:rPr>
            </w:pPr>
            <w:r>
              <w:rPr>
                <w:rFonts w:ascii="Calibri"/>
                <w:sz w:val="15"/>
              </w:rPr>
              <w:t>nuclear</w:t>
            </w:r>
          </w:p>
        </w:tc>
      </w:tr>
      <w:tr>
        <w:trPr>
          <w:trHeight w:val="204" w:hRule="exact"/>
        </w:trPr>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relativas a la lógica</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Análisis  numérico</w:t>
            </w:r>
          </w:p>
        </w:tc>
        <w:tc>
          <w:tcPr>
            <w:tcW w:w="1414" w:type="dxa"/>
            <w:tcBorders>
              <w:top w:val="nil"/>
              <w:bottom w:val="nil"/>
            </w:tcBorders>
          </w:tcPr>
          <w:p>
            <w:pPr>
              <w:pStyle w:val="TableParagraph"/>
              <w:spacing w:line="180" w:lineRule="exact"/>
              <w:ind w:left="20"/>
              <w:rPr>
                <w:rFonts w:ascii="Calibri"/>
                <w:sz w:val="15"/>
              </w:rPr>
            </w:pPr>
            <w:r>
              <w:rPr>
                <w:rFonts w:ascii="Calibri"/>
                <w:sz w:val="15"/>
              </w:rPr>
              <w:t>Sistema solar</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Nucleónica</w:t>
            </w:r>
          </w:p>
        </w:tc>
      </w:tr>
      <w:tr>
        <w:trPr>
          <w:trHeight w:val="203" w:hRule="exact"/>
        </w:trPr>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Investigación</w:t>
            </w:r>
          </w:p>
        </w:tc>
        <w:tc>
          <w:tcPr>
            <w:tcW w:w="1414" w:type="dxa"/>
            <w:tcBorders>
              <w:top w:val="nil"/>
              <w:bottom w:val="nil"/>
            </w:tcBorders>
          </w:tcPr>
          <w:p>
            <w:pPr>
              <w:pStyle w:val="TableParagraph"/>
              <w:spacing w:line="180" w:lineRule="exact"/>
              <w:ind w:left="20"/>
              <w:rPr>
                <w:rFonts w:ascii="Calibri"/>
                <w:sz w:val="15"/>
              </w:rPr>
            </w:pPr>
            <w:r>
              <w:rPr>
                <w:rFonts w:ascii="Calibri"/>
                <w:sz w:val="15"/>
              </w:rPr>
              <w:t>Otras  especialidades</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Óptica</w:t>
            </w:r>
          </w:p>
        </w:tc>
      </w:tr>
      <w:tr>
        <w:trPr>
          <w:trHeight w:val="204" w:hRule="exact"/>
        </w:trPr>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sz w:val="15"/>
              </w:rPr>
            </w:pPr>
            <w:r>
              <w:rPr>
                <w:rFonts w:ascii="Calibri"/>
                <w:sz w:val="15"/>
              </w:rPr>
              <w:t>operativa</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astronómicas</w:t>
            </w: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Química física</w:t>
            </w:r>
          </w:p>
        </w:tc>
      </w:tr>
      <w:tr>
        <w:trPr>
          <w:trHeight w:val="204" w:hRule="exact"/>
        </w:trPr>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sz w:val="15"/>
              </w:rPr>
            </w:pPr>
            <w:r>
              <w:rPr>
                <w:rFonts w:ascii="Calibri"/>
                <w:sz w:val="15"/>
              </w:rPr>
              <w:t>Probabilidad</w:t>
            </w:r>
          </w:p>
        </w:tc>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Física del estado</w:t>
            </w:r>
          </w:p>
        </w:tc>
      </w:tr>
      <w:tr>
        <w:trPr>
          <w:trHeight w:val="203" w:hRule="exact"/>
        </w:trPr>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Estadística</w:t>
            </w:r>
          </w:p>
        </w:tc>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sólido</w:t>
            </w:r>
          </w:p>
        </w:tc>
      </w:tr>
      <w:tr>
        <w:trPr>
          <w:trHeight w:val="204" w:hRule="exact"/>
        </w:trPr>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Topología</w:t>
            </w:r>
          </w:p>
        </w:tc>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Física teórica</w:t>
            </w:r>
          </w:p>
        </w:tc>
      </w:tr>
      <w:tr>
        <w:trPr>
          <w:trHeight w:val="204" w:hRule="exact"/>
        </w:trPr>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sz w:val="15"/>
              </w:rPr>
            </w:pPr>
            <w:r>
              <w:rPr>
                <w:rFonts w:ascii="Calibri"/>
                <w:sz w:val="15"/>
              </w:rPr>
              <w:t>Otras  especialidades</w:t>
            </w:r>
          </w:p>
        </w:tc>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Termodinámica</w:t>
            </w:r>
          </w:p>
        </w:tc>
      </w:tr>
      <w:tr>
        <w:trPr>
          <w:trHeight w:val="204" w:hRule="exact"/>
        </w:trPr>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hAnsi="Calibri"/>
                <w:sz w:val="15"/>
              </w:rPr>
            </w:pPr>
            <w:r>
              <w:rPr>
                <w:rFonts w:ascii="Calibri" w:hAnsi="Calibri"/>
                <w:sz w:val="15"/>
              </w:rPr>
              <w:t>matemáticas</w:t>
            </w:r>
          </w:p>
        </w:tc>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sz w:val="15"/>
              </w:rPr>
            </w:pPr>
            <w:r>
              <w:rPr>
                <w:rFonts w:ascii="Calibri"/>
                <w:sz w:val="15"/>
              </w:rPr>
              <w:t>Unidades y</w:t>
            </w:r>
          </w:p>
        </w:tc>
      </w:tr>
      <w:tr>
        <w:trPr>
          <w:trHeight w:val="204" w:hRule="exact"/>
        </w:trPr>
        <w:tc>
          <w:tcPr>
            <w:tcW w:w="1414" w:type="dxa"/>
            <w:tcBorders>
              <w:top w:val="nil"/>
              <w:bottom w:val="nil"/>
            </w:tcBorders>
          </w:tcPr>
          <w:p>
            <w:pPr/>
          </w:p>
        </w:tc>
        <w:tc>
          <w:tcPr>
            <w:tcW w:w="1414" w:type="dxa"/>
            <w:tcBorders>
              <w:top w:val="nil"/>
              <w:bottom w:val="nil"/>
            </w:tcBorders>
          </w:tcPr>
          <w:p>
            <w:pPr/>
          </w:p>
        </w:tc>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sz w:val="15"/>
              </w:rPr>
            </w:pPr>
            <w:r>
              <w:rPr>
                <w:rFonts w:ascii="Calibri"/>
                <w:sz w:val="15"/>
              </w:rPr>
              <w:t>contrastes</w:t>
            </w:r>
          </w:p>
        </w:tc>
      </w:tr>
      <w:tr>
        <w:trPr>
          <w:trHeight w:val="203" w:hRule="exact"/>
        </w:trPr>
        <w:tc>
          <w:tcPr>
            <w:tcW w:w="1414" w:type="dxa"/>
            <w:tcBorders>
              <w:top w:val="nil"/>
              <w:bottom w:val="nil"/>
            </w:tcBorders>
          </w:tcPr>
          <w:p>
            <w:pPr/>
          </w:p>
        </w:tc>
        <w:tc>
          <w:tcPr>
            <w:tcW w:w="1414" w:type="dxa"/>
            <w:tcBorders>
              <w:top w:val="nil"/>
              <w:bottom w:val="nil"/>
            </w:tcBorders>
          </w:tcPr>
          <w:p>
            <w:pPr/>
          </w:p>
        </w:tc>
        <w:tc>
          <w:tcPr>
            <w:tcW w:w="1414" w:type="dxa"/>
            <w:tcBorders>
              <w:top w:val="nil"/>
              <w:bottom w:val="nil"/>
            </w:tcBorders>
          </w:tcPr>
          <w:p>
            <w:pPr/>
          </w:p>
        </w:tc>
        <w:tc>
          <w:tcPr>
            <w:tcW w:w="1414" w:type="dxa"/>
            <w:tcBorders>
              <w:top w:val="nil"/>
              <w:bottom w:val="nil"/>
            </w:tcBorders>
          </w:tcPr>
          <w:p>
            <w:pPr>
              <w:pStyle w:val="TableParagraph"/>
              <w:spacing w:line="180" w:lineRule="exact"/>
              <w:ind w:left="20"/>
              <w:rPr>
                <w:rFonts w:ascii="Calibri"/>
                <w:sz w:val="15"/>
              </w:rPr>
            </w:pPr>
            <w:r>
              <w:rPr>
                <w:rFonts w:ascii="Calibri"/>
                <w:sz w:val="15"/>
              </w:rPr>
              <w:t>Otras  especialidades</w:t>
            </w:r>
          </w:p>
        </w:tc>
      </w:tr>
      <w:tr>
        <w:trPr>
          <w:trHeight w:val="389" w:hRule="exact"/>
        </w:trPr>
        <w:tc>
          <w:tcPr>
            <w:tcW w:w="1414" w:type="dxa"/>
            <w:tcBorders>
              <w:top w:val="nil"/>
            </w:tcBorders>
          </w:tcPr>
          <w:p>
            <w:pPr/>
          </w:p>
        </w:tc>
        <w:tc>
          <w:tcPr>
            <w:tcW w:w="1414" w:type="dxa"/>
            <w:tcBorders>
              <w:top w:val="nil"/>
            </w:tcBorders>
          </w:tcPr>
          <w:p>
            <w:pPr/>
          </w:p>
        </w:tc>
        <w:tc>
          <w:tcPr>
            <w:tcW w:w="1414" w:type="dxa"/>
            <w:tcBorders>
              <w:top w:val="nil"/>
            </w:tcBorders>
          </w:tcPr>
          <w:p>
            <w:pPr/>
          </w:p>
        </w:tc>
        <w:tc>
          <w:tcPr>
            <w:tcW w:w="1414" w:type="dxa"/>
            <w:tcBorders>
              <w:top w:val="nil"/>
            </w:tcBorders>
          </w:tcPr>
          <w:p>
            <w:pPr>
              <w:pStyle w:val="TableParagraph"/>
              <w:spacing w:line="180" w:lineRule="exact"/>
              <w:ind w:left="20"/>
              <w:rPr>
                <w:rFonts w:ascii="Calibri" w:hAnsi="Calibri"/>
                <w:sz w:val="15"/>
              </w:rPr>
            </w:pPr>
            <w:r>
              <w:rPr>
                <w:rFonts w:ascii="Calibri" w:hAnsi="Calibri"/>
                <w:sz w:val="15"/>
              </w:rPr>
              <w:t>físicas</w:t>
            </w:r>
          </w:p>
        </w:tc>
      </w:tr>
    </w:tbl>
    <w:p>
      <w:pPr>
        <w:spacing w:before="0"/>
        <w:ind w:left="1258" w:right="1396" w:firstLine="0"/>
        <w:jc w:val="center"/>
        <w:rPr>
          <w:sz w:val="20"/>
        </w:rPr>
      </w:pPr>
      <w:r>
        <w:rPr>
          <w:sz w:val="20"/>
        </w:rPr>
        <w:t>Fuente: UNESCO, 2007</w:t>
      </w:r>
    </w:p>
    <w:p>
      <w:pPr>
        <w:pStyle w:val="BodyText"/>
        <w:rPr>
          <w:sz w:val="20"/>
        </w:rPr>
      </w:pPr>
    </w:p>
    <w:p>
      <w:pPr>
        <w:pStyle w:val="BodyText"/>
        <w:spacing w:before="1"/>
        <w:rPr>
          <w:sz w:val="28"/>
        </w:rPr>
      </w:pPr>
    </w:p>
    <w:tbl>
      <w:tblPr>
        <w:tblW w:w="0" w:type="auto"/>
        <w:jc w:val="left"/>
        <w:tblInd w:w="1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3"/>
        <w:gridCol w:w="1403"/>
        <w:gridCol w:w="1403"/>
        <w:gridCol w:w="1403"/>
      </w:tblGrid>
      <w:tr>
        <w:trPr>
          <w:trHeight w:val="404" w:hRule="exact"/>
        </w:trPr>
        <w:tc>
          <w:tcPr>
            <w:tcW w:w="1403" w:type="dxa"/>
          </w:tcPr>
          <w:p>
            <w:pPr>
              <w:pStyle w:val="TableParagraph"/>
              <w:spacing w:before="3"/>
              <w:rPr>
                <w:sz w:val="18"/>
              </w:rPr>
            </w:pPr>
          </w:p>
          <w:p>
            <w:pPr>
              <w:pStyle w:val="TableParagraph"/>
              <w:ind w:left="363"/>
              <w:rPr>
                <w:rFonts w:ascii="Calibri" w:hAnsi="Calibri"/>
                <w:b/>
                <w:sz w:val="15"/>
              </w:rPr>
            </w:pPr>
            <w:r>
              <w:rPr>
                <w:rFonts w:ascii="Calibri" w:hAnsi="Calibri"/>
                <w:b/>
                <w:sz w:val="15"/>
              </w:rPr>
              <w:t>5. Química</w:t>
            </w:r>
          </w:p>
        </w:tc>
        <w:tc>
          <w:tcPr>
            <w:tcW w:w="1403" w:type="dxa"/>
          </w:tcPr>
          <w:p>
            <w:pPr>
              <w:pStyle w:val="TableParagraph"/>
              <w:spacing w:before="3"/>
              <w:rPr>
                <w:sz w:val="18"/>
              </w:rPr>
            </w:pPr>
          </w:p>
          <w:p>
            <w:pPr>
              <w:pStyle w:val="TableParagraph"/>
              <w:ind w:left="50"/>
              <w:rPr>
                <w:rFonts w:ascii="Calibri"/>
                <w:b/>
                <w:sz w:val="15"/>
              </w:rPr>
            </w:pPr>
            <w:r>
              <w:rPr>
                <w:rFonts w:ascii="Calibri"/>
                <w:b/>
                <w:sz w:val="15"/>
              </w:rPr>
              <w:t>6. Ciencias de la vida</w:t>
            </w:r>
          </w:p>
        </w:tc>
        <w:tc>
          <w:tcPr>
            <w:tcW w:w="1403" w:type="dxa"/>
          </w:tcPr>
          <w:p>
            <w:pPr>
              <w:pStyle w:val="TableParagraph"/>
              <w:spacing w:line="264" w:lineRule="auto" w:before="8"/>
              <w:ind w:left="141" w:right="131" w:firstLine="60"/>
              <w:rPr>
                <w:rFonts w:ascii="Calibri"/>
                <w:b/>
                <w:sz w:val="15"/>
              </w:rPr>
            </w:pPr>
            <w:r>
              <w:rPr>
                <w:rFonts w:ascii="Calibri"/>
                <w:b/>
                <w:sz w:val="15"/>
              </w:rPr>
              <w:t>7. Ciencias de la tierra y el espacio</w:t>
            </w:r>
          </w:p>
        </w:tc>
        <w:tc>
          <w:tcPr>
            <w:tcW w:w="1403" w:type="dxa"/>
          </w:tcPr>
          <w:p>
            <w:pPr>
              <w:pStyle w:val="TableParagraph"/>
              <w:spacing w:before="3"/>
              <w:rPr>
                <w:sz w:val="18"/>
              </w:rPr>
            </w:pPr>
          </w:p>
          <w:p>
            <w:pPr>
              <w:pStyle w:val="TableParagraph"/>
              <w:ind w:left="110"/>
              <w:rPr>
                <w:rFonts w:ascii="Calibri"/>
                <w:b/>
                <w:sz w:val="15"/>
              </w:rPr>
            </w:pPr>
            <w:r>
              <w:rPr>
                <w:rFonts w:ascii="Calibri"/>
                <w:b/>
                <w:sz w:val="15"/>
              </w:rPr>
              <w:t>8. Ciencias agrarias</w:t>
            </w:r>
          </w:p>
        </w:tc>
      </w:tr>
      <w:tr>
        <w:trPr>
          <w:trHeight w:val="220" w:hRule="exact"/>
        </w:trPr>
        <w:tc>
          <w:tcPr>
            <w:tcW w:w="1403" w:type="dxa"/>
            <w:tcBorders>
              <w:bottom w:val="nil"/>
            </w:tcBorders>
          </w:tcPr>
          <w:p>
            <w:pPr>
              <w:pStyle w:val="TableParagraph"/>
              <w:spacing w:before="8"/>
              <w:ind w:left="20"/>
              <w:rPr>
                <w:rFonts w:ascii="Calibri" w:hAnsi="Calibri"/>
                <w:sz w:val="15"/>
              </w:rPr>
            </w:pPr>
            <w:r>
              <w:rPr>
                <w:rFonts w:ascii="Calibri" w:hAnsi="Calibri"/>
                <w:sz w:val="15"/>
              </w:rPr>
              <w:t>Química analítica</w:t>
            </w:r>
          </w:p>
        </w:tc>
        <w:tc>
          <w:tcPr>
            <w:tcW w:w="1403" w:type="dxa"/>
            <w:tcBorders>
              <w:bottom w:val="nil"/>
            </w:tcBorders>
          </w:tcPr>
          <w:p>
            <w:pPr>
              <w:pStyle w:val="TableParagraph"/>
              <w:spacing w:before="8"/>
              <w:ind w:left="20"/>
              <w:rPr>
                <w:rFonts w:ascii="Calibri" w:hAnsi="Calibri"/>
                <w:sz w:val="15"/>
              </w:rPr>
            </w:pPr>
            <w:r>
              <w:rPr>
                <w:rFonts w:ascii="Calibri" w:hAnsi="Calibri"/>
                <w:sz w:val="15"/>
              </w:rPr>
              <w:t>Biología animal</w:t>
            </w:r>
          </w:p>
        </w:tc>
        <w:tc>
          <w:tcPr>
            <w:tcW w:w="1403" w:type="dxa"/>
            <w:tcBorders>
              <w:bottom w:val="nil"/>
            </w:tcBorders>
          </w:tcPr>
          <w:p>
            <w:pPr>
              <w:pStyle w:val="TableParagraph"/>
              <w:spacing w:before="8"/>
              <w:ind w:left="20" w:right="131"/>
              <w:rPr>
                <w:rFonts w:ascii="Calibri"/>
                <w:sz w:val="15"/>
              </w:rPr>
            </w:pPr>
            <w:r>
              <w:rPr>
                <w:rFonts w:ascii="Calibri"/>
                <w:sz w:val="15"/>
              </w:rPr>
              <w:t>Ciencias de la</w:t>
            </w:r>
          </w:p>
        </w:tc>
        <w:tc>
          <w:tcPr>
            <w:tcW w:w="1403" w:type="dxa"/>
            <w:tcBorders>
              <w:bottom w:val="nil"/>
            </w:tcBorders>
          </w:tcPr>
          <w:p>
            <w:pPr>
              <w:pStyle w:val="TableParagraph"/>
              <w:spacing w:before="8"/>
              <w:ind w:left="20"/>
              <w:rPr>
                <w:rFonts w:ascii="Calibri" w:hAnsi="Calibri"/>
                <w:sz w:val="15"/>
              </w:rPr>
            </w:pPr>
            <w:r>
              <w:rPr>
                <w:rFonts w:ascii="Calibri" w:hAnsi="Calibri"/>
                <w:sz w:val="15"/>
              </w:rPr>
              <w:t>Agroquímica</w:t>
            </w:r>
          </w:p>
        </w:tc>
      </w:tr>
      <w:tr>
        <w:trPr>
          <w:trHeight w:val="202" w:hRule="exact"/>
        </w:trPr>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Bioquímica</w:t>
            </w: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(zoología)</w:t>
            </w:r>
          </w:p>
        </w:tc>
        <w:tc>
          <w:tcPr>
            <w:tcW w:w="1403" w:type="dxa"/>
            <w:tcBorders>
              <w:top w:val="nil"/>
              <w:bottom w:val="nil"/>
            </w:tcBorders>
          </w:tcPr>
          <w:p>
            <w:pPr>
              <w:pStyle w:val="TableParagraph"/>
              <w:spacing w:line="179" w:lineRule="exact"/>
              <w:ind w:left="20" w:right="131"/>
              <w:rPr>
                <w:rFonts w:ascii="Calibri" w:hAnsi="Calibri"/>
                <w:sz w:val="15"/>
              </w:rPr>
            </w:pPr>
            <w:r>
              <w:rPr>
                <w:rFonts w:ascii="Calibri" w:hAnsi="Calibri"/>
                <w:sz w:val="15"/>
              </w:rPr>
              <w:t>atmósfera</w:t>
            </w: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Ingeniería agrícola</w:t>
            </w:r>
          </w:p>
        </w:tc>
      </w:tr>
      <w:tr>
        <w:trPr>
          <w:trHeight w:val="202" w:hRule="exact"/>
        </w:trPr>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Química inorgánica</w:t>
            </w: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Antropología</w:t>
            </w:r>
          </w:p>
        </w:tc>
        <w:tc>
          <w:tcPr>
            <w:tcW w:w="1403" w:type="dxa"/>
            <w:tcBorders>
              <w:top w:val="nil"/>
              <w:bottom w:val="nil"/>
            </w:tcBorders>
          </w:tcPr>
          <w:p>
            <w:pPr>
              <w:pStyle w:val="TableParagraph"/>
              <w:spacing w:line="179" w:lineRule="exact"/>
              <w:ind w:left="20" w:right="131"/>
              <w:rPr>
                <w:rFonts w:ascii="Calibri" w:hAnsi="Calibri"/>
                <w:sz w:val="15"/>
              </w:rPr>
            </w:pPr>
            <w:r>
              <w:rPr>
                <w:rFonts w:ascii="Calibri" w:hAnsi="Calibri"/>
                <w:sz w:val="15"/>
              </w:rPr>
              <w:t>Climatología</w:t>
            </w: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Agronomía</w:t>
            </w:r>
          </w:p>
        </w:tc>
      </w:tr>
      <w:tr>
        <w:trPr>
          <w:trHeight w:val="202" w:hRule="exact"/>
        </w:trPr>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Química</w:t>
            </w: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Bioquímica</w:t>
            </w:r>
          </w:p>
        </w:tc>
        <w:tc>
          <w:tcPr>
            <w:tcW w:w="1403" w:type="dxa"/>
            <w:tcBorders>
              <w:top w:val="nil"/>
              <w:bottom w:val="nil"/>
            </w:tcBorders>
          </w:tcPr>
          <w:p>
            <w:pPr>
              <w:pStyle w:val="TableParagraph"/>
              <w:spacing w:line="179" w:lineRule="exact"/>
              <w:ind w:left="20" w:right="131"/>
              <w:rPr>
                <w:rFonts w:ascii="Calibri" w:hAnsi="Calibri"/>
                <w:sz w:val="15"/>
              </w:rPr>
            </w:pPr>
            <w:r>
              <w:rPr>
                <w:rFonts w:ascii="Calibri" w:hAnsi="Calibri"/>
                <w:sz w:val="15"/>
              </w:rPr>
              <w:t>Geoquímica</w:t>
            </w: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Producción animal</w:t>
            </w:r>
          </w:p>
        </w:tc>
      </w:tr>
      <w:tr>
        <w:trPr>
          <w:trHeight w:val="202" w:hRule="exact"/>
        </w:trPr>
        <w:tc>
          <w:tcPr>
            <w:tcW w:w="1403" w:type="dxa"/>
            <w:tcBorders>
              <w:top w:val="nil"/>
              <w:bottom w:val="nil"/>
            </w:tcBorders>
          </w:tcPr>
          <w:p>
            <w:pPr>
              <w:pStyle w:val="TableParagraph"/>
              <w:spacing w:line="179" w:lineRule="exact"/>
              <w:ind w:left="20"/>
              <w:rPr>
                <w:rFonts w:ascii="Calibri"/>
                <w:sz w:val="15"/>
              </w:rPr>
            </w:pPr>
            <w:r>
              <w:rPr>
                <w:rFonts w:ascii="Calibri"/>
                <w:sz w:val="15"/>
              </w:rPr>
              <w:t>macromolecular</w:t>
            </w: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Biomatemáticas</w:t>
            </w:r>
          </w:p>
        </w:tc>
        <w:tc>
          <w:tcPr>
            <w:tcW w:w="1403" w:type="dxa"/>
            <w:tcBorders>
              <w:top w:val="nil"/>
              <w:bottom w:val="nil"/>
            </w:tcBorders>
          </w:tcPr>
          <w:p>
            <w:pPr>
              <w:pStyle w:val="TableParagraph"/>
              <w:spacing w:line="179" w:lineRule="exact"/>
              <w:ind w:left="20" w:right="131"/>
              <w:rPr>
                <w:rFonts w:ascii="Calibri"/>
                <w:sz w:val="15"/>
              </w:rPr>
            </w:pPr>
            <w:r>
              <w:rPr>
                <w:rFonts w:ascii="Calibri"/>
                <w:sz w:val="15"/>
              </w:rPr>
              <w:t>Geodesia</w:t>
            </w:r>
          </w:p>
        </w:tc>
        <w:tc>
          <w:tcPr>
            <w:tcW w:w="1403" w:type="dxa"/>
            <w:tcBorders>
              <w:top w:val="nil"/>
              <w:bottom w:val="nil"/>
            </w:tcBorders>
          </w:tcPr>
          <w:p>
            <w:pPr>
              <w:pStyle w:val="TableParagraph"/>
              <w:spacing w:line="179" w:lineRule="exact"/>
              <w:ind w:left="20"/>
              <w:rPr>
                <w:rFonts w:ascii="Calibri"/>
                <w:sz w:val="15"/>
              </w:rPr>
            </w:pPr>
            <w:r>
              <w:rPr>
                <w:rFonts w:ascii="Calibri"/>
                <w:sz w:val="15"/>
              </w:rPr>
              <w:t>Peces y fauna</w:t>
            </w:r>
          </w:p>
        </w:tc>
      </w:tr>
      <w:tr>
        <w:trPr>
          <w:trHeight w:val="202" w:hRule="exact"/>
        </w:trPr>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Química nuclear</w:t>
            </w: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Biometría</w:t>
            </w:r>
          </w:p>
        </w:tc>
        <w:tc>
          <w:tcPr>
            <w:tcW w:w="1403" w:type="dxa"/>
            <w:tcBorders>
              <w:top w:val="nil"/>
              <w:bottom w:val="nil"/>
            </w:tcBorders>
          </w:tcPr>
          <w:p>
            <w:pPr>
              <w:pStyle w:val="TableParagraph"/>
              <w:spacing w:line="179" w:lineRule="exact"/>
              <w:ind w:left="20" w:right="131"/>
              <w:rPr>
                <w:rFonts w:ascii="Calibri" w:hAnsi="Calibri"/>
                <w:sz w:val="15"/>
              </w:rPr>
            </w:pPr>
            <w:r>
              <w:rPr>
                <w:rFonts w:ascii="Calibri" w:hAnsi="Calibri"/>
                <w:sz w:val="15"/>
              </w:rPr>
              <w:t>Geografía</w:t>
            </w:r>
          </w:p>
        </w:tc>
        <w:tc>
          <w:tcPr>
            <w:tcW w:w="1403" w:type="dxa"/>
            <w:tcBorders>
              <w:top w:val="nil"/>
              <w:bottom w:val="nil"/>
            </w:tcBorders>
          </w:tcPr>
          <w:p>
            <w:pPr>
              <w:pStyle w:val="TableParagraph"/>
              <w:spacing w:line="179" w:lineRule="exact"/>
              <w:ind w:left="20"/>
              <w:rPr>
                <w:rFonts w:ascii="Calibri"/>
                <w:sz w:val="15"/>
              </w:rPr>
            </w:pPr>
            <w:r>
              <w:rPr>
                <w:rFonts w:ascii="Calibri"/>
                <w:sz w:val="15"/>
              </w:rPr>
              <w:t>silvestre</w:t>
            </w:r>
          </w:p>
        </w:tc>
      </w:tr>
      <w:tr>
        <w:trPr>
          <w:trHeight w:val="202" w:hRule="exact"/>
        </w:trPr>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Química orgánica</w:t>
            </w: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Biofísica</w:t>
            </w:r>
          </w:p>
        </w:tc>
        <w:tc>
          <w:tcPr>
            <w:tcW w:w="1403" w:type="dxa"/>
            <w:tcBorders>
              <w:top w:val="nil"/>
              <w:bottom w:val="nil"/>
            </w:tcBorders>
          </w:tcPr>
          <w:p>
            <w:pPr>
              <w:pStyle w:val="TableParagraph"/>
              <w:spacing w:line="179" w:lineRule="exact"/>
              <w:ind w:left="20" w:right="131"/>
              <w:rPr>
                <w:rFonts w:ascii="Calibri" w:hAnsi="Calibri"/>
                <w:sz w:val="15"/>
              </w:rPr>
            </w:pPr>
            <w:r>
              <w:rPr>
                <w:rFonts w:ascii="Calibri" w:hAnsi="Calibri"/>
                <w:sz w:val="15"/>
              </w:rPr>
              <w:t>Geología</w:t>
            </w:r>
          </w:p>
        </w:tc>
        <w:tc>
          <w:tcPr>
            <w:tcW w:w="1403" w:type="dxa"/>
            <w:tcBorders>
              <w:top w:val="nil"/>
              <w:bottom w:val="nil"/>
            </w:tcBorders>
          </w:tcPr>
          <w:p>
            <w:pPr>
              <w:pStyle w:val="TableParagraph"/>
              <w:spacing w:line="179" w:lineRule="exact"/>
              <w:ind w:left="20"/>
              <w:rPr>
                <w:rFonts w:ascii="Calibri"/>
                <w:sz w:val="15"/>
              </w:rPr>
            </w:pPr>
            <w:r>
              <w:rPr>
                <w:rFonts w:ascii="Calibri"/>
                <w:sz w:val="15"/>
              </w:rPr>
              <w:t>Ciencia foral</w:t>
            </w:r>
          </w:p>
        </w:tc>
      </w:tr>
      <w:tr>
        <w:trPr>
          <w:trHeight w:val="202" w:hRule="exact"/>
        </w:trPr>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Química física</w:t>
            </w: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Biología celular</w:t>
            </w:r>
          </w:p>
        </w:tc>
        <w:tc>
          <w:tcPr>
            <w:tcW w:w="1403" w:type="dxa"/>
            <w:tcBorders>
              <w:top w:val="nil"/>
              <w:bottom w:val="nil"/>
            </w:tcBorders>
          </w:tcPr>
          <w:p>
            <w:pPr>
              <w:pStyle w:val="TableParagraph"/>
              <w:spacing w:line="179" w:lineRule="exact"/>
              <w:ind w:left="20" w:right="131"/>
              <w:rPr>
                <w:rFonts w:ascii="Calibri" w:hAnsi="Calibri"/>
                <w:sz w:val="15"/>
              </w:rPr>
            </w:pPr>
            <w:r>
              <w:rPr>
                <w:rFonts w:ascii="Calibri" w:hAnsi="Calibri"/>
                <w:sz w:val="15"/>
              </w:rPr>
              <w:t>Geofísica</w:t>
            </w:r>
          </w:p>
        </w:tc>
        <w:tc>
          <w:tcPr>
            <w:tcW w:w="1403" w:type="dxa"/>
            <w:tcBorders>
              <w:top w:val="nil"/>
              <w:bottom w:val="nil"/>
            </w:tcBorders>
          </w:tcPr>
          <w:p>
            <w:pPr>
              <w:pStyle w:val="TableParagraph"/>
              <w:spacing w:line="179" w:lineRule="exact"/>
              <w:ind w:left="20"/>
              <w:rPr>
                <w:rFonts w:ascii="Calibri"/>
                <w:sz w:val="15"/>
              </w:rPr>
            </w:pPr>
            <w:r>
              <w:rPr>
                <w:rFonts w:ascii="Calibri"/>
                <w:sz w:val="15"/>
              </w:rPr>
              <w:t>Horticultura</w:t>
            </w:r>
          </w:p>
        </w:tc>
      </w:tr>
      <w:tr>
        <w:trPr>
          <w:trHeight w:val="202" w:hRule="exact"/>
        </w:trPr>
        <w:tc>
          <w:tcPr>
            <w:tcW w:w="1403" w:type="dxa"/>
            <w:tcBorders>
              <w:top w:val="nil"/>
              <w:bottom w:val="nil"/>
            </w:tcBorders>
          </w:tcPr>
          <w:p>
            <w:pPr>
              <w:pStyle w:val="TableParagraph"/>
              <w:spacing w:line="179" w:lineRule="exact"/>
              <w:ind w:left="20"/>
              <w:rPr>
                <w:rFonts w:ascii="Calibri"/>
                <w:sz w:val="15"/>
              </w:rPr>
            </w:pPr>
            <w:r>
              <w:rPr>
                <w:rFonts w:ascii="Calibri"/>
                <w:sz w:val="15"/>
              </w:rPr>
              <w:t>Otras especialidades</w:t>
            </w: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Etología</w:t>
            </w:r>
          </w:p>
        </w:tc>
        <w:tc>
          <w:tcPr>
            <w:tcW w:w="1403" w:type="dxa"/>
            <w:tcBorders>
              <w:top w:val="nil"/>
              <w:bottom w:val="nil"/>
            </w:tcBorders>
          </w:tcPr>
          <w:p>
            <w:pPr>
              <w:pStyle w:val="TableParagraph"/>
              <w:spacing w:line="179" w:lineRule="exact"/>
              <w:ind w:left="20" w:right="131"/>
              <w:rPr>
                <w:rFonts w:ascii="Calibri" w:hAnsi="Calibri"/>
                <w:sz w:val="15"/>
              </w:rPr>
            </w:pPr>
            <w:r>
              <w:rPr>
                <w:rFonts w:ascii="Calibri" w:hAnsi="Calibri"/>
                <w:sz w:val="15"/>
              </w:rPr>
              <w:t>Hidrología</w:t>
            </w: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Fitopatología</w:t>
            </w:r>
          </w:p>
        </w:tc>
      </w:tr>
      <w:tr>
        <w:trPr>
          <w:trHeight w:val="202" w:hRule="exact"/>
        </w:trPr>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químicas</w:t>
            </w: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Genética</w:t>
            </w:r>
          </w:p>
        </w:tc>
        <w:tc>
          <w:tcPr>
            <w:tcW w:w="1403" w:type="dxa"/>
            <w:tcBorders>
              <w:top w:val="nil"/>
              <w:bottom w:val="nil"/>
            </w:tcBorders>
          </w:tcPr>
          <w:p>
            <w:pPr>
              <w:pStyle w:val="TableParagraph"/>
              <w:spacing w:line="179" w:lineRule="exact"/>
              <w:ind w:left="20" w:right="131"/>
              <w:rPr>
                <w:rFonts w:ascii="Calibri" w:hAnsi="Calibri"/>
                <w:sz w:val="15"/>
              </w:rPr>
            </w:pPr>
            <w:r>
              <w:rPr>
                <w:rFonts w:ascii="Calibri" w:hAnsi="Calibri"/>
                <w:sz w:val="15"/>
              </w:rPr>
              <w:t>Meteorología</w:t>
            </w:r>
          </w:p>
        </w:tc>
        <w:tc>
          <w:tcPr>
            <w:tcW w:w="1403" w:type="dxa"/>
            <w:tcBorders>
              <w:top w:val="nil"/>
              <w:bottom w:val="nil"/>
            </w:tcBorders>
          </w:tcPr>
          <w:p>
            <w:pPr>
              <w:pStyle w:val="TableParagraph"/>
              <w:spacing w:line="179" w:lineRule="exact"/>
              <w:ind w:left="20"/>
              <w:rPr>
                <w:rFonts w:ascii="Calibri"/>
                <w:sz w:val="15"/>
              </w:rPr>
            </w:pPr>
            <w:r>
              <w:rPr>
                <w:rFonts w:ascii="Calibri"/>
                <w:sz w:val="15"/>
              </w:rPr>
              <w:t>Ciencias veterinarias</w:t>
            </w: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Biología humana</w:t>
            </w:r>
          </w:p>
        </w:tc>
        <w:tc>
          <w:tcPr>
            <w:tcW w:w="1403" w:type="dxa"/>
            <w:tcBorders>
              <w:top w:val="nil"/>
              <w:bottom w:val="nil"/>
            </w:tcBorders>
          </w:tcPr>
          <w:p>
            <w:pPr>
              <w:pStyle w:val="TableParagraph"/>
              <w:spacing w:line="179" w:lineRule="exact"/>
              <w:ind w:left="20" w:right="131"/>
              <w:rPr>
                <w:rFonts w:ascii="Calibri" w:hAnsi="Calibri"/>
                <w:sz w:val="15"/>
              </w:rPr>
            </w:pPr>
            <w:r>
              <w:rPr>
                <w:rFonts w:ascii="Calibri" w:hAnsi="Calibri"/>
                <w:sz w:val="15"/>
              </w:rPr>
              <w:t>Oceanografía</w:t>
            </w:r>
          </w:p>
        </w:tc>
        <w:tc>
          <w:tcPr>
            <w:tcW w:w="1403" w:type="dxa"/>
            <w:tcBorders>
              <w:top w:val="nil"/>
              <w:bottom w:val="nil"/>
            </w:tcBorders>
          </w:tcPr>
          <w:p>
            <w:pPr>
              <w:pStyle w:val="TableParagraph"/>
              <w:spacing w:line="179" w:lineRule="exact"/>
              <w:ind w:left="20"/>
              <w:rPr>
                <w:rFonts w:ascii="Calibri"/>
                <w:sz w:val="15"/>
              </w:rPr>
            </w:pPr>
            <w:r>
              <w:rPr>
                <w:rFonts w:ascii="Calibri"/>
                <w:sz w:val="15"/>
              </w:rPr>
              <w:t>Otras especialidades</w:t>
            </w: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Fisiología humana</w:t>
            </w:r>
          </w:p>
        </w:tc>
        <w:tc>
          <w:tcPr>
            <w:tcW w:w="1403" w:type="dxa"/>
            <w:tcBorders>
              <w:top w:val="nil"/>
              <w:bottom w:val="nil"/>
            </w:tcBorders>
          </w:tcPr>
          <w:p>
            <w:pPr>
              <w:pStyle w:val="TableParagraph"/>
              <w:spacing w:line="179" w:lineRule="exact"/>
              <w:ind w:left="20" w:right="131"/>
              <w:rPr>
                <w:rFonts w:ascii="Calibri"/>
                <w:sz w:val="15"/>
              </w:rPr>
            </w:pPr>
            <w:r>
              <w:rPr>
                <w:rFonts w:ascii="Calibri"/>
                <w:sz w:val="15"/>
              </w:rPr>
              <w:t>Ciencias del suelo</w:t>
            </w:r>
          </w:p>
        </w:tc>
        <w:tc>
          <w:tcPr>
            <w:tcW w:w="1403" w:type="dxa"/>
            <w:tcBorders>
              <w:top w:val="nil"/>
              <w:bottom w:val="nil"/>
            </w:tcBorders>
          </w:tcPr>
          <w:p>
            <w:pPr>
              <w:pStyle w:val="TableParagraph"/>
              <w:spacing w:line="179" w:lineRule="exact"/>
              <w:ind w:left="20"/>
              <w:rPr>
                <w:rFonts w:ascii="Calibri"/>
                <w:sz w:val="15"/>
              </w:rPr>
            </w:pPr>
            <w:r>
              <w:rPr>
                <w:rFonts w:ascii="Calibri"/>
                <w:sz w:val="15"/>
              </w:rPr>
              <w:t>agrarias</w:t>
            </w: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Inmunología</w:t>
            </w:r>
          </w:p>
        </w:tc>
        <w:tc>
          <w:tcPr>
            <w:tcW w:w="1403" w:type="dxa"/>
            <w:tcBorders>
              <w:top w:val="nil"/>
              <w:bottom w:val="nil"/>
            </w:tcBorders>
          </w:tcPr>
          <w:p>
            <w:pPr>
              <w:pStyle w:val="TableParagraph"/>
              <w:spacing w:line="179" w:lineRule="exact"/>
              <w:ind w:left="20" w:right="131"/>
              <w:rPr>
                <w:rFonts w:ascii="Calibri" w:hAnsi="Calibri"/>
                <w:sz w:val="15"/>
              </w:rPr>
            </w:pPr>
            <w:r>
              <w:rPr>
                <w:rFonts w:ascii="Calibri" w:hAnsi="Calibri"/>
                <w:sz w:val="15"/>
              </w:rPr>
              <w:t>(Edafología)</w:t>
            </w:r>
          </w:p>
        </w:tc>
        <w:tc>
          <w:tcPr>
            <w:tcW w:w="1403" w:type="dxa"/>
            <w:tcBorders>
              <w:top w:val="nil"/>
              <w:bottom w:val="nil"/>
            </w:tcBorders>
          </w:tcPr>
          <w:p>
            <w:pP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Biología de insectos</w:t>
            </w:r>
          </w:p>
        </w:tc>
        <w:tc>
          <w:tcPr>
            <w:tcW w:w="1403" w:type="dxa"/>
            <w:tcBorders>
              <w:top w:val="nil"/>
              <w:bottom w:val="nil"/>
            </w:tcBorders>
          </w:tcPr>
          <w:p>
            <w:pPr>
              <w:pStyle w:val="TableParagraph"/>
              <w:spacing w:line="179" w:lineRule="exact"/>
              <w:ind w:left="20"/>
              <w:rPr>
                <w:rFonts w:ascii="Calibri"/>
                <w:sz w:val="15"/>
              </w:rPr>
            </w:pPr>
            <w:r>
              <w:rPr>
                <w:rFonts w:ascii="Calibri"/>
                <w:sz w:val="15"/>
              </w:rPr>
              <w:t>Ciencias del espacio</w:t>
            </w:r>
          </w:p>
        </w:tc>
        <w:tc>
          <w:tcPr>
            <w:tcW w:w="1403" w:type="dxa"/>
            <w:tcBorders>
              <w:top w:val="nil"/>
              <w:bottom w:val="nil"/>
            </w:tcBorders>
          </w:tcPr>
          <w:p>
            <w:pP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(Entomología)</w:t>
            </w:r>
          </w:p>
        </w:tc>
        <w:tc>
          <w:tcPr>
            <w:tcW w:w="1403" w:type="dxa"/>
            <w:tcBorders>
              <w:top w:val="nil"/>
              <w:bottom w:val="nil"/>
            </w:tcBorders>
          </w:tcPr>
          <w:p>
            <w:pPr>
              <w:pStyle w:val="TableParagraph"/>
              <w:spacing w:line="179" w:lineRule="exact"/>
              <w:ind w:left="20"/>
              <w:rPr>
                <w:rFonts w:ascii="Calibri"/>
                <w:sz w:val="15"/>
              </w:rPr>
            </w:pPr>
            <w:r>
              <w:rPr>
                <w:rFonts w:ascii="Calibri"/>
                <w:sz w:val="15"/>
              </w:rPr>
              <w:t>Otras especialidades</w:t>
            </w:r>
          </w:p>
        </w:tc>
        <w:tc>
          <w:tcPr>
            <w:tcW w:w="1403" w:type="dxa"/>
            <w:tcBorders>
              <w:top w:val="nil"/>
              <w:bottom w:val="nil"/>
            </w:tcBorders>
          </w:tcPr>
          <w:p>
            <w:pP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Microbiología</w:t>
            </w:r>
          </w:p>
        </w:tc>
        <w:tc>
          <w:tcPr>
            <w:tcW w:w="1403" w:type="dxa"/>
            <w:tcBorders>
              <w:top w:val="nil"/>
              <w:bottom w:val="nil"/>
            </w:tcBorders>
          </w:tcPr>
          <w:p>
            <w:pPr>
              <w:pStyle w:val="TableParagraph"/>
              <w:spacing w:line="179" w:lineRule="exact"/>
              <w:ind w:left="20"/>
              <w:rPr>
                <w:rFonts w:ascii="Calibri"/>
                <w:sz w:val="15"/>
              </w:rPr>
            </w:pPr>
            <w:r>
              <w:rPr>
                <w:rFonts w:ascii="Calibri"/>
                <w:sz w:val="15"/>
              </w:rPr>
              <w:t>de la tierra, espacio o</w:t>
            </w:r>
          </w:p>
        </w:tc>
        <w:tc>
          <w:tcPr>
            <w:tcW w:w="1403" w:type="dxa"/>
            <w:tcBorders>
              <w:top w:val="nil"/>
              <w:bottom w:val="nil"/>
            </w:tcBorders>
          </w:tcPr>
          <w:p>
            <w:pP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Biología molecular</w:t>
            </w:r>
          </w:p>
        </w:tc>
        <w:tc>
          <w:tcPr>
            <w:tcW w:w="1403" w:type="dxa"/>
            <w:tcBorders>
              <w:top w:val="nil"/>
              <w:bottom w:val="nil"/>
            </w:tcBorders>
          </w:tcPr>
          <w:p>
            <w:pPr>
              <w:pStyle w:val="TableParagraph"/>
              <w:spacing w:line="179" w:lineRule="exact"/>
              <w:ind w:left="20" w:right="131"/>
              <w:rPr>
                <w:rFonts w:ascii="Calibri"/>
                <w:sz w:val="15"/>
              </w:rPr>
            </w:pPr>
            <w:r>
              <w:rPr>
                <w:rFonts w:ascii="Calibri"/>
                <w:sz w:val="15"/>
              </w:rPr>
              <w:t>entorno</w:t>
            </w:r>
          </w:p>
        </w:tc>
        <w:tc>
          <w:tcPr>
            <w:tcW w:w="1403" w:type="dxa"/>
            <w:tcBorders>
              <w:top w:val="nil"/>
              <w:bottom w:val="nil"/>
            </w:tcBorders>
          </w:tcPr>
          <w:p>
            <w:pP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Paleontología</w:t>
            </w:r>
          </w:p>
        </w:tc>
        <w:tc>
          <w:tcPr>
            <w:tcW w:w="1403" w:type="dxa"/>
            <w:tcBorders>
              <w:top w:val="nil"/>
              <w:bottom w:val="nil"/>
            </w:tcBorders>
          </w:tcPr>
          <w:p>
            <w:pPr/>
          </w:p>
        </w:tc>
        <w:tc>
          <w:tcPr>
            <w:tcW w:w="1403" w:type="dxa"/>
            <w:tcBorders>
              <w:top w:val="nil"/>
              <w:bottom w:val="nil"/>
            </w:tcBorders>
          </w:tcPr>
          <w:p>
            <w:pP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Biología vegetal</w:t>
            </w:r>
          </w:p>
        </w:tc>
        <w:tc>
          <w:tcPr>
            <w:tcW w:w="1403" w:type="dxa"/>
            <w:tcBorders>
              <w:top w:val="nil"/>
              <w:bottom w:val="nil"/>
            </w:tcBorders>
          </w:tcPr>
          <w:p>
            <w:pPr/>
          </w:p>
        </w:tc>
        <w:tc>
          <w:tcPr>
            <w:tcW w:w="1403" w:type="dxa"/>
            <w:tcBorders>
              <w:top w:val="nil"/>
              <w:bottom w:val="nil"/>
            </w:tcBorders>
          </w:tcPr>
          <w:p>
            <w:pP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(Botánica)</w:t>
            </w:r>
          </w:p>
        </w:tc>
        <w:tc>
          <w:tcPr>
            <w:tcW w:w="1403" w:type="dxa"/>
            <w:tcBorders>
              <w:top w:val="nil"/>
              <w:bottom w:val="nil"/>
            </w:tcBorders>
          </w:tcPr>
          <w:p>
            <w:pPr/>
          </w:p>
        </w:tc>
        <w:tc>
          <w:tcPr>
            <w:tcW w:w="1403" w:type="dxa"/>
            <w:tcBorders>
              <w:top w:val="nil"/>
              <w:bottom w:val="nil"/>
            </w:tcBorders>
          </w:tcPr>
          <w:p>
            <w:pP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Radiobiología</w:t>
            </w:r>
          </w:p>
        </w:tc>
        <w:tc>
          <w:tcPr>
            <w:tcW w:w="1403" w:type="dxa"/>
            <w:tcBorders>
              <w:top w:val="nil"/>
              <w:bottom w:val="nil"/>
            </w:tcBorders>
          </w:tcPr>
          <w:p>
            <w:pPr/>
          </w:p>
        </w:tc>
        <w:tc>
          <w:tcPr>
            <w:tcW w:w="1403" w:type="dxa"/>
            <w:tcBorders>
              <w:top w:val="nil"/>
              <w:bottom w:val="nil"/>
            </w:tcBorders>
          </w:tcPr>
          <w:p>
            <w:pP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sz w:val="15"/>
              </w:rPr>
            </w:pPr>
            <w:r>
              <w:rPr>
                <w:rFonts w:ascii="Calibri"/>
                <w:sz w:val="15"/>
              </w:rPr>
              <w:t>Simbiosis</w:t>
            </w:r>
          </w:p>
        </w:tc>
        <w:tc>
          <w:tcPr>
            <w:tcW w:w="1403" w:type="dxa"/>
            <w:tcBorders>
              <w:top w:val="nil"/>
              <w:bottom w:val="nil"/>
            </w:tcBorders>
          </w:tcPr>
          <w:p>
            <w:pPr/>
          </w:p>
        </w:tc>
        <w:tc>
          <w:tcPr>
            <w:tcW w:w="1403" w:type="dxa"/>
            <w:tcBorders>
              <w:top w:val="nil"/>
              <w:bottom w:val="nil"/>
            </w:tcBorders>
          </w:tcPr>
          <w:p>
            <w:pP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hAnsi="Calibri"/>
                <w:sz w:val="15"/>
              </w:rPr>
            </w:pPr>
            <w:r>
              <w:rPr>
                <w:rFonts w:ascii="Calibri" w:hAnsi="Calibri"/>
                <w:sz w:val="15"/>
              </w:rPr>
              <w:t>Virología</w:t>
            </w:r>
          </w:p>
        </w:tc>
        <w:tc>
          <w:tcPr>
            <w:tcW w:w="1403" w:type="dxa"/>
            <w:tcBorders>
              <w:top w:val="nil"/>
              <w:bottom w:val="nil"/>
            </w:tcBorders>
          </w:tcPr>
          <w:p>
            <w:pPr/>
          </w:p>
        </w:tc>
        <w:tc>
          <w:tcPr>
            <w:tcW w:w="1403" w:type="dxa"/>
            <w:tcBorders>
              <w:top w:val="nil"/>
              <w:bottom w:val="nil"/>
            </w:tcBorders>
          </w:tcPr>
          <w:p>
            <w:pPr/>
          </w:p>
        </w:tc>
      </w:tr>
      <w:tr>
        <w:trPr>
          <w:trHeight w:val="202" w:hRule="exact"/>
        </w:trPr>
        <w:tc>
          <w:tcPr>
            <w:tcW w:w="1403" w:type="dxa"/>
            <w:tcBorders>
              <w:top w:val="nil"/>
              <w:bottom w:val="nil"/>
            </w:tcBorders>
          </w:tcPr>
          <w:p>
            <w:pPr/>
          </w:p>
        </w:tc>
        <w:tc>
          <w:tcPr>
            <w:tcW w:w="1403" w:type="dxa"/>
            <w:tcBorders>
              <w:top w:val="nil"/>
              <w:bottom w:val="nil"/>
            </w:tcBorders>
          </w:tcPr>
          <w:p>
            <w:pPr>
              <w:pStyle w:val="TableParagraph"/>
              <w:spacing w:line="179" w:lineRule="exact"/>
              <w:ind w:left="20"/>
              <w:rPr>
                <w:rFonts w:ascii="Calibri"/>
                <w:sz w:val="15"/>
              </w:rPr>
            </w:pPr>
            <w:r>
              <w:rPr>
                <w:rFonts w:ascii="Calibri"/>
                <w:sz w:val="15"/>
              </w:rPr>
              <w:t>Otras especialidades</w:t>
            </w:r>
          </w:p>
        </w:tc>
        <w:tc>
          <w:tcPr>
            <w:tcW w:w="1403" w:type="dxa"/>
            <w:tcBorders>
              <w:top w:val="nil"/>
              <w:bottom w:val="nil"/>
            </w:tcBorders>
          </w:tcPr>
          <w:p>
            <w:pPr/>
          </w:p>
        </w:tc>
        <w:tc>
          <w:tcPr>
            <w:tcW w:w="1403" w:type="dxa"/>
            <w:tcBorders>
              <w:top w:val="nil"/>
              <w:bottom w:val="nil"/>
            </w:tcBorders>
          </w:tcPr>
          <w:p>
            <w:pPr/>
          </w:p>
        </w:tc>
      </w:tr>
      <w:tr>
        <w:trPr>
          <w:trHeight w:val="184" w:hRule="exact"/>
        </w:trPr>
        <w:tc>
          <w:tcPr>
            <w:tcW w:w="1403" w:type="dxa"/>
            <w:tcBorders>
              <w:top w:val="nil"/>
            </w:tcBorders>
          </w:tcPr>
          <w:p>
            <w:pPr/>
          </w:p>
        </w:tc>
        <w:tc>
          <w:tcPr>
            <w:tcW w:w="1403" w:type="dxa"/>
            <w:tcBorders>
              <w:top w:val="nil"/>
            </w:tcBorders>
          </w:tcPr>
          <w:p>
            <w:pPr>
              <w:pStyle w:val="TableParagraph"/>
              <w:spacing w:line="179" w:lineRule="exact"/>
              <w:ind w:left="20"/>
              <w:rPr>
                <w:rFonts w:ascii="Calibri" w:hAnsi="Calibri"/>
                <w:sz w:val="15"/>
              </w:rPr>
            </w:pPr>
            <w:r>
              <w:rPr>
                <w:rFonts w:ascii="Calibri" w:hAnsi="Calibri"/>
                <w:sz w:val="15"/>
              </w:rPr>
              <w:t>biológicas</w:t>
            </w:r>
          </w:p>
        </w:tc>
        <w:tc>
          <w:tcPr>
            <w:tcW w:w="1403" w:type="dxa"/>
            <w:tcBorders>
              <w:top w:val="nil"/>
            </w:tcBorders>
          </w:tcPr>
          <w:p>
            <w:pPr/>
          </w:p>
        </w:tc>
        <w:tc>
          <w:tcPr>
            <w:tcW w:w="1403" w:type="dxa"/>
            <w:tcBorders>
              <w:top w:val="nil"/>
            </w:tcBorders>
          </w:tcPr>
          <w:p>
            <w:pPr/>
          </w:p>
        </w:tc>
      </w:tr>
    </w:tbl>
    <w:p>
      <w:pPr>
        <w:spacing w:before="0"/>
        <w:ind w:left="1258" w:right="1396" w:firstLine="0"/>
        <w:jc w:val="center"/>
        <w:rPr>
          <w:sz w:val="20"/>
        </w:rPr>
      </w:pPr>
      <w:r>
        <w:rPr>
          <w:sz w:val="20"/>
        </w:rPr>
        <w:t>Fuente: UNESCO, 2007</w:t>
      </w:r>
    </w:p>
    <w:p>
      <w:pPr>
        <w:spacing w:after="0"/>
        <w:jc w:val="center"/>
        <w:rPr>
          <w:sz w:val="20"/>
        </w:rPr>
        <w:sectPr>
          <w:pgSz w:w="12240" w:h="15840"/>
          <w:pgMar w:header="0" w:footer="689" w:top="1500" w:bottom="880" w:left="1720" w:right="1580"/>
        </w:sectPr>
      </w:pPr>
    </w:p>
    <w:tbl>
      <w:tblPr>
        <w:tblW w:w="0" w:type="auto"/>
        <w:jc w:val="left"/>
        <w:tblInd w:w="1058"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668"/>
        <w:gridCol w:w="1668"/>
        <w:gridCol w:w="1668"/>
        <w:gridCol w:w="1668"/>
      </w:tblGrid>
      <w:tr>
        <w:trPr>
          <w:trHeight w:val="463" w:hRule="exact"/>
        </w:trPr>
        <w:tc>
          <w:tcPr>
            <w:tcW w:w="1668" w:type="dxa"/>
          </w:tcPr>
          <w:p>
            <w:pPr>
              <w:pStyle w:val="TableParagraph"/>
              <w:spacing w:before="10"/>
              <w:rPr>
                <w:sz w:val="20"/>
              </w:rPr>
            </w:pPr>
          </w:p>
          <w:p>
            <w:pPr>
              <w:pStyle w:val="TableParagraph"/>
              <w:ind w:left="139"/>
              <w:rPr>
                <w:rFonts w:ascii="Calibri" w:hAnsi="Calibri"/>
                <w:b/>
                <w:sz w:val="17"/>
              </w:rPr>
            </w:pPr>
            <w:r>
              <w:rPr>
                <w:rFonts w:ascii="Calibri" w:hAnsi="Calibri"/>
                <w:b/>
                <w:sz w:val="17"/>
              </w:rPr>
              <w:t>9. Ciencias médicas</w:t>
            </w:r>
          </w:p>
        </w:tc>
        <w:tc>
          <w:tcPr>
            <w:tcW w:w="3336" w:type="dxa"/>
            <w:gridSpan w:val="2"/>
          </w:tcPr>
          <w:p>
            <w:pPr>
              <w:pStyle w:val="TableParagraph"/>
              <w:spacing w:before="10"/>
              <w:rPr>
                <w:sz w:val="20"/>
              </w:rPr>
            </w:pPr>
          </w:p>
          <w:p>
            <w:pPr>
              <w:pStyle w:val="TableParagraph"/>
              <w:ind w:left="775"/>
              <w:rPr>
                <w:rFonts w:ascii="Calibri" w:hAnsi="Calibri"/>
                <w:b/>
                <w:sz w:val="17"/>
              </w:rPr>
            </w:pPr>
            <w:r>
              <w:rPr>
                <w:rFonts w:ascii="Calibri" w:hAnsi="Calibri"/>
                <w:b/>
                <w:sz w:val="17"/>
              </w:rPr>
              <w:t>10.  Ciencias tecnológicas</w:t>
            </w:r>
          </w:p>
        </w:tc>
        <w:tc>
          <w:tcPr>
            <w:tcW w:w="1668" w:type="dxa"/>
          </w:tcPr>
          <w:p>
            <w:pPr>
              <w:pStyle w:val="TableParagraph"/>
              <w:spacing w:before="10"/>
              <w:rPr>
                <w:sz w:val="20"/>
              </w:rPr>
            </w:pPr>
          </w:p>
          <w:p>
            <w:pPr>
              <w:pStyle w:val="TableParagraph"/>
              <w:ind w:left="231"/>
              <w:rPr>
                <w:rFonts w:ascii="Calibri" w:hAnsi="Calibri"/>
                <w:b/>
                <w:sz w:val="17"/>
              </w:rPr>
            </w:pPr>
            <w:r>
              <w:rPr>
                <w:rFonts w:ascii="Calibri" w:hAnsi="Calibri"/>
                <w:b/>
                <w:sz w:val="17"/>
              </w:rPr>
              <w:t>11. Antropología</w:t>
            </w:r>
          </w:p>
        </w:tc>
      </w:tr>
      <w:tr>
        <w:trPr>
          <w:trHeight w:val="715" w:hRule="exact"/>
        </w:trPr>
        <w:tc>
          <w:tcPr>
            <w:tcW w:w="1668" w:type="dxa"/>
            <w:tcBorders>
              <w:bottom w:val="nil"/>
            </w:tcBorders>
          </w:tcPr>
          <w:p>
            <w:pPr>
              <w:pStyle w:val="TableParagraph"/>
              <w:rPr>
                <w:sz w:val="16"/>
              </w:rPr>
            </w:pPr>
          </w:p>
          <w:p>
            <w:pPr>
              <w:pStyle w:val="TableParagraph"/>
              <w:rPr>
                <w:sz w:val="16"/>
              </w:rPr>
            </w:pPr>
          </w:p>
          <w:p>
            <w:pPr>
              <w:pStyle w:val="TableParagraph"/>
              <w:spacing w:before="104"/>
              <w:ind w:left="23"/>
              <w:rPr>
                <w:rFonts w:ascii="Calibri" w:hAnsi="Calibri"/>
                <w:sz w:val="17"/>
              </w:rPr>
            </w:pPr>
            <w:r>
              <w:rPr>
                <w:rFonts w:ascii="Calibri" w:hAnsi="Calibri"/>
                <w:sz w:val="17"/>
              </w:rPr>
              <w:t>Ciencias clínicas</w:t>
            </w:r>
          </w:p>
        </w:tc>
        <w:tc>
          <w:tcPr>
            <w:tcW w:w="1668" w:type="dxa"/>
            <w:tcBorders>
              <w:bottom w:val="nil"/>
            </w:tcBorders>
          </w:tcPr>
          <w:p>
            <w:pPr/>
          </w:p>
        </w:tc>
        <w:tc>
          <w:tcPr>
            <w:tcW w:w="1668" w:type="dxa"/>
            <w:tcBorders>
              <w:bottom w:val="nil"/>
            </w:tcBorders>
          </w:tcPr>
          <w:p>
            <w:pPr/>
          </w:p>
        </w:tc>
        <w:tc>
          <w:tcPr>
            <w:tcW w:w="1668" w:type="dxa"/>
            <w:tcBorders>
              <w:bottom w:val="nil"/>
            </w:tcBorders>
          </w:tcPr>
          <w:p>
            <w:pPr/>
          </w:p>
        </w:tc>
      </w:tr>
      <w:tr>
        <w:trPr>
          <w:trHeight w:val="232" w:hRule="exact"/>
        </w:trPr>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Epidemiología</w:t>
            </w:r>
          </w:p>
        </w:tc>
        <w:tc>
          <w:tcPr>
            <w:tcW w:w="1668" w:type="dxa"/>
            <w:tcBorders>
              <w:top w:val="nil"/>
              <w:bottom w:val="nil"/>
            </w:tcBorders>
          </w:tcPr>
          <w:p>
            <w:pP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Médica</w:t>
            </w:r>
          </w:p>
        </w:tc>
        <w:tc>
          <w:tcPr>
            <w:tcW w:w="1668" w:type="dxa"/>
            <w:tcBorders>
              <w:top w:val="nil"/>
              <w:bottom w:val="nil"/>
            </w:tcBorders>
          </w:tcPr>
          <w:p>
            <w:pPr/>
          </w:p>
        </w:tc>
      </w:tr>
      <w:tr>
        <w:trPr>
          <w:trHeight w:val="232" w:hRule="exact"/>
        </w:trPr>
        <w:tc>
          <w:tcPr>
            <w:tcW w:w="1668" w:type="dxa"/>
            <w:tcBorders>
              <w:top w:val="nil"/>
              <w:bottom w:val="nil"/>
            </w:tcBorders>
          </w:tcPr>
          <w:p>
            <w:pPr>
              <w:pStyle w:val="TableParagraph"/>
              <w:spacing w:line="202" w:lineRule="exact"/>
              <w:ind w:left="23"/>
              <w:rPr>
                <w:rFonts w:ascii="Calibri"/>
                <w:sz w:val="17"/>
              </w:rPr>
            </w:pPr>
            <w:r>
              <w:rPr>
                <w:rFonts w:ascii="Calibri"/>
                <w:sz w:val="17"/>
              </w:rPr>
              <w:t>Medicina Forense</w:t>
            </w:r>
          </w:p>
        </w:tc>
        <w:tc>
          <w:tcPr>
            <w:tcW w:w="1668" w:type="dxa"/>
            <w:tcBorders>
              <w:top w:val="nil"/>
              <w:bottom w:val="nil"/>
            </w:tcBorders>
          </w:tcPr>
          <w:p>
            <w:pP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-Metalúrgica</w:t>
            </w:r>
          </w:p>
        </w:tc>
        <w:tc>
          <w:tcPr>
            <w:tcW w:w="1668" w:type="dxa"/>
            <w:tcBorders>
              <w:top w:val="nil"/>
              <w:bottom w:val="nil"/>
            </w:tcBorders>
          </w:tcPr>
          <w:p>
            <w:pPr/>
          </w:p>
        </w:tc>
      </w:tr>
      <w:tr>
        <w:trPr>
          <w:trHeight w:val="232" w:hRule="exact"/>
        </w:trPr>
        <w:tc>
          <w:tcPr>
            <w:tcW w:w="1668" w:type="dxa"/>
            <w:tcBorders>
              <w:top w:val="nil"/>
              <w:bottom w:val="nil"/>
            </w:tcBorders>
          </w:tcPr>
          <w:p>
            <w:pPr>
              <w:pStyle w:val="TableParagraph"/>
              <w:spacing w:line="202" w:lineRule="exact"/>
              <w:ind w:left="23"/>
              <w:rPr>
                <w:rFonts w:ascii="Calibri"/>
                <w:sz w:val="17"/>
              </w:rPr>
            </w:pPr>
            <w:r>
              <w:rPr>
                <w:rFonts w:ascii="Calibri"/>
                <w:sz w:val="17"/>
              </w:rPr>
              <w:t>Medicina del trabajo</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Ingeniería y tecnología</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-Productos metálicos</w:t>
            </w:r>
          </w:p>
        </w:tc>
        <w:tc>
          <w:tcPr>
            <w:tcW w:w="1668" w:type="dxa"/>
            <w:tcBorders>
              <w:top w:val="nil"/>
              <w:bottom w:val="nil"/>
            </w:tcBorders>
          </w:tcPr>
          <w:p>
            <w:pPr/>
          </w:p>
        </w:tc>
      </w:tr>
      <w:tr>
        <w:trPr>
          <w:trHeight w:val="232" w:hRule="exact"/>
        </w:trPr>
        <w:tc>
          <w:tcPr>
            <w:tcW w:w="1668" w:type="dxa"/>
            <w:tcBorders>
              <w:top w:val="nil"/>
              <w:bottom w:val="nil"/>
            </w:tcBorders>
          </w:tcPr>
          <w:p>
            <w:pPr>
              <w:pStyle w:val="TableParagraph"/>
              <w:spacing w:line="202" w:lineRule="exact"/>
              <w:ind w:left="23"/>
              <w:rPr>
                <w:rFonts w:ascii="Calibri"/>
                <w:sz w:val="17"/>
              </w:rPr>
            </w:pPr>
            <w:r>
              <w:rPr>
                <w:rFonts w:ascii="Calibri"/>
                <w:sz w:val="17"/>
              </w:rPr>
              <w:t>Medicina interna</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aeronáuticas</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-Vehículos de  motor</w:t>
            </w:r>
          </w:p>
        </w:tc>
        <w:tc>
          <w:tcPr>
            <w:tcW w:w="1668" w:type="dxa"/>
            <w:tcBorders>
              <w:top w:val="nil"/>
              <w:bottom w:val="nil"/>
            </w:tcBorders>
          </w:tcPr>
          <w:p>
            <w:pPr/>
          </w:p>
        </w:tc>
      </w:tr>
      <w:tr>
        <w:trPr>
          <w:trHeight w:val="232" w:hRule="exact"/>
        </w:trPr>
        <w:tc>
          <w:tcPr>
            <w:tcW w:w="1668" w:type="dxa"/>
            <w:tcBorders>
              <w:top w:val="nil"/>
              <w:bottom w:val="nil"/>
            </w:tcBorders>
          </w:tcPr>
          <w:p>
            <w:pPr>
              <w:pStyle w:val="TableParagraph"/>
              <w:spacing w:line="202" w:lineRule="exact"/>
              <w:ind w:left="23"/>
              <w:rPr>
                <w:rFonts w:ascii="Calibri"/>
                <w:sz w:val="17"/>
              </w:rPr>
            </w:pPr>
            <w:r>
              <w:rPr>
                <w:rFonts w:ascii="Calibri"/>
                <w:sz w:val="17"/>
              </w:rPr>
              <w:t>Ciencias de la</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Tecnología bioquímica</w:t>
            </w:r>
          </w:p>
        </w:tc>
        <w:tc>
          <w:tcPr>
            <w:tcW w:w="1668" w:type="dxa"/>
            <w:tcBorders>
              <w:top w:val="nil"/>
              <w:bottom w:val="nil"/>
            </w:tcBorders>
          </w:tcPr>
          <w:p>
            <w:pPr>
              <w:pStyle w:val="TableParagraph"/>
              <w:spacing w:line="202" w:lineRule="exact"/>
              <w:ind w:left="23"/>
              <w:rPr>
                <w:rFonts w:ascii="Calibri"/>
                <w:sz w:val="17"/>
              </w:rPr>
            </w:pPr>
            <w:r>
              <w:rPr>
                <w:rFonts w:ascii="Calibri"/>
                <w:sz w:val="17"/>
              </w:rPr>
              <w:t>-Minera</w:t>
            </w:r>
          </w:p>
        </w:tc>
        <w:tc>
          <w:tcPr>
            <w:tcW w:w="1668" w:type="dxa"/>
            <w:tcBorders>
              <w:top w:val="nil"/>
              <w:bottom w:val="nil"/>
            </w:tcBorders>
          </w:tcPr>
          <w:p>
            <w:pPr/>
          </w:p>
        </w:tc>
      </w:tr>
      <w:tr>
        <w:trPr>
          <w:trHeight w:val="232" w:hRule="exact"/>
        </w:trPr>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nutrición</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Ingeniería y tecnología</w:t>
            </w:r>
          </w:p>
        </w:tc>
        <w:tc>
          <w:tcPr>
            <w:tcW w:w="1668" w:type="dxa"/>
            <w:tcBorders>
              <w:top w:val="nil"/>
              <w:bottom w:val="nil"/>
            </w:tcBorders>
          </w:tcPr>
          <w:p>
            <w:pPr>
              <w:pStyle w:val="TableParagraph"/>
              <w:spacing w:line="202" w:lineRule="exact"/>
              <w:ind w:left="23"/>
              <w:rPr>
                <w:rFonts w:ascii="Calibri"/>
                <w:sz w:val="17"/>
              </w:rPr>
            </w:pPr>
            <w:r>
              <w:rPr>
                <w:rFonts w:ascii="Calibri"/>
                <w:sz w:val="17"/>
              </w:rPr>
              <w:t>-Naval</w:t>
            </w:r>
          </w:p>
        </w:tc>
        <w:tc>
          <w:tcPr>
            <w:tcW w:w="1668" w:type="dxa"/>
            <w:tcBorders>
              <w:top w:val="nil"/>
              <w:bottom w:val="nil"/>
            </w:tcBorders>
          </w:tcPr>
          <w:p>
            <w:pPr/>
          </w:p>
        </w:tc>
      </w:tr>
      <w:tr>
        <w:trPr>
          <w:trHeight w:val="232" w:hRule="exact"/>
        </w:trPr>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Patología</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químicas</w:t>
            </w:r>
          </w:p>
        </w:tc>
        <w:tc>
          <w:tcPr>
            <w:tcW w:w="1668" w:type="dxa"/>
            <w:tcBorders>
              <w:top w:val="nil"/>
              <w:bottom w:val="nil"/>
            </w:tcBorders>
          </w:tcPr>
          <w:p>
            <w:pPr>
              <w:pStyle w:val="TableParagraph"/>
              <w:spacing w:line="202" w:lineRule="exact"/>
              <w:ind w:left="23"/>
              <w:rPr>
                <w:rFonts w:ascii="Calibri"/>
                <w:sz w:val="17"/>
              </w:rPr>
            </w:pPr>
            <w:r>
              <w:rPr>
                <w:rFonts w:ascii="Calibri"/>
                <w:sz w:val="17"/>
              </w:rPr>
              <w:t>-Nuclear</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Antropología cultural</w:t>
            </w:r>
          </w:p>
        </w:tc>
      </w:tr>
      <w:tr>
        <w:trPr>
          <w:trHeight w:val="232" w:hRule="exact"/>
        </w:trPr>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Farmacodinámica</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Tecnología de los</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-Carbón y del  petróleo</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Etnografía y etnología</w:t>
            </w:r>
          </w:p>
        </w:tc>
      </w:tr>
      <w:tr>
        <w:trPr>
          <w:trHeight w:val="232" w:hRule="exact"/>
        </w:trPr>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Farmacología</w:t>
            </w:r>
          </w:p>
        </w:tc>
        <w:tc>
          <w:tcPr>
            <w:tcW w:w="1668" w:type="dxa"/>
            <w:tcBorders>
              <w:top w:val="nil"/>
              <w:bottom w:val="nil"/>
            </w:tcBorders>
          </w:tcPr>
          <w:p>
            <w:pPr>
              <w:pStyle w:val="TableParagraph"/>
              <w:spacing w:line="202" w:lineRule="exact"/>
              <w:ind w:left="23"/>
              <w:rPr>
                <w:rFonts w:ascii="Calibri"/>
                <w:sz w:val="17"/>
              </w:rPr>
            </w:pPr>
            <w:r>
              <w:rPr>
                <w:rFonts w:ascii="Calibri"/>
                <w:sz w:val="17"/>
              </w:rPr>
              <w:t>ordenadores</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-Energética</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Antropología social</w:t>
            </w:r>
          </w:p>
        </w:tc>
      </w:tr>
      <w:tr>
        <w:trPr>
          <w:trHeight w:val="232" w:hRule="exact"/>
        </w:trPr>
        <w:tc>
          <w:tcPr>
            <w:tcW w:w="1668" w:type="dxa"/>
            <w:tcBorders>
              <w:top w:val="nil"/>
              <w:bottom w:val="nil"/>
            </w:tcBorders>
          </w:tcPr>
          <w:p>
            <w:pPr>
              <w:pStyle w:val="TableParagraph"/>
              <w:spacing w:line="202" w:lineRule="exact"/>
              <w:ind w:left="23"/>
              <w:rPr>
                <w:rFonts w:ascii="Calibri"/>
                <w:sz w:val="17"/>
              </w:rPr>
            </w:pPr>
            <w:r>
              <w:rPr>
                <w:rFonts w:ascii="Calibri"/>
                <w:sz w:val="17"/>
              </w:rPr>
              <w:t>Medicina  preventiva</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Tecnología de la</w:t>
            </w:r>
          </w:p>
        </w:tc>
        <w:tc>
          <w:tcPr>
            <w:tcW w:w="1668" w:type="dxa"/>
            <w:tcBorders>
              <w:top w:val="nil"/>
              <w:bottom w:val="nil"/>
            </w:tcBorders>
          </w:tcPr>
          <w:p>
            <w:pPr>
              <w:pStyle w:val="TableParagraph"/>
              <w:spacing w:line="202" w:lineRule="exact"/>
              <w:ind w:left="23"/>
              <w:rPr>
                <w:rFonts w:ascii="Calibri"/>
                <w:sz w:val="17"/>
              </w:rPr>
            </w:pPr>
            <w:r>
              <w:rPr>
                <w:rFonts w:ascii="Calibri"/>
                <w:sz w:val="17"/>
              </w:rPr>
              <w:t>-Ferrocarriles</w:t>
            </w:r>
          </w:p>
        </w:tc>
        <w:tc>
          <w:tcPr>
            <w:tcW w:w="1668" w:type="dxa"/>
            <w:tcBorders>
              <w:top w:val="nil"/>
              <w:bottom w:val="nil"/>
            </w:tcBorders>
          </w:tcPr>
          <w:p>
            <w:pPr>
              <w:pStyle w:val="TableParagraph"/>
              <w:spacing w:line="202" w:lineRule="exact"/>
              <w:ind w:left="23"/>
              <w:rPr>
                <w:rFonts w:ascii="Calibri"/>
                <w:sz w:val="17"/>
              </w:rPr>
            </w:pPr>
            <w:r>
              <w:rPr>
                <w:rFonts w:ascii="Calibri"/>
                <w:sz w:val="17"/>
              </w:rPr>
              <w:t>Otras  especialidades</w:t>
            </w:r>
          </w:p>
        </w:tc>
      </w:tr>
      <w:tr>
        <w:trPr>
          <w:trHeight w:val="232" w:hRule="exact"/>
        </w:trPr>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Psiquiatría</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construcción</w:t>
            </w:r>
          </w:p>
        </w:tc>
        <w:tc>
          <w:tcPr>
            <w:tcW w:w="1668" w:type="dxa"/>
            <w:tcBorders>
              <w:top w:val="nil"/>
              <w:bottom w:val="nil"/>
            </w:tcBorders>
          </w:tcPr>
          <w:p>
            <w:pPr>
              <w:pStyle w:val="TableParagraph"/>
              <w:spacing w:line="202" w:lineRule="exact"/>
              <w:ind w:left="23"/>
              <w:rPr>
                <w:rFonts w:ascii="Calibri"/>
                <w:sz w:val="17"/>
              </w:rPr>
            </w:pPr>
            <w:r>
              <w:rPr>
                <w:rFonts w:ascii="Calibri"/>
                <w:sz w:val="17"/>
              </w:rPr>
              <w:t>-del espacio</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antropológicas</w:t>
            </w:r>
          </w:p>
        </w:tc>
      </w:tr>
      <w:tr>
        <w:trPr>
          <w:trHeight w:val="232" w:hRule="exact"/>
        </w:trPr>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Salud pública</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Ingeniería y tecnología</w:t>
            </w:r>
          </w:p>
        </w:tc>
        <w:tc>
          <w:tcPr>
            <w:tcW w:w="1668" w:type="dxa"/>
            <w:tcBorders>
              <w:top w:val="nil"/>
              <w:bottom w:val="nil"/>
            </w:tcBorders>
          </w:tcPr>
          <w:p>
            <w:pPr>
              <w:pStyle w:val="TableParagraph"/>
              <w:spacing w:line="202" w:lineRule="exact"/>
              <w:ind w:left="23"/>
              <w:rPr>
                <w:rFonts w:ascii="Calibri"/>
                <w:sz w:val="17"/>
              </w:rPr>
            </w:pPr>
            <w:r>
              <w:rPr>
                <w:rFonts w:ascii="Calibri"/>
                <w:sz w:val="17"/>
              </w:rPr>
              <w:t>-Telecomunicaciones</w:t>
            </w:r>
          </w:p>
        </w:tc>
        <w:tc>
          <w:tcPr>
            <w:tcW w:w="1668" w:type="dxa"/>
            <w:tcBorders>
              <w:top w:val="nil"/>
              <w:bottom w:val="nil"/>
            </w:tcBorders>
          </w:tcPr>
          <w:p>
            <w:pPr/>
          </w:p>
        </w:tc>
      </w:tr>
      <w:tr>
        <w:trPr>
          <w:trHeight w:val="232" w:hRule="exact"/>
        </w:trPr>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Cirugía</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eléctricas</w:t>
            </w:r>
          </w:p>
        </w:tc>
        <w:tc>
          <w:tcPr>
            <w:tcW w:w="1668" w:type="dxa"/>
            <w:tcBorders>
              <w:top w:val="nil"/>
              <w:bottom w:val="nil"/>
            </w:tcBorders>
          </w:tcPr>
          <w:p>
            <w:pPr>
              <w:pStyle w:val="TableParagraph"/>
              <w:spacing w:line="202" w:lineRule="exact"/>
              <w:ind w:left="23"/>
              <w:rPr>
                <w:rFonts w:ascii="Calibri"/>
                <w:sz w:val="17"/>
              </w:rPr>
            </w:pPr>
            <w:r>
              <w:rPr>
                <w:rFonts w:ascii="Calibri"/>
                <w:sz w:val="17"/>
              </w:rPr>
              <w:t>- Textil</w:t>
            </w:r>
          </w:p>
        </w:tc>
        <w:tc>
          <w:tcPr>
            <w:tcW w:w="1668" w:type="dxa"/>
            <w:tcBorders>
              <w:top w:val="nil"/>
              <w:bottom w:val="nil"/>
            </w:tcBorders>
          </w:tcPr>
          <w:p>
            <w:pPr/>
          </w:p>
        </w:tc>
      </w:tr>
      <w:tr>
        <w:trPr>
          <w:trHeight w:val="232" w:hRule="exact"/>
        </w:trPr>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Toxicología</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Tecnología electrónica</w:t>
            </w:r>
          </w:p>
        </w:tc>
        <w:tc>
          <w:tcPr>
            <w:tcW w:w="1668" w:type="dxa"/>
            <w:tcBorders>
              <w:top w:val="nil"/>
              <w:bottom w:val="nil"/>
            </w:tcBorders>
          </w:tcPr>
          <w:p>
            <w:pPr>
              <w:pStyle w:val="TableParagraph"/>
              <w:spacing w:line="202" w:lineRule="exact"/>
              <w:ind w:left="23"/>
              <w:rPr>
                <w:rFonts w:ascii="Calibri"/>
                <w:sz w:val="17"/>
              </w:rPr>
            </w:pPr>
            <w:r>
              <w:rPr>
                <w:rFonts w:ascii="Calibri"/>
                <w:sz w:val="17"/>
              </w:rPr>
              <w:t>-Sistemas de</w:t>
            </w:r>
          </w:p>
        </w:tc>
        <w:tc>
          <w:tcPr>
            <w:tcW w:w="1668" w:type="dxa"/>
            <w:tcBorders>
              <w:top w:val="nil"/>
              <w:bottom w:val="nil"/>
            </w:tcBorders>
          </w:tcPr>
          <w:p>
            <w:pPr/>
          </w:p>
        </w:tc>
      </w:tr>
      <w:tr>
        <w:trPr>
          <w:trHeight w:val="232" w:hRule="exact"/>
        </w:trPr>
        <w:tc>
          <w:tcPr>
            <w:tcW w:w="1668" w:type="dxa"/>
            <w:tcBorders>
              <w:top w:val="nil"/>
              <w:bottom w:val="nil"/>
            </w:tcBorders>
          </w:tcPr>
          <w:p>
            <w:pPr>
              <w:pStyle w:val="TableParagraph"/>
              <w:spacing w:line="202" w:lineRule="exact"/>
              <w:ind w:left="23"/>
              <w:rPr>
                <w:rFonts w:ascii="Calibri"/>
                <w:sz w:val="17"/>
              </w:rPr>
            </w:pPr>
            <w:r>
              <w:rPr>
                <w:rFonts w:ascii="Calibri"/>
                <w:sz w:val="17"/>
              </w:rPr>
              <w:t>Otras  especialidades</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Ingeniería y tecnología</w:t>
            </w:r>
          </w:p>
        </w:tc>
        <w:tc>
          <w:tcPr>
            <w:tcW w:w="1668" w:type="dxa"/>
            <w:tcBorders>
              <w:top w:val="nil"/>
              <w:bottom w:val="nil"/>
            </w:tcBorders>
          </w:tcPr>
          <w:p>
            <w:pPr>
              <w:pStyle w:val="TableParagraph"/>
              <w:spacing w:line="202" w:lineRule="exact"/>
              <w:ind w:left="23"/>
              <w:rPr>
                <w:rFonts w:ascii="Calibri"/>
                <w:sz w:val="17"/>
              </w:rPr>
            </w:pPr>
            <w:r>
              <w:rPr>
                <w:rFonts w:ascii="Calibri"/>
                <w:sz w:val="17"/>
              </w:rPr>
              <w:t>transporte</w:t>
            </w:r>
          </w:p>
        </w:tc>
        <w:tc>
          <w:tcPr>
            <w:tcW w:w="1668" w:type="dxa"/>
            <w:tcBorders>
              <w:top w:val="nil"/>
              <w:bottom w:val="nil"/>
            </w:tcBorders>
          </w:tcPr>
          <w:p>
            <w:pPr/>
          </w:p>
        </w:tc>
      </w:tr>
      <w:tr>
        <w:trPr>
          <w:trHeight w:val="232" w:hRule="exact"/>
        </w:trPr>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médicas</w:t>
            </w:r>
          </w:p>
        </w:tc>
        <w:tc>
          <w:tcPr>
            <w:tcW w:w="1668" w:type="dxa"/>
            <w:tcBorders>
              <w:top w:val="nil"/>
              <w:bottom w:val="nil"/>
            </w:tcBorders>
          </w:tcPr>
          <w:p>
            <w:pPr>
              <w:pStyle w:val="TableParagraph"/>
              <w:spacing w:line="202" w:lineRule="exact"/>
              <w:ind w:left="23"/>
              <w:rPr>
                <w:rFonts w:ascii="Calibri"/>
                <w:sz w:val="17"/>
              </w:rPr>
            </w:pPr>
            <w:r>
              <w:rPr>
                <w:rFonts w:ascii="Calibri"/>
                <w:sz w:val="17"/>
              </w:rPr>
              <w:t>del  medio ambiente</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Procesos tecnológicos</w:t>
            </w:r>
          </w:p>
        </w:tc>
        <w:tc>
          <w:tcPr>
            <w:tcW w:w="1668" w:type="dxa"/>
            <w:tcBorders>
              <w:top w:val="nil"/>
              <w:bottom w:val="nil"/>
            </w:tcBorders>
          </w:tcPr>
          <w:p>
            <w:pPr/>
          </w:p>
        </w:tc>
      </w:tr>
      <w:tr>
        <w:trPr>
          <w:trHeight w:val="232" w:hRule="exact"/>
        </w:trPr>
        <w:tc>
          <w:tcPr>
            <w:tcW w:w="1668" w:type="dxa"/>
            <w:tcBorders>
              <w:top w:val="nil"/>
              <w:bottom w:val="nil"/>
            </w:tcBorders>
          </w:tcPr>
          <w:p>
            <w:pP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Tecnología:</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Planificación urbana</w:t>
            </w:r>
          </w:p>
        </w:tc>
        <w:tc>
          <w:tcPr>
            <w:tcW w:w="1668" w:type="dxa"/>
            <w:tcBorders>
              <w:top w:val="nil"/>
              <w:bottom w:val="nil"/>
            </w:tcBorders>
          </w:tcPr>
          <w:p>
            <w:pPr/>
          </w:p>
        </w:tc>
      </w:tr>
      <w:tr>
        <w:trPr>
          <w:trHeight w:val="232" w:hRule="exact"/>
        </w:trPr>
        <w:tc>
          <w:tcPr>
            <w:tcW w:w="1668" w:type="dxa"/>
            <w:tcBorders>
              <w:top w:val="nil"/>
              <w:bottom w:val="nil"/>
            </w:tcBorders>
          </w:tcPr>
          <w:p>
            <w:pPr/>
          </w:p>
        </w:tc>
        <w:tc>
          <w:tcPr>
            <w:tcW w:w="1668" w:type="dxa"/>
            <w:tcBorders>
              <w:top w:val="nil"/>
              <w:bottom w:val="nil"/>
            </w:tcBorders>
          </w:tcPr>
          <w:p>
            <w:pPr>
              <w:pStyle w:val="TableParagraph"/>
              <w:spacing w:line="202" w:lineRule="exact"/>
              <w:ind w:left="23"/>
              <w:rPr>
                <w:rFonts w:ascii="Calibri"/>
                <w:sz w:val="17"/>
              </w:rPr>
            </w:pPr>
            <w:r>
              <w:rPr>
                <w:rFonts w:ascii="Calibri"/>
                <w:sz w:val="17"/>
              </w:rPr>
              <w:t>-Alimentos</w:t>
            </w:r>
          </w:p>
        </w:tc>
        <w:tc>
          <w:tcPr>
            <w:tcW w:w="1668" w:type="dxa"/>
            <w:tcBorders>
              <w:top w:val="nil"/>
              <w:bottom w:val="nil"/>
            </w:tcBorders>
          </w:tcPr>
          <w:p>
            <w:pPr>
              <w:pStyle w:val="TableParagraph"/>
              <w:spacing w:line="202" w:lineRule="exact"/>
              <w:ind w:left="23"/>
              <w:rPr>
                <w:rFonts w:ascii="Calibri"/>
                <w:sz w:val="17"/>
              </w:rPr>
            </w:pPr>
            <w:r>
              <w:rPr>
                <w:rFonts w:ascii="Calibri"/>
                <w:sz w:val="17"/>
              </w:rPr>
              <w:t>Otras  especialidades</w:t>
            </w:r>
          </w:p>
        </w:tc>
        <w:tc>
          <w:tcPr>
            <w:tcW w:w="1668" w:type="dxa"/>
            <w:tcBorders>
              <w:top w:val="nil"/>
              <w:bottom w:val="nil"/>
            </w:tcBorders>
          </w:tcPr>
          <w:p>
            <w:pPr/>
          </w:p>
        </w:tc>
      </w:tr>
      <w:tr>
        <w:trPr>
          <w:trHeight w:val="232" w:hRule="exact"/>
        </w:trPr>
        <w:tc>
          <w:tcPr>
            <w:tcW w:w="1668" w:type="dxa"/>
            <w:tcBorders>
              <w:top w:val="nil"/>
              <w:bottom w:val="nil"/>
            </w:tcBorders>
          </w:tcPr>
          <w:p>
            <w:pPr/>
          </w:p>
        </w:tc>
        <w:tc>
          <w:tcPr>
            <w:tcW w:w="1668" w:type="dxa"/>
            <w:tcBorders>
              <w:top w:val="nil"/>
              <w:bottom w:val="nil"/>
            </w:tcBorders>
          </w:tcPr>
          <w:p>
            <w:pPr>
              <w:pStyle w:val="TableParagraph"/>
              <w:spacing w:line="202" w:lineRule="exact"/>
              <w:ind w:left="23"/>
              <w:rPr>
                <w:rFonts w:ascii="Calibri"/>
                <w:sz w:val="17"/>
              </w:rPr>
            </w:pPr>
            <w:r>
              <w:rPr>
                <w:rFonts w:ascii="Calibri"/>
                <w:sz w:val="17"/>
              </w:rPr>
              <w:t>- Industrial</w:t>
            </w: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tecnológicas</w:t>
            </w:r>
          </w:p>
        </w:tc>
        <w:tc>
          <w:tcPr>
            <w:tcW w:w="1668" w:type="dxa"/>
            <w:tcBorders>
              <w:top w:val="nil"/>
              <w:bottom w:val="nil"/>
            </w:tcBorders>
          </w:tcPr>
          <w:p>
            <w:pPr/>
          </w:p>
        </w:tc>
      </w:tr>
      <w:tr>
        <w:trPr>
          <w:trHeight w:val="232" w:hRule="exact"/>
        </w:trPr>
        <w:tc>
          <w:tcPr>
            <w:tcW w:w="1668" w:type="dxa"/>
            <w:tcBorders>
              <w:top w:val="nil"/>
              <w:bottom w:val="nil"/>
            </w:tcBorders>
          </w:tcPr>
          <w:p>
            <w:pPr/>
          </w:p>
        </w:tc>
        <w:tc>
          <w:tcPr>
            <w:tcW w:w="1668" w:type="dxa"/>
            <w:tcBorders>
              <w:top w:val="nil"/>
              <w:bottom w:val="nil"/>
            </w:tcBorders>
          </w:tcPr>
          <w:p>
            <w:pPr>
              <w:pStyle w:val="TableParagraph"/>
              <w:spacing w:line="202" w:lineRule="exact"/>
              <w:ind w:left="23"/>
              <w:rPr>
                <w:rFonts w:ascii="Calibri" w:hAnsi="Calibri"/>
                <w:sz w:val="17"/>
              </w:rPr>
            </w:pPr>
            <w:r>
              <w:rPr>
                <w:rFonts w:ascii="Calibri" w:hAnsi="Calibri"/>
                <w:sz w:val="17"/>
              </w:rPr>
              <w:t>-Instrumentación</w:t>
            </w:r>
          </w:p>
        </w:tc>
        <w:tc>
          <w:tcPr>
            <w:tcW w:w="1668" w:type="dxa"/>
            <w:tcBorders>
              <w:top w:val="nil"/>
              <w:bottom w:val="nil"/>
            </w:tcBorders>
          </w:tcPr>
          <w:p>
            <w:pPr/>
          </w:p>
        </w:tc>
        <w:tc>
          <w:tcPr>
            <w:tcW w:w="1668" w:type="dxa"/>
            <w:tcBorders>
              <w:top w:val="nil"/>
              <w:bottom w:val="nil"/>
            </w:tcBorders>
          </w:tcPr>
          <w:p>
            <w:pPr/>
          </w:p>
        </w:tc>
      </w:tr>
      <w:tr>
        <w:trPr>
          <w:trHeight w:val="232" w:hRule="exact"/>
        </w:trPr>
        <w:tc>
          <w:tcPr>
            <w:tcW w:w="1668" w:type="dxa"/>
            <w:tcBorders>
              <w:top w:val="nil"/>
              <w:bottom w:val="nil"/>
            </w:tcBorders>
          </w:tcPr>
          <w:p>
            <w:pPr/>
          </w:p>
        </w:tc>
        <w:tc>
          <w:tcPr>
            <w:tcW w:w="1668" w:type="dxa"/>
            <w:tcBorders>
              <w:top w:val="nil"/>
              <w:bottom w:val="nil"/>
            </w:tcBorders>
          </w:tcPr>
          <w:p>
            <w:pPr>
              <w:pStyle w:val="TableParagraph"/>
              <w:spacing w:line="202" w:lineRule="exact"/>
              <w:ind w:left="23"/>
              <w:rPr>
                <w:rFonts w:ascii="Calibri"/>
                <w:sz w:val="17"/>
              </w:rPr>
            </w:pPr>
            <w:r>
              <w:rPr>
                <w:rFonts w:ascii="Calibri"/>
                <w:sz w:val="17"/>
              </w:rPr>
              <w:t>-Materiales</w:t>
            </w:r>
          </w:p>
        </w:tc>
        <w:tc>
          <w:tcPr>
            <w:tcW w:w="1668" w:type="dxa"/>
            <w:tcBorders>
              <w:top w:val="nil"/>
              <w:bottom w:val="nil"/>
            </w:tcBorders>
          </w:tcPr>
          <w:p>
            <w:pPr/>
          </w:p>
        </w:tc>
        <w:tc>
          <w:tcPr>
            <w:tcW w:w="1668" w:type="dxa"/>
            <w:tcBorders>
              <w:top w:val="nil"/>
              <w:bottom w:val="nil"/>
            </w:tcBorders>
          </w:tcPr>
          <w:p>
            <w:pPr/>
          </w:p>
        </w:tc>
      </w:tr>
      <w:tr>
        <w:trPr>
          <w:trHeight w:val="443" w:hRule="exact"/>
        </w:trPr>
        <w:tc>
          <w:tcPr>
            <w:tcW w:w="1668" w:type="dxa"/>
            <w:tcBorders>
              <w:top w:val="nil"/>
            </w:tcBorders>
          </w:tcPr>
          <w:p>
            <w:pPr/>
          </w:p>
        </w:tc>
        <w:tc>
          <w:tcPr>
            <w:tcW w:w="1668" w:type="dxa"/>
            <w:tcBorders>
              <w:top w:val="nil"/>
            </w:tcBorders>
          </w:tcPr>
          <w:p>
            <w:pPr>
              <w:pStyle w:val="TableParagraph"/>
              <w:spacing w:line="202" w:lineRule="exact"/>
              <w:ind w:left="23"/>
              <w:rPr>
                <w:rFonts w:ascii="Calibri" w:hAnsi="Calibri"/>
                <w:sz w:val="17"/>
              </w:rPr>
            </w:pPr>
            <w:r>
              <w:rPr>
                <w:rFonts w:ascii="Calibri" w:hAnsi="Calibri"/>
                <w:sz w:val="17"/>
              </w:rPr>
              <w:t>-Ingeniería mecánica</w:t>
            </w:r>
          </w:p>
        </w:tc>
        <w:tc>
          <w:tcPr>
            <w:tcW w:w="1668" w:type="dxa"/>
            <w:tcBorders>
              <w:top w:val="nil"/>
            </w:tcBorders>
          </w:tcPr>
          <w:p>
            <w:pPr/>
          </w:p>
        </w:tc>
        <w:tc>
          <w:tcPr>
            <w:tcW w:w="1668" w:type="dxa"/>
            <w:tcBorders>
              <w:top w:val="nil"/>
            </w:tcBorders>
          </w:tcPr>
          <w:p>
            <w:pPr/>
          </w:p>
        </w:tc>
      </w:tr>
    </w:tbl>
    <w:p>
      <w:pPr>
        <w:spacing w:line="225" w:lineRule="exact" w:before="0"/>
        <w:ind w:left="1258" w:right="1396" w:firstLine="0"/>
        <w:jc w:val="center"/>
        <w:rPr>
          <w:sz w:val="20"/>
        </w:rPr>
      </w:pPr>
      <w:r>
        <w:rPr>
          <w:sz w:val="20"/>
        </w:rPr>
        <w:t>Fuente: UNESCO, 2007</w:t>
      </w:r>
    </w:p>
    <w:p>
      <w:pPr>
        <w:spacing w:after="0" w:line="225" w:lineRule="exact"/>
        <w:jc w:val="center"/>
        <w:rPr>
          <w:sz w:val="20"/>
        </w:rPr>
        <w:sectPr>
          <w:pgSz w:w="12240" w:h="15840"/>
          <w:pgMar w:header="0" w:footer="689" w:top="1420" w:bottom="880" w:left="1720" w:right="1580"/>
        </w:sectPr>
      </w:pPr>
    </w:p>
    <w:tbl>
      <w:tblPr>
        <w:tblW w:w="0" w:type="auto"/>
        <w:jc w:val="left"/>
        <w:tblInd w:w="876"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819"/>
        <w:gridCol w:w="1818"/>
        <w:gridCol w:w="1819"/>
        <w:gridCol w:w="1818"/>
      </w:tblGrid>
      <w:tr>
        <w:trPr>
          <w:trHeight w:val="530" w:hRule="exact"/>
        </w:trPr>
        <w:tc>
          <w:tcPr>
            <w:tcW w:w="1819" w:type="dxa"/>
            <w:tcBorders>
              <w:bottom w:val="single" w:sz="5" w:space="0" w:color="000000"/>
            </w:tcBorders>
          </w:tcPr>
          <w:p>
            <w:pPr>
              <w:pStyle w:val="TableParagraph"/>
              <w:spacing w:before="7"/>
              <w:rPr>
                <w:sz w:val="24"/>
              </w:rPr>
            </w:pPr>
          </w:p>
          <w:p>
            <w:pPr>
              <w:pStyle w:val="TableParagraph"/>
              <w:ind w:left="315"/>
              <w:rPr>
                <w:rFonts w:ascii="Calibri" w:hAnsi="Calibri"/>
                <w:b/>
                <w:sz w:val="19"/>
              </w:rPr>
            </w:pPr>
            <w:r>
              <w:rPr>
                <w:rFonts w:ascii="Calibri" w:hAnsi="Calibri"/>
                <w:b/>
                <w:sz w:val="19"/>
              </w:rPr>
              <w:t>12. Demografía</w:t>
            </w:r>
          </w:p>
        </w:tc>
        <w:tc>
          <w:tcPr>
            <w:tcW w:w="1818" w:type="dxa"/>
            <w:tcBorders>
              <w:bottom w:val="single" w:sz="5" w:space="0" w:color="000000"/>
            </w:tcBorders>
          </w:tcPr>
          <w:p>
            <w:pPr>
              <w:pStyle w:val="TableParagraph"/>
              <w:spacing w:line="261" w:lineRule="auto" w:before="31"/>
              <w:ind w:left="441"/>
              <w:rPr>
                <w:rFonts w:ascii="Calibri" w:hAnsi="Calibri"/>
                <w:b/>
                <w:sz w:val="19"/>
              </w:rPr>
            </w:pPr>
            <w:r>
              <w:rPr>
                <w:rFonts w:ascii="Calibri" w:hAnsi="Calibri"/>
                <w:b/>
                <w:sz w:val="19"/>
              </w:rPr>
              <w:t>13. Ciencias Económicas</w:t>
            </w:r>
          </w:p>
        </w:tc>
        <w:tc>
          <w:tcPr>
            <w:tcW w:w="1819" w:type="dxa"/>
            <w:tcBorders>
              <w:bottom w:val="single" w:sz="5" w:space="0" w:color="000000"/>
            </w:tcBorders>
          </w:tcPr>
          <w:p>
            <w:pPr>
              <w:pStyle w:val="TableParagraph"/>
              <w:spacing w:before="7"/>
              <w:rPr>
                <w:sz w:val="24"/>
              </w:rPr>
            </w:pPr>
          </w:p>
          <w:p>
            <w:pPr>
              <w:pStyle w:val="TableParagraph"/>
              <w:ind w:left="379"/>
              <w:rPr>
                <w:rFonts w:ascii="Calibri" w:hAnsi="Calibri"/>
                <w:b/>
                <w:sz w:val="19"/>
              </w:rPr>
            </w:pPr>
            <w:r>
              <w:rPr>
                <w:rFonts w:ascii="Calibri" w:hAnsi="Calibri"/>
                <w:b/>
                <w:sz w:val="19"/>
              </w:rPr>
              <w:t>14. Geografía</w:t>
            </w:r>
          </w:p>
        </w:tc>
        <w:tc>
          <w:tcPr>
            <w:tcW w:w="1818" w:type="dxa"/>
            <w:tcBorders>
              <w:bottom w:val="single" w:sz="5" w:space="0" w:color="000000"/>
            </w:tcBorders>
          </w:tcPr>
          <w:p>
            <w:pPr>
              <w:pStyle w:val="TableParagraph"/>
              <w:spacing w:before="7"/>
              <w:rPr>
                <w:sz w:val="24"/>
              </w:rPr>
            </w:pPr>
          </w:p>
          <w:p>
            <w:pPr>
              <w:pStyle w:val="TableParagraph"/>
              <w:ind w:left="467"/>
              <w:rPr>
                <w:rFonts w:ascii="Calibri"/>
                <w:b/>
                <w:sz w:val="19"/>
              </w:rPr>
            </w:pPr>
            <w:r>
              <w:rPr>
                <w:rFonts w:ascii="Calibri"/>
                <w:b/>
                <w:sz w:val="19"/>
              </w:rPr>
              <w:t>15. Historia</w:t>
            </w:r>
          </w:p>
        </w:tc>
      </w:tr>
      <w:tr>
        <w:trPr>
          <w:trHeight w:val="199" w:hRule="exact"/>
        </w:trPr>
        <w:tc>
          <w:tcPr>
            <w:tcW w:w="1819" w:type="dxa"/>
            <w:tcBorders>
              <w:top w:val="single" w:sz="5" w:space="0" w:color="000000"/>
              <w:bottom w:val="nil"/>
            </w:tcBorders>
          </w:tcPr>
          <w:p>
            <w:pPr>
              <w:pStyle w:val="TableParagraph"/>
              <w:spacing w:line="162" w:lineRule="exact"/>
              <w:ind w:left="25"/>
              <w:rPr>
                <w:rFonts w:ascii="Calibri" w:hAnsi="Calibri"/>
                <w:sz w:val="19"/>
              </w:rPr>
            </w:pPr>
            <w:r>
              <w:rPr>
                <w:rFonts w:ascii="Calibri" w:hAnsi="Calibri"/>
                <w:sz w:val="19"/>
              </w:rPr>
              <w:t>Demografía general</w:t>
            </w:r>
          </w:p>
        </w:tc>
        <w:tc>
          <w:tcPr>
            <w:tcW w:w="1818" w:type="dxa"/>
            <w:tcBorders>
              <w:top w:val="single" w:sz="5" w:space="0" w:color="000000"/>
              <w:bottom w:val="nil"/>
            </w:tcBorders>
          </w:tcPr>
          <w:p>
            <w:pPr>
              <w:pStyle w:val="TableParagraph"/>
              <w:spacing w:line="162" w:lineRule="exact"/>
              <w:ind w:left="25"/>
              <w:rPr>
                <w:rFonts w:ascii="Calibri" w:hAnsi="Calibri"/>
                <w:sz w:val="19"/>
              </w:rPr>
            </w:pPr>
            <w:r>
              <w:rPr>
                <w:rFonts w:ascii="Calibri" w:hAnsi="Calibri"/>
                <w:sz w:val="19"/>
              </w:rPr>
              <w:t>Política fiscal y</w:t>
            </w:r>
          </w:p>
        </w:tc>
        <w:tc>
          <w:tcPr>
            <w:tcW w:w="1819" w:type="dxa"/>
            <w:tcBorders>
              <w:top w:val="single" w:sz="5" w:space="0" w:color="000000"/>
              <w:bottom w:val="nil"/>
            </w:tcBorders>
          </w:tcPr>
          <w:p>
            <w:pPr/>
          </w:p>
        </w:tc>
        <w:tc>
          <w:tcPr>
            <w:tcW w:w="1818" w:type="dxa"/>
            <w:tcBorders>
              <w:top w:val="single" w:sz="5" w:space="0" w:color="000000"/>
              <w:bottom w:val="nil"/>
            </w:tcBorders>
          </w:tcPr>
          <w:p>
            <w:pPr>
              <w:pStyle w:val="TableParagraph"/>
              <w:spacing w:line="162" w:lineRule="exact"/>
              <w:ind w:left="25"/>
              <w:rPr>
                <w:rFonts w:ascii="Calibri" w:hAnsi="Calibri"/>
                <w:sz w:val="19"/>
              </w:rPr>
            </w:pPr>
            <w:r>
              <w:rPr>
                <w:rFonts w:ascii="Calibri" w:hAnsi="Calibri"/>
                <w:sz w:val="19"/>
              </w:rPr>
              <w:t>Biografías</w:t>
            </w:r>
          </w:p>
        </w:tc>
      </w:tr>
      <w:tr>
        <w:trPr>
          <w:trHeight w:val="253" w:hRule="exact"/>
        </w:trPr>
        <w:tc>
          <w:tcPr>
            <w:tcW w:w="1819" w:type="dxa"/>
            <w:tcBorders>
              <w:top w:val="nil"/>
              <w:bottom w:val="nil"/>
            </w:tcBorders>
          </w:tcPr>
          <w:p>
            <w:pPr>
              <w:pStyle w:val="TableParagraph"/>
              <w:spacing w:line="222" w:lineRule="exact"/>
              <w:ind w:left="25"/>
              <w:rPr>
                <w:rFonts w:ascii="Calibri" w:hAnsi="Calibri"/>
                <w:sz w:val="19"/>
              </w:rPr>
            </w:pPr>
            <w:r>
              <w:rPr>
                <w:rFonts w:ascii="Calibri" w:hAnsi="Calibri"/>
                <w:sz w:val="19"/>
              </w:rPr>
              <w:t>Demografía geográfica</w:t>
            </w:r>
          </w:p>
        </w:tc>
        <w:tc>
          <w:tcPr>
            <w:tcW w:w="1818" w:type="dxa"/>
            <w:tcBorders>
              <w:top w:val="nil"/>
              <w:bottom w:val="nil"/>
            </w:tcBorders>
          </w:tcPr>
          <w:p>
            <w:pPr>
              <w:pStyle w:val="TableParagraph"/>
              <w:spacing w:line="222" w:lineRule="exact"/>
              <w:ind w:left="25"/>
              <w:rPr>
                <w:rFonts w:ascii="Calibri"/>
                <w:sz w:val="19"/>
              </w:rPr>
            </w:pPr>
            <w:r>
              <w:rPr>
                <w:rFonts w:ascii="Calibri"/>
                <w:sz w:val="19"/>
              </w:rPr>
              <w:t>hacienda publica</w:t>
            </w:r>
          </w:p>
        </w:tc>
        <w:tc>
          <w:tcPr>
            <w:tcW w:w="1819" w:type="dxa"/>
            <w:tcBorders>
              <w:top w:val="nil"/>
              <w:bottom w:val="nil"/>
            </w:tcBorders>
          </w:tcPr>
          <w:p>
            <w:pPr/>
          </w:p>
        </w:tc>
        <w:tc>
          <w:tcPr>
            <w:tcW w:w="1818" w:type="dxa"/>
            <w:tcBorders>
              <w:top w:val="nil"/>
              <w:bottom w:val="nil"/>
            </w:tcBorders>
          </w:tcPr>
          <w:p>
            <w:pPr>
              <w:pStyle w:val="TableParagraph"/>
              <w:spacing w:line="222" w:lineRule="exact"/>
              <w:ind w:left="25"/>
              <w:rPr>
                <w:rFonts w:ascii="Calibri"/>
                <w:sz w:val="19"/>
              </w:rPr>
            </w:pPr>
            <w:r>
              <w:rPr>
                <w:rFonts w:ascii="Calibri"/>
                <w:sz w:val="19"/>
              </w:rPr>
              <w:t>Historia general</w:t>
            </w:r>
          </w:p>
        </w:tc>
      </w:tr>
      <w:tr>
        <w:trPr>
          <w:trHeight w:val="253" w:hRule="exact"/>
        </w:trPr>
        <w:tc>
          <w:tcPr>
            <w:tcW w:w="1819" w:type="dxa"/>
            <w:tcBorders>
              <w:top w:val="nil"/>
              <w:bottom w:val="nil"/>
            </w:tcBorders>
          </w:tcPr>
          <w:p>
            <w:pPr>
              <w:pStyle w:val="TableParagraph"/>
              <w:spacing w:line="222" w:lineRule="exact"/>
              <w:ind w:left="25"/>
              <w:rPr>
                <w:rFonts w:ascii="Calibri" w:hAnsi="Calibri"/>
                <w:sz w:val="19"/>
              </w:rPr>
            </w:pPr>
            <w:r>
              <w:rPr>
                <w:rFonts w:ascii="Calibri" w:hAnsi="Calibri"/>
                <w:sz w:val="19"/>
              </w:rPr>
              <w:t>Demografía histórica</w:t>
            </w:r>
          </w:p>
        </w:tc>
        <w:tc>
          <w:tcPr>
            <w:tcW w:w="1818" w:type="dxa"/>
            <w:tcBorders>
              <w:top w:val="nil"/>
              <w:bottom w:val="nil"/>
            </w:tcBorders>
          </w:tcPr>
          <w:p>
            <w:pPr>
              <w:pStyle w:val="TableParagraph"/>
              <w:spacing w:line="222" w:lineRule="exact"/>
              <w:ind w:left="25"/>
              <w:rPr>
                <w:rFonts w:ascii="Calibri"/>
                <w:sz w:val="19"/>
              </w:rPr>
            </w:pPr>
            <w:r>
              <w:rPr>
                <w:rFonts w:ascii="Calibri"/>
                <w:sz w:val="19"/>
              </w:rPr>
              <w:t>nacionales</w:t>
            </w:r>
          </w:p>
        </w:tc>
        <w:tc>
          <w:tcPr>
            <w:tcW w:w="1819" w:type="dxa"/>
            <w:tcBorders>
              <w:top w:val="nil"/>
              <w:bottom w:val="nil"/>
            </w:tcBorders>
          </w:tcPr>
          <w:p>
            <w:pP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Historia de países</w:t>
            </w:r>
          </w:p>
        </w:tc>
      </w:tr>
      <w:tr>
        <w:trPr>
          <w:trHeight w:val="253" w:hRule="exact"/>
        </w:trPr>
        <w:tc>
          <w:tcPr>
            <w:tcW w:w="1819" w:type="dxa"/>
            <w:tcBorders>
              <w:top w:val="nil"/>
              <w:bottom w:val="nil"/>
            </w:tcBorders>
          </w:tcPr>
          <w:p>
            <w:pPr>
              <w:pStyle w:val="TableParagraph"/>
              <w:spacing w:line="222" w:lineRule="exact"/>
              <w:ind w:left="25"/>
              <w:rPr>
                <w:rFonts w:ascii="Calibri"/>
                <w:sz w:val="19"/>
              </w:rPr>
            </w:pPr>
            <w:r>
              <w:rPr>
                <w:rFonts w:ascii="Calibri"/>
                <w:sz w:val="19"/>
              </w:rPr>
              <w:t>Mortalidad</w:t>
            </w: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Econometría</w:t>
            </w:r>
          </w:p>
        </w:tc>
        <w:tc>
          <w:tcPr>
            <w:tcW w:w="1819" w:type="dxa"/>
            <w:tcBorders>
              <w:top w:val="nil"/>
              <w:bottom w:val="nil"/>
            </w:tcBorders>
          </w:tcPr>
          <w:p>
            <w:pPr>
              <w:pStyle w:val="TableParagraph"/>
              <w:spacing w:line="222" w:lineRule="exact"/>
              <w:ind w:left="25"/>
              <w:rPr>
                <w:rFonts w:ascii="Calibri" w:hAnsi="Calibri"/>
                <w:sz w:val="19"/>
              </w:rPr>
            </w:pPr>
            <w:r>
              <w:rPr>
                <w:rFonts w:ascii="Calibri" w:hAnsi="Calibri"/>
                <w:sz w:val="19"/>
              </w:rPr>
              <w:t>Geografía económica</w:t>
            </w: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Historia por épocas</w:t>
            </w:r>
          </w:p>
        </w:tc>
      </w:tr>
      <w:tr>
        <w:trPr>
          <w:trHeight w:val="253" w:hRule="exact"/>
        </w:trPr>
        <w:tc>
          <w:tcPr>
            <w:tcW w:w="1819" w:type="dxa"/>
            <w:tcBorders>
              <w:top w:val="nil"/>
              <w:bottom w:val="nil"/>
            </w:tcBorders>
          </w:tcPr>
          <w:p>
            <w:pPr>
              <w:pStyle w:val="TableParagraph"/>
              <w:spacing w:line="222" w:lineRule="exact"/>
              <w:ind w:left="25"/>
              <w:rPr>
                <w:rFonts w:ascii="Calibri" w:hAnsi="Calibri"/>
                <w:sz w:val="19"/>
              </w:rPr>
            </w:pPr>
            <w:r>
              <w:rPr>
                <w:rFonts w:ascii="Calibri" w:hAnsi="Calibri"/>
                <w:sz w:val="19"/>
              </w:rPr>
              <w:t>Características de la</w:t>
            </w: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Contabilidad pública</w:t>
            </w:r>
          </w:p>
        </w:tc>
        <w:tc>
          <w:tcPr>
            <w:tcW w:w="1819" w:type="dxa"/>
            <w:tcBorders>
              <w:top w:val="nil"/>
              <w:bottom w:val="nil"/>
            </w:tcBorders>
          </w:tcPr>
          <w:p>
            <w:pPr>
              <w:pStyle w:val="TableParagraph"/>
              <w:spacing w:line="222" w:lineRule="exact"/>
              <w:ind w:left="25"/>
              <w:rPr>
                <w:rFonts w:ascii="Calibri" w:hAnsi="Calibri"/>
                <w:sz w:val="19"/>
              </w:rPr>
            </w:pPr>
            <w:r>
              <w:rPr>
                <w:rFonts w:ascii="Calibri" w:hAnsi="Calibri"/>
                <w:sz w:val="19"/>
              </w:rPr>
              <w:t>Geografía histórica</w:t>
            </w:r>
          </w:p>
        </w:tc>
        <w:tc>
          <w:tcPr>
            <w:tcW w:w="1818" w:type="dxa"/>
            <w:tcBorders>
              <w:top w:val="nil"/>
              <w:bottom w:val="nil"/>
            </w:tcBorders>
          </w:tcPr>
          <w:p>
            <w:pPr>
              <w:pStyle w:val="TableParagraph"/>
              <w:spacing w:line="222" w:lineRule="exact"/>
              <w:ind w:left="25"/>
              <w:rPr>
                <w:rFonts w:ascii="Calibri"/>
                <w:sz w:val="19"/>
              </w:rPr>
            </w:pPr>
            <w:r>
              <w:rPr>
                <w:rFonts w:ascii="Calibri"/>
                <w:sz w:val="19"/>
              </w:rPr>
              <w:t>Ciencias auxiliares de</w:t>
            </w:r>
          </w:p>
        </w:tc>
      </w:tr>
      <w:tr>
        <w:trPr>
          <w:trHeight w:val="253" w:hRule="exact"/>
        </w:trPr>
        <w:tc>
          <w:tcPr>
            <w:tcW w:w="1819" w:type="dxa"/>
            <w:tcBorders>
              <w:top w:val="nil"/>
              <w:bottom w:val="nil"/>
            </w:tcBorders>
          </w:tcPr>
          <w:p>
            <w:pPr>
              <w:pStyle w:val="TableParagraph"/>
              <w:spacing w:line="222" w:lineRule="exact"/>
              <w:ind w:left="25"/>
              <w:rPr>
                <w:rFonts w:ascii="Calibri" w:hAnsi="Calibri"/>
                <w:sz w:val="19"/>
              </w:rPr>
            </w:pPr>
            <w:r>
              <w:rPr>
                <w:rFonts w:ascii="Calibri" w:hAnsi="Calibri"/>
                <w:sz w:val="19"/>
              </w:rPr>
              <w:t>población</w:t>
            </w: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Actividad económica</w:t>
            </w:r>
          </w:p>
        </w:tc>
        <w:tc>
          <w:tcPr>
            <w:tcW w:w="1819" w:type="dxa"/>
            <w:tcBorders>
              <w:top w:val="nil"/>
              <w:bottom w:val="nil"/>
            </w:tcBorders>
          </w:tcPr>
          <w:p>
            <w:pPr>
              <w:pStyle w:val="TableParagraph"/>
              <w:spacing w:line="222" w:lineRule="exact"/>
              <w:ind w:left="25"/>
              <w:rPr>
                <w:rFonts w:ascii="Calibri" w:hAnsi="Calibri"/>
                <w:sz w:val="19"/>
              </w:rPr>
            </w:pPr>
            <w:r>
              <w:rPr>
                <w:rFonts w:ascii="Calibri" w:hAnsi="Calibri"/>
                <w:sz w:val="19"/>
              </w:rPr>
              <w:t>Geografía humana</w:t>
            </w:r>
          </w:p>
        </w:tc>
        <w:tc>
          <w:tcPr>
            <w:tcW w:w="1818" w:type="dxa"/>
            <w:tcBorders>
              <w:top w:val="nil"/>
              <w:bottom w:val="nil"/>
            </w:tcBorders>
          </w:tcPr>
          <w:p>
            <w:pPr>
              <w:pStyle w:val="TableParagraph"/>
              <w:spacing w:line="222" w:lineRule="exact"/>
              <w:ind w:left="25"/>
              <w:rPr>
                <w:rFonts w:ascii="Calibri"/>
                <w:sz w:val="19"/>
              </w:rPr>
            </w:pPr>
            <w:r>
              <w:rPr>
                <w:rFonts w:ascii="Calibri"/>
                <w:sz w:val="19"/>
              </w:rPr>
              <w:t>la historia</w:t>
            </w:r>
          </w:p>
        </w:tc>
      </w:tr>
      <w:tr>
        <w:trPr>
          <w:trHeight w:val="253" w:hRule="exact"/>
        </w:trPr>
        <w:tc>
          <w:tcPr>
            <w:tcW w:w="1819" w:type="dxa"/>
            <w:tcBorders>
              <w:top w:val="nil"/>
              <w:bottom w:val="nil"/>
            </w:tcBorders>
          </w:tcPr>
          <w:p>
            <w:pPr>
              <w:pStyle w:val="TableParagraph"/>
              <w:spacing w:line="222" w:lineRule="exact"/>
              <w:ind w:left="25"/>
              <w:rPr>
                <w:rFonts w:ascii="Calibri" w:hAnsi="Calibri"/>
                <w:sz w:val="19"/>
              </w:rPr>
            </w:pPr>
            <w:r>
              <w:rPr>
                <w:rFonts w:ascii="Calibri" w:hAnsi="Calibri"/>
                <w:sz w:val="19"/>
              </w:rPr>
              <w:t>Tamaño de la</w:t>
            </w: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Sistemas económicos</w:t>
            </w:r>
          </w:p>
        </w:tc>
        <w:tc>
          <w:tcPr>
            <w:tcW w:w="1819" w:type="dxa"/>
            <w:tcBorders>
              <w:top w:val="nil"/>
              <w:bottom w:val="nil"/>
            </w:tcBorders>
          </w:tcPr>
          <w:p>
            <w:pPr>
              <w:pStyle w:val="TableParagraph"/>
              <w:spacing w:line="222" w:lineRule="exact"/>
              <w:ind w:left="25"/>
              <w:rPr>
                <w:rFonts w:ascii="Calibri" w:hAnsi="Calibri"/>
                <w:sz w:val="19"/>
              </w:rPr>
            </w:pPr>
            <w:r>
              <w:rPr>
                <w:rFonts w:ascii="Calibri" w:hAnsi="Calibri"/>
                <w:sz w:val="19"/>
              </w:rPr>
              <w:t>Geografía regional</w:t>
            </w:r>
          </w:p>
        </w:tc>
        <w:tc>
          <w:tcPr>
            <w:tcW w:w="1818" w:type="dxa"/>
            <w:tcBorders>
              <w:top w:val="nil"/>
              <w:bottom w:val="nil"/>
            </w:tcBorders>
          </w:tcPr>
          <w:p>
            <w:pPr>
              <w:pStyle w:val="TableParagraph"/>
              <w:spacing w:line="222" w:lineRule="exact"/>
              <w:ind w:left="25"/>
              <w:rPr>
                <w:rFonts w:ascii="Calibri"/>
                <w:sz w:val="19"/>
              </w:rPr>
            </w:pPr>
            <w:r>
              <w:rPr>
                <w:rFonts w:ascii="Calibri"/>
                <w:sz w:val="19"/>
              </w:rPr>
              <w:t>Historia por</w:t>
            </w:r>
          </w:p>
        </w:tc>
      </w:tr>
      <w:tr>
        <w:trPr>
          <w:trHeight w:val="253" w:hRule="exact"/>
        </w:trPr>
        <w:tc>
          <w:tcPr>
            <w:tcW w:w="1819" w:type="dxa"/>
            <w:tcBorders>
              <w:top w:val="nil"/>
              <w:bottom w:val="nil"/>
            </w:tcBorders>
          </w:tcPr>
          <w:p>
            <w:pPr>
              <w:pStyle w:val="TableParagraph"/>
              <w:spacing w:line="222" w:lineRule="exact"/>
              <w:ind w:left="25"/>
              <w:rPr>
                <w:rFonts w:ascii="Calibri" w:hAnsi="Calibri"/>
                <w:sz w:val="19"/>
              </w:rPr>
            </w:pPr>
            <w:r>
              <w:rPr>
                <w:rFonts w:ascii="Calibri" w:hAnsi="Calibri"/>
                <w:sz w:val="19"/>
              </w:rPr>
              <w:t>población y evolución</w:t>
            </w: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Economía del cambio</w:t>
            </w:r>
          </w:p>
        </w:tc>
        <w:tc>
          <w:tcPr>
            <w:tcW w:w="1819" w:type="dxa"/>
            <w:tcBorders>
              <w:top w:val="nil"/>
              <w:bottom w:val="nil"/>
            </w:tcBorders>
          </w:tcPr>
          <w:p>
            <w:pPr>
              <w:pStyle w:val="TableParagraph"/>
              <w:spacing w:line="222" w:lineRule="exact"/>
              <w:ind w:left="25"/>
              <w:rPr>
                <w:rFonts w:ascii="Calibri"/>
                <w:sz w:val="19"/>
              </w:rPr>
            </w:pPr>
            <w:r>
              <w:rPr>
                <w:rFonts w:ascii="Calibri"/>
                <w:sz w:val="19"/>
              </w:rPr>
              <w:t>Otras especialidades</w:t>
            </w:r>
          </w:p>
        </w:tc>
        <w:tc>
          <w:tcPr>
            <w:tcW w:w="1818" w:type="dxa"/>
            <w:tcBorders>
              <w:top w:val="nil"/>
              <w:bottom w:val="nil"/>
            </w:tcBorders>
          </w:tcPr>
          <w:p>
            <w:pPr>
              <w:pStyle w:val="TableParagraph"/>
              <w:spacing w:line="222" w:lineRule="exact"/>
              <w:ind w:left="25"/>
              <w:rPr>
                <w:rFonts w:ascii="Calibri"/>
                <w:sz w:val="19"/>
              </w:rPr>
            </w:pPr>
            <w:r>
              <w:rPr>
                <w:rFonts w:ascii="Calibri"/>
                <w:sz w:val="19"/>
              </w:rPr>
              <w:t>especialidades</w:t>
            </w:r>
          </w:p>
        </w:tc>
      </w:tr>
      <w:tr>
        <w:trPr>
          <w:trHeight w:val="253" w:hRule="exact"/>
        </w:trPr>
        <w:tc>
          <w:tcPr>
            <w:tcW w:w="1819" w:type="dxa"/>
            <w:tcBorders>
              <w:top w:val="nil"/>
              <w:bottom w:val="nil"/>
            </w:tcBorders>
          </w:tcPr>
          <w:p>
            <w:pPr>
              <w:pStyle w:val="TableParagraph"/>
              <w:spacing w:line="222" w:lineRule="exact"/>
              <w:ind w:left="25"/>
              <w:rPr>
                <w:rFonts w:ascii="Calibri" w:hAnsi="Calibri"/>
                <w:sz w:val="19"/>
              </w:rPr>
            </w:pPr>
            <w:r>
              <w:rPr>
                <w:rFonts w:ascii="Calibri" w:hAnsi="Calibri"/>
                <w:sz w:val="19"/>
              </w:rPr>
              <w:t>demográfica</w:t>
            </w: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tecnológico</w:t>
            </w:r>
          </w:p>
        </w:tc>
        <w:tc>
          <w:tcPr>
            <w:tcW w:w="1819" w:type="dxa"/>
            <w:tcBorders>
              <w:top w:val="nil"/>
              <w:bottom w:val="nil"/>
            </w:tcBorders>
          </w:tcPr>
          <w:p>
            <w:pPr>
              <w:pStyle w:val="TableParagraph"/>
              <w:spacing w:line="222" w:lineRule="exact"/>
              <w:ind w:left="25"/>
              <w:rPr>
                <w:rFonts w:ascii="Calibri" w:hAnsi="Calibri"/>
                <w:sz w:val="19"/>
              </w:rPr>
            </w:pPr>
            <w:r>
              <w:rPr>
                <w:rFonts w:ascii="Calibri" w:hAnsi="Calibri"/>
                <w:sz w:val="19"/>
              </w:rPr>
              <w:t>geográficas</w:t>
            </w:r>
          </w:p>
        </w:tc>
        <w:tc>
          <w:tcPr>
            <w:tcW w:w="1818" w:type="dxa"/>
            <w:tcBorders>
              <w:top w:val="nil"/>
              <w:bottom w:val="nil"/>
            </w:tcBorders>
          </w:tcPr>
          <w:p>
            <w:pPr>
              <w:pStyle w:val="TableParagraph"/>
              <w:spacing w:line="222" w:lineRule="exact"/>
              <w:ind w:left="25"/>
              <w:rPr>
                <w:rFonts w:ascii="Calibri"/>
                <w:sz w:val="19"/>
              </w:rPr>
            </w:pPr>
            <w:r>
              <w:rPr>
                <w:rFonts w:ascii="Calibri"/>
                <w:sz w:val="19"/>
              </w:rPr>
              <w:t>Otras especialidades</w:t>
            </w:r>
          </w:p>
        </w:tc>
      </w:tr>
      <w:tr>
        <w:trPr>
          <w:trHeight w:val="253" w:hRule="exact"/>
        </w:trPr>
        <w:tc>
          <w:tcPr>
            <w:tcW w:w="1819" w:type="dxa"/>
            <w:tcBorders>
              <w:top w:val="nil"/>
              <w:bottom w:val="nil"/>
            </w:tcBorders>
          </w:tcPr>
          <w:p>
            <w:pPr>
              <w:pStyle w:val="TableParagraph"/>
              <w:spacing w:line="222" w:lineRule="exact"/>
              <w:ind w:left="25"/>
              <w:rPr>
                <w:rFonts w:ascii="Calibri"/>
                <w:sz w:val="19"/>
              </w:rPr>
            </w:pPr>
            <w:r>
              <w:rPr>
                <w:rFonts w:ascii="Calibri"/>
                <w:sz w:val="19"/>
              </w:rPr>
              <w:t>Otras especialidades</w:t>
            </w: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Teoría económica</w:t>
            </w:r>
          </w:p>
        </w:tc>
        <w:tc>
          <w:tcPr>
            <w:tcW w:w="1819" w:type="dxa"/>
            <w:tcBorders>
              <w:top w:val="nil"/>
              <w:bottom w:val="nil"/>
            </w:tcBorders>
          </w:tcPr>
          <w:p>
            <w:pPr>
              <w:pStyle w:val="TableParagraph"/>
              <w:spacing w:line="222" w:lineRule="exact"/>
              <w:ind w:left="25"/>
              <w:rPr>
                <w:rFonts w:ascii="Calibri"/>
                <w:sz w:val="19"/>
              </w:rPr>
            </w:pPr>
            <w:r>
              <w:rPr>
                <w:rFonts w:ascii="Calibri"/>
                <w:sz w:val="19"/>
              </w:rPr>
              <w:t>(especificar)</w:t>
            </w: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históricas</w:t>
            </w:r>
          </w:p>
        </w:tc>
      </w:tr>
      <w:tr>
        <w:trPr>
          <w:trHeight w:val="253" w:hRule="exact"/>
        </w:trPr>
        <w:tc>
          <w:tcPr>
            <w:tcW w:w="1819" w:type="dxa"/>
            <w:tcBorders>
              <w:top w:val="nil"/>
              <w:bottom w:val="nil"/>
            </w:tcBorders>
          </w:tcPr>
          <w:p>
            <w:pPr>
              <w:pStyle w:val="TableParagraph"/>
              <w:spacing w:line="222" w:lineRule="exact"/>
              <w:ind w:left="25"/>
              <w:rPr>
                <w:rFonts w:ascii="Calibri" w:hAnsi="Calibri"/>
                <w:sz w:val="19"/>
              </w:rPr>
            </w:pPr>
            <w:r>
              <w:rPr>
                <w:rFonts w:ascii="Calibri" w:hAnsi="Calibri"/>
                <w:sz w:val="19"/>
              </w:rPr>
              <w:t>demográficas</w:t>
            </w: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Economía general</w:t>
            </w:r>
          </w:p>
        </w:tc>
        <w:tc>
          <w:tcPr>
            <w:tcW w:w="1819" w:type="dxa"/>
            <w:tcBorders>
              <w:top w:val="nil"/>
              <w:bottom w:val="nil"/>
            </w:tcBorders>
          </w:tcPr>
          <w:p>
            <w:pPr/>
          </w:p>
        </w:tc>
        <w:tc>
          <w:tcPr>
            <w:tcW w:w="1818" w:type="dxa"/>
            <w:tcBorders>
              <w:top w:val="nil"/>
              <w:bottom w:val="nil"/>
            </w:tcBorders>
          </w:tcPr>
          <w:p>
            <w:pPr/>
          </w:p>
        </w:tc>
      </w:tr>
      <w:tr>
        <w:trPr>
          <w:trHeight w:val="253" w:hRule="exact"/>
        </w:trPr>
        <w:tc>
          <w:tcPr>
            <w:tcW w:w="1819" w:type="dxa"/>
            <w:tcBorders>
              <w:top w:val="nil"/>
              <w:bottom w:val="nil"/>
            </w:tcBorders>
          </w:tcPr>
          <w:p>
            <w:pP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Organización de la</w:t>
            </w:r>
          </w:p>
        </w:tc>
        <w:tc>
          <w:tcPr>
            <w:tcW w:w="1819" w:type="dxa"/>
            <w:tcBorders>
              <w:top w:val="nil"/>
              <w:bottom w:val="nil"/>
            </w:tcBorders>
          </w:tcPr>
          <w:p>
            <w:pPr/>
          </w:p>
        </w:tc>
        <w:tc>
          <w:tcPr>
            <w:tcW w:w="1818" w:type="dxa"/>
            <w:tcBorders>
              <w:top w:val="nil"/>
              <w:bottom w:val="nil"/>
            </w:tcBorders>
          </w:tcPr>
          <w:p>
            <w:pPr/>
          </w:p>
        </w:tc>
      </w:tr>
      <w:tr>
        <w:trPr>
          <w:trHeight w:val="253" w:hRule="exact"/>
        </w:trPr>
        <w:tc>
          <w:tcPr>
            <w:tcW w:w="1819" w:type="dxa"/>
            <w:tcBorders>
              <w:top w:val="nil"/>
              <w:bottom w:val="nil"/>
            </w:tcBorders>
          </w:tcPr>
          <w:p>
            <w:pP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industrial y política</w:t>
            </w:r>
          </w:p>
        </w:tc>
        <w:tc>
          <w:tcPr>
            <w:tcW w:w="1819" w:type="dxa"/>
            <w:tcBorders>
              <w:top w:val="nil"/>
              <w:bottom w:val="nil"/>
            </w:tcBorders>
          </w:tcPr>
          <w:p>
            <w:pPr/>
          </w:p>
        </w:tc>
        <w:tc>
          <w:tcPr>
            <w:tcW w:w="1818" w:type="dxa"/>
            <w:tcBorders>
              <w:top w:val="nil"/>
              <w:bottom w:val="nil"/>
            </w:tcBorders>
          </w:tcPr>
          <w:p>
            <w:pPr/>
          </w:p>
        </w:tc>
      </w:tr>
      <w:tr>
        <w:trPr>
          <w:trHeight w:val="253" w:hRule="exact"/>
        </w:trPr>
        <w:tc>
          <w:tcPr>
            <w:tcW w:w="1819" w:type="dxa"/>
            <w:tcBorders>
              <w:top w:val="nil"/>
              <w:bottom w:val="nil"/>
            </w:tcBorders>
          </w:tcPr>
          <w:p>
            <w:pP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económica pública</w:t>
            </w:r>
          </w:p>
        </w:tc>
        <w:tc>
          <w:tcPr>
            <w:tcW w:w="1819" w:type="dxa"/>
            <w:tcBorders>
              <w:top w:val="nil"/>
              <w:bottom w:val="nil"/>
            </w:tcBorders>
          </w:tcPr>
          <w:p>
            <w:pPr/>
          </w:p>
        </w:tc>
        <w:tc>
          <w:tcPr>
            <w:tcW w:w="1818" w:type="dxa"/>
            <w:tcBorders>
              <w:top w:val="nil"/>
              <w:bottom w:val="nil"/>
            </w:tcBorders>
          </w:tcPr>
          <w:p>
            <w:pPr/>
          </w:p>
        </w:tc>
      </w:tr>
      <w:tr>
        <w:trPr>
          <w:trHeight w:val="253" w:hRule="exact"/>
        </w:trPr>
        <w:tc>
          <w:tcPr>
            <w:tcW w:w="1819" w:type="dxa"/>
            <w:tcBorders>
              <w:top w:val="nil"/>
              <w:bottom w:val="nil"/>
            </w:tcBorders>
          </w:tcPr>
          <w:p>
            <w:pP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Economía</w:t>
            </w:r>
          </w:p>
        </w:tc>
        <w:tc>
          <w:tcPr>
            <w:tcW w:w="1819" w:type="dxa"/>
            <w:tcBorders>
              <w:top w:val="nil"/>
              <w:bottom w:val="nil"/>
            </w:tcBorders>
          </w:tcPr>
          <w:p>
            <w:pPr/>
          </w:p>
        </w:tc>
        <w:tc>
          <w:tcPr>
            <w:tcW w:w="1818" w:type="dxa"/>
            <w:tcBorders>
              <w:top w:val="nil"/>
              <w:bottom w:val="nil"/>
            </w:tcBorders>
          </w:tcPr>
          <w:p>
            <w:pPr/>
          </w:p>
        </w:tc>
      </w:tr>
      <w:tr>
        <w:trPr>
          <w:trHeight w:val="253" w:hRule="exact"/>
        </w:trPr>
        <w:tc>
          <w:tcPr>
            <w:tcW w:w="1819" w:type="dxa"/>
            <w:tcBorders>
              <w:top w:val="nil"/>
              <w:bottom w:val="nil"/>
            </w:tcBorders>
          </w:tcPr>
          <w:p>
            <w:pPr/>
          </w:p>
        </w:tc>
        <w:tc>
          <w:tcPr>
            <w:tcW w:w="1818" w:type="dxa"/>
            <w:tcBorders>
              <w:top w:val="nil"/>
              <w:bottom w:val="nil"/>
            </w:tcBorders>
          </w:tcPr>
          <w:p>
            <w:pPr>
              <w:pStyle w:val="TableParagraph"/>
              <w:spacing w:line="222" w:lineRule="exact"/>
              <w:ind w:left="25"/>
              <w:rPr>
                <w:rFonts w:ascii="Calibri"/>
                <w:sz w:val="19"/>
              </w:rPr>
            </w:pPr>
            <w:r>
              <w:rPr>
                <w:rFonts w:ascii="Calibri"/>
                <w:sz w:val="19"/>
              </w:rPr>
              <w:t>internacional</w:t>
            </w:r>
          </w:p>
        </w:tc>
        <w:tc>
          <w:tcPr>
            <w:tcW w:w="1819" w:type="dxa"/>
            <w:tcBorders>
              <w:top w:val="nil"/>
              <w:bottom w:val="nil"/>
            </w:tcBorders>
          </w:tcPr>
          <w:p>
            <w:pPr/>
          </w:p>
        </w:tc>
        <w:tc>
          <w:tcPr>
            <w:tcW w:w="1818" w:type="dxa"/>
            <w:tcBorders>
              <w:top w:val="nil"/>
              <w:bottom w:val="nil"/>
            </w:tcBorders>
          </w:tcPr>
          <w:p>
            <w:pPr/>
          </w:p>
        </w:tc>
      </w:tr>
      <w:tr>
        <w:trPr>
          <w:trHeight w:val="253" w:hRule="exact"/>
        </w:trPr>
        <w:tc>
          <w:tcPr>
            <w:tcW w:w="1819" w:type="dxa"/>
            <w:tcBorders>
              <w:top w:val="nil"/>
              <w:bottom w:val="nil"/>
            </w:tcBorders>
          </w:tcPr>
          <w:p>
            <w:pPr/>
          </w:p>
        </w:tc>
        <w:tc>
          <w:tcPr>
            <w:tcW w:w="1818" w:type="dxa"/>
            <w:tcBorders>
              <w:top w:val="nil"/>
              <w:bottom w:val="nil"/>
            </w:tcBorders>
          </w:tcPr>
          <w:p>
            <w:pPr>
              <w:pStyle w:val="TableParagraph"/>
              <w:spacing w:line="222" w:lineRule="exact"/>
              <w:ind w:left="63"/>
              <w:rPr>
                <w:rFonts w:ascii="Calibri" w:hAnsi="Calibri"/>
                <w:sz w:val="19"/>
              </w:rPr>
            </w:pPr>
            <w:r>
              <w:rPr>
                <w:rFonts w:ascii="Calibri" w:hAnsi="Calibri"/>
                <w:sz w:val="19"/>
              </w:rPr>
              <w:t>Organización y</w:t>
            </w:r>
          </w:p>
        </w:tc>
        <w:tc>
          <w:tcPr>
            <w:tcW w:w="1819" w:type="dxa"/>
            <w:tcBorders>
              <w:top w:val="nil"/>
              <w:bottom w:val="nil"/>
            </w:tcBorders>
          </w:tcPr>
          <w:p>
            <w:pPr/>
          </w:p>
        </w:tc>
        <w:tc>
          <w:tcPr>
            <w:tcW w:w="1818" w:type="dxa"/>
            <w:tcBorders>
              <w:top w:val="nil"/>
              <w:bottom w:val="nil"/>
            </w:tcBorders>
          </w:tcPr>
          <w:p>
            <w:pPr/>
          </w:p>
        </w:tc>
      </w:tr>
      <w:tr>
        <w:trPr>
          <w:trHeight w:val="253" w:hRule="exact"/>
        </w:trPr>
        <w:tc>
          <w:tcPr>
            <w:tcW w:w="1819" w:type="dxa"/>
            <w:tcBorders>
              <w:top w:val="nil"/>
              <w:bottom w:val="nil"/>
            </w:tcBorders>
          </w:tcPr>
          <w:p>
            <w:pP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dirección de empresas</w:t>
            </w:r>
          </w:p>
        </w:tc>
        <w:tc>
          <w:tcPr>
            <w:tcW w:w="1819" w:type="dxa"/>
            <w:tcBorders>
              <w:top w:val="nil"/>
              <w:bottom w:val="nil"/>
            </w:tcBorders>
          </w:tcPr>
          <w:p>
            <w:pPr/>
          </w:p>
        </w:tc>
        <w:tc>
          <w:tcPr>
            <w:tcW w:w="1818" w:type="dxa"/>
            <w:tcBorders>
              <w:top w:val="nil"/>
              <w:bottom w:val="nil"/>
            </w:tcBorders>
          </w:tcPr>
          <w:p>
            <w:pPr/>
          </w:p>
        </w:tc>
      </w:tr>
      <w:tr>
        <w:trPr>
          <w:trHeight w:val="253" w:hRule="exact"/>
        </w:trPr>
        <w:tc>
          <w:tcPr>
            <w:tcW w:w="1819" w:type="dxa"/>
            <w:tcBorders>
              <w:top w:val="nil"/>
              <w:bottom w:val="nil"/>
            </w:tcBorders>
          </w:tcPr>
          <w:p>
            <w:pPr/>
          </w:p>
        </w:tc>
        <w:tc>
          <w:tcPr>
            <w:tcW w:w="1818" w:type="dxa"/>
            <w:tcBorders>
              <w:top w:val="nil"/>
              <w:bottom w:val="nil"/>
            </w:tcBorders>
          </w:tcPr>
          <w:p>
            <w:pPr>
              <w:pStyle w:val="TableParagraph"/>
              <w:spacing w:line="222" w:lineRule="exact"/>
              <w:ind w:left="25"/>
              <w:rPr>
                <w:rFonts w:ascii="Calibri" w:hAnsi="Calibri"/>
                <w:sz w:val="19"/>
              </w:rPr>
            </w:pPr>
            <w:r>
              <w:rPr>
                <w:rFonts w:ascii="Calibri" w:hAnsi="Calibri"/>
                <w:sz w:val="19"/>
              </w:rPr>
              <w:t>Economía sectorial</w:t>
            </w:r>
          </w:p>
        </w:tc>
        <w:tc>
          <w:tcPr>
            <w:tcW w:w="1819" w:type="dxa"/>
            <w:tcBorders>
              <w:top w:val="nil"/>
              <w:bottom w:val="nil"/>
            </w:tcBorders>
          </w:tcPr>
          <w:p>
            <w:pPr/>
          </w:p>
        </w:tc>
        <w:tc>
          <w:tcPr>
            <w:tcW w:w="1818" w:type="dxa"/>
            <w:tcBorders>
              <w:top w:val="nil"/>
              <w:bottom w:val="nil"/>
            </w:tcBorders>
          </w:tcPr>
          <w:p>
            <w:pPr/>
          </w:p>
        </w:tc>
      </w:tr>
      <w:tr>
        <w:trPr>
          <w:trHeight w:val="253" w:hRule="exact"/>
        </w:trPr>
        <w:tc>
          <w:tcPr>
            <w:tcW w:w="1819" w:type="dxa"/>
            <w:tcBorders>
              <w:top w:val="nil"/>
              <w:bottom w:val="nil"/>
            </w:tcBorders>
          </w:tcPr>
          <w:p>
            <w:pPr/>
          </w:p>
        </w:tc>
        <w:tc>
          <w:tcPr>
            <w:tcW w:w="1818" w:type="dxa"/>
            <w:tcBorders>
              <w:top w:val="nil"/>
              <w:bottom w:val="nil"/>
            </w:tcBorders>
          </w:tcPr>
          <w:p>
            <w:pPr>
              <w:pStyle w:val="TableParagraph"/>
              <w:spacing w:line="222" w:lineRule="exact"/>
              <w:ind w:left="25"/>
              <w:rPr>
                <w:rFonts w:ascii="Calibri"/>
                <w:sz w:val="19"/>
              </w:rPr>
            </w:pPr>
            <w:r>
              <w:rPr>
                <w:rFonts w:ascii="Calibri"/>
                <w:sz w:val="19"/>
              </w:rPr>
              <w:t>Otras especialidades</w:t>
            </w:r>
          </w:p>
        </w:tc>
        <w:tc>
          <w:tcPr>
            <w:tcW w:w="1819" w:type="dxa"/>
            <w:tcBorders>
              <w:top w:val="nil"/>
              <w:bottom w:val="nil"/>
            </w:tcBorders>
          </w:tcPr>
          <w:p>
            <w:pPr/>
          </w:p>
        </w:tc>
        <w:tc>
          <w:tcPr>
            <w:tcW w:w="1818" w:type="dxa"/>
            <w:tcBorders>
              <w:top w:val="nil"/>
              <w:bottom w:val="nil"/>
            </w:tcBorders>
          </w:tcPr>
          <w:p>
            <w:pPr/>
          </w:p>
        </w:tc>
      </w:tr>
      <w:tr>
        <w:trPr>
          <w:trHeight w:val="988" w:hRule="exact"/>
        </w:trPr>
        <w:tc>
          <w:tcPr>
            <w:tcW w:w="1819" w:type="dxa"/>
            <w:tcBorders>
              <w:top w:val="nil"/>
            </w:tcBorders>
          </w:tcPr>
          <w:p>
            <w:pPr/>
          </w:p>
        </w:tc>
        <w:tc>
          <w:tcPr>
            <w:tcW w:w="1818" w:type="dxa"/>
            <w:tcBorders>
              <w:top w:val="nil"/>
            </w:tcBorders>
          </w:tcPr>
          <w:p>
            <w:pPr>
              <w:pStyle w:val="TableParagraph"/>
              <w:spacing w:line="222" w:lineRule="exact"/>
              <w:ind w:left="25"/>
              <w:rPr>
                <w:rFonts w:ascii="Calibri" w:hAnsi="Calibri"/>
                <w:sz w:val="19"/>
              </w:rPr>
            </w:pPr>
            <w:r>
              <w:rPr>
                <w:rFonts w:ascii="Calibri" w:hAnsi="Calibri"/>
                <w:sz w:val="19"/>
              </w:rPr>
              <w:t>económicas</w:t>
            </w:r>
          </w:p>
        </w:tc>
        <w:tc>
          <w:tcPr>
            <w:tcW w:w="1819" w:type="dxa"/>
            <w:tcBorders>
              <w:top w:val="nil"/>
            </w:tcBorders>
          </w:tcPr>
          <w:p>
            <w:pPr/>
          </w:p>
        </w:tc>
        <w:tc>
          <w:tcPr>
            <w:tcW w:w="1818" w:type="dxa"/>
            <w:tcBorders>
              <w:top w:val="nil"/>
            </w:tcBorders>
          </w:tcPr>
          <w:p>
            <w:pPr/>
          </w:p>
        </w:tc>
      </w:tr>
    </w:tbl>
    <w:p>
      <w:pPr>
        <w:spacing w:line="225" w:lineRule="exact" w:before="0"/>
        <w:ind w:left="99" w:right="117" w:firstLine="0"/>
        <w:jc w:val="center"/>
        <w:rPr>
          <w:sz w:val="20"/>
        </w:rPr>
      </w:pPr>
      <w:r>
        <w:rPr>
          <w:sz w:val="20"/>
        </w:rPr>
        <w:t>Fuente: UNESCO, 2007</w:t>
      </w:r>
    </w:p>
    <w:p>
      <w:pPr>
        <w:pStyle w:val="BodyText"/>
        <w:rPr>
          <w:sz w:val="20"/>
        </w:rPr>
      </w:pPr>
    </w:p>
    <w:p>
      <w:pPr>
        <w:pStyle w:val="BodyText"/>
        <w:rPr>
          <w:sz w:val="20"/>
        </w:rPr>
      </w:pPr>
    </w:p>
    <w:p>
      <w:pPr>
        <w:pStyle w:val="BodyText"/>
        <w:rPr>
          <w:sz w:val="20"/>
        </w:rPr>
      </w:pPr>
    </w:p>
    <w:p>
      <w:pPr>
        <w:pStyle w:val="BodyText"/>
        <w:spacing w:line="360" w:lineRule="auto" w:before="139"/>
        <w:ind w:left="102" w:right="115"/>
        <w:jc w:val="both"/>
      </w:pPr>
      <w:r>
        <w:rPr/>
        <w:t>Como lo comentamos en párrafos anteriores la división de la UNESCO toma como base la estructura de la ciencia propuesta por Bunge (2000) pero hace un reconocimiento de aquellas sub disciplinas que podríamos considerarlas como disciplinas de frontera, es decir como aquellas disciplinas que se vincularon para delimitar un objeto de estudio, por ejemplo podemos destacar a la sociología de  los asentamientos humanos o a la economía del cambio tecnológico. Otro aspecto importante de esta clasificación es que reconoce a las ciencias de las artes y las letras donde se encuentra la</w:t>
      </w:r>
      <w:r>
        <w:rPr>
          <w:spacing w:val="-11"/>
        </w:rPr>
        <w:t> </w:t>
      </w:r>
      <w:r>
        <w:rPr/>
        <w:t>arquitectura.</w:t>
      </w:r>
    </w:p>
    <w:p>
      <w:pPr>
        <w:pStyle w:val="BodyText"/>
      </w:pPr>
    </w:p>
    <w:p>
      <w:pPr>
        <w:pStyle w:val="BodyText"/>
        <w:spacing w:line="360" w:lineRule="auto" w:before="142"/>
        <w:ind w:left="102" w:right="115"/>
        <w:jc w:val="both"/>
      </w:pPr>
      <w:r>
        <w:rPr/>
        <w:t>Otro aspecto de esta clasificación es que la planeación urbana es ubicada en las ciencias tecnológicas, por lo que de esta forma se resalta su vínculo entre la ciencia y la tecnología.</w:t>
      </w:r>
    </w:p>
    <w:p>
      <w:pPr>
        <w:spacing w:after="0" w:line="360" w:lineRule="auto"/>
        <w:jc w:val="both"/>
        <w:sectPr>
          <w:pgSz w:w="12240" w:h="15840"/>
          <w:pgMar w:header="0" w:footer="689" w:top="1420" w:bottom="880" w:left="1600" w:right="1580"/>
        </w:sectPr>
      </w:pPr>
    </w:p>
    <w:p>
      <w:pPr>
        <w:pStyle w:val="BodyText"/>
        <w:spacing w:line="360" w:lineRule="auto" w:before="54"/>
        <w:ind w:left="102" w:right="115"/>
        <w:jc w:val="both"/>
      </w:pPr>
      <w:r>
        <w:rPr/>
        <w:t>La clasificación de la UNESCO además de mostrarnos las disciplinas y reconocimiento de su división o especialización, también nos permite advertir el peso que han adquirido instituciones de validación del quehacer científico, las cuales tienen una condición de supranacionalidad.</w:t>
      </w:r>
    </w:p>
    <w:p>
      <w:pPr>
        <w:pStyle w:val="BodyText"/>
      </w:pPr>
    </w:p>
    <w:p>
      <w:pPr>
        <w:pStyle w:val="BodyText"/>
        <w:spacing w:line="360" w:lineRule="auto" w:before="142"/>
        <w:ind w:left="102" w:right="125"/>
        <w:jc w:val="both"/>
      </w:pPr>
      <w:r>
        <w:rPr/>
        <w:t>Así con este capítulo advertimos el origen de las disciplinas y el reconocimiento de ellas en un contexto donde la ciencia y tecnología confluyen, lo cual es un elemento sustancial para delimitar las disciplinas que están dentro de la IUL y las cuales serán mencionadas en el siguiente apartado.</w:t>
      </w:r>
    </w:p>
    <w:p>
      <w:pPr>
        <w:pStyle w:val="BodyText"/>
      </w:pPr>
    </w:p>
    <w:p>
      <w:pPr>
        <w:pStyle w:val="BodyText"/>
        <w:spacing w:line="360" w:lineRule="auto" w:before="142"/>
        <w:ind w:left="102" w:right="119"/>
        <w:jc w:val="both"/>
      </w:pPr>
      <w:r>
        <w:rPr/>
        <w:t>Así de las disciplinas que conforman la IUL podemos identificar a la sociología y economía como de las primeras disciplinas que constituyeron a la ciencia social, y como esto fue elemento sustancial para que se diera una demarcación frente a la arquitectura, es decir la ciudad como objeto de estudio fue reclamado por unas disciplinas.</w:t>
      </w:r>
    </w:p>
    <w:p>
      <w:pPr>
        <w:spacing w:after="0" w:line="360" w:lineRule="auto"/>
        <w:jc w:val="both"/>
        <w:sectPr>
          <w:pgSz w:w="12240" w:h="15840"/>
          <w:pgMar w:header="0" w:footer="689" w:top="1360" w:bottom="8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6"/>
        </w:rPr>
      </w:pPr>
    </w:p>
    <w:p>
      <w:pPr>
        <w:pStyle w:val="Heading1"/>
        <w:spacing w:before="70"/>
        <w:ind w:left="0" w:right="119"/>
        <w:jc w:val="right"/>
      </w:pPr>
      <w:r>
        <w:rPr/>
        <w:t>CAPÍTULO III</w:t>
      </w:r>
    </w:p>
    <w:p>
      <w:pPr>
        <w:spacing w:before="137"/>
        <w:ind w:left="0" w:right="118" w:firstLine="0"/>
        <w:jc w:val="right"/>
        <w:rPr>
          <w:b/>
          <w:sz w:val="24"/>
        </w:rPr>
      </w:pPr>
      <w:r>
        <w:rPr>
          <w:b/>
          <w:sz w:val="24"/>
        </w:rPr>
        <w:t>Investigación Urbana en Latinoamérica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186"/>
        <w:ind w:left="102" w:right="0" w:firstLine="0"/>
        <w:jc w:val="both"/>
        <w:rPr>
          <w:b/>
          <w:sz w:val="24"/>
        </w:rPr>
      </w:pPr>
      <w:r>
        <w:rPr>
          <w:b/>
          <w:sz w:val="24"/>
        </w:rPr>
        <w:t>Introducción de capítulo</w:t>
      </w:r>
    </w:p>
    <w:p>
      <w:pPr>
        <w:pStyle w:val="BodyText"/>
        <w:rPr>
          <w:b/>
        </w:rPr>
      </w:pPr>
    </w:p>
    <w:p>
      <w:pPr>
        <w:pStyle w:val="BodyText"/>
        <w:rPr>
          <w:b/>
        </w:rPr>
      </w:pPr>
    </w:p>
    <w:p>
      <w:pPr>
        <w:pStyle w:val="BodyText"/>
        <w:spacing w:line="360" w:lineRule="auto"/>
        <w:ind w:left="102" w:right="116"/>
        <w:jc w:val="both"/>
      </w:pPr>
      <w:r>
        <w:rPr/>
        <w:t>En este capítulo se retoman los trabajos de Kowarick (1990), Carrión (1990), Coraggio (1992), Lungo (1996), Schteingart (2000) y Méndez (2006) con  los cuales se identifica la complejidad de la investigación urbana.</w:t>
      </w:r>
    </w:p>
    <w:p>
      <w:pPr>
        <w:pStyle w:val="BodyText"/>
      </w:pPr>
    </w:p>
    <w:p>
      <w:pPr>
        <w:pStyle w:val="BodyText"/>
        <w:spacing w:line="360" w:lineRule="auto" w:before="142"/>
        <w:ind w:left="102" w:right="115"/>
        <w:jc w:val="both"/>
      </w:pPr>
      <w:r>
        <w:rPr/>
        <w:t>Se parte del urbanismo para identificar a la planeación territorial y los estudios urbanos que posteriormente se vincula a la sociología urbana como unas de las principales disciplinas dentro de la IUL, para lo cual se toma la propuesta de Almandoz (2003).</w:t>
      </w:r>
    </w:p>
    <w:p>
      <w:pPr>
        <w:spacing w:after="0" w:line="360" w:lineRule="auto"/>
        <w:jc w:val="both"/>
        <w:sectPr>
          <w:pgSz w:w="12240" w:h="15840"/>
          <w:pgMar w:header="0" w:footer="689" w:top="1500" w:bottom="880" w:left="1600" w:right="1580"/>
        </w:sectPr>
      </w:pPr>
    </w:p>
    <w:p>
      <w:pPr>
        <w:pStyle w:val="BodyText"/>
        <w:spacing w:line="360" w:lineRule="auto" w:before="54"/>
        <w:ind w:left="102" w:right="120"/>
        <w:jc w:val="both"/>
      </w:pPr>
      <w:r>
        <w:rPr/>
        <w:t>Hablar de la investigación urbana contemporánea latinoamericana nos remite a diversos problemas de estudio y a las formas en que fueron abordados, tal como lo demostró Garza (1996) en su libro </w:t>
      </w:r>
      <w:r>
        <w:rPr>
          <w:i/>
        </w:rPr>
        <w:t>Cincuenta años de investigación urbana y </w:t>
      </w:r>
      <w:r>
        <w:rPr>
          <w:i/>
        </w:rPr>
        <w:t>regional en México </w:t>
      </w:r>
      <w:r>
        <w:rPr/>
        <w:t>donde establece que cada disciplina subdivide los procesos espaciales para construir una concepción totalizadora de lo urbano y lo regional como objeto científico; Garza planteó que desde la sociología, antropología, urbanismo, demografía, geografía, historia y economía existen líneas de investigación predominantes  para un intervalo de</w:t>
      </w:r>
      <w:r>
        <w:rPr>
          <w:spacing w:val="-20"/>
        </w:rPr>
        <w:t> </w:t>
      </w:r>
      <w:r>
        <w:rPr/>
        <w:t>tiempo.</w:t>
      </w:r>
    </w:p>
    <w:p>
      <w:pPr>
        <w:pStyle w:val="BodyText"/>
      </w:pPr>
    </w:p>
    <w:p>
      <w:pPr>
        <w:pStyle w:val="BodyText"/>
        <w:spacing w:line="360" w:lineRule="auto" w:before="142"/>
        <w:ind w:left="102" w:right="119"/>
        <w:jc w:val="both"/>
      </w:pPr>
      <w:r>
        <w:rPr/>
        <w:t>Si bien, a partir de esta propuesta, podemos entender a la investigación urbana como el área que concentra el conocimiento en torno a procesos espaciales provenientes de varias disciplinas, nos lleva a preguntarnos ¿cómo hacer un estudio del conocimiento generado sobre los procesos espaciales? La respuesta podría darse desde dos caminos, primero se podría realizar tomando únicamente  a las disciplinas que han proclamado su </w:t>
      </w:r>
      <w:r>
        <w:rPr>
          <w:i/>
        </w:rPr>
        <w:t>hegemonía </w:t>
      </w:r>
      <w:r>
        <w:rPr/>
        <w:t>sobre este objeto de  </w:t>
      </w:r>
      <w:r>
        <w:rPr>
          <w:spacing w:val="3"/>
        </w:rPr>
        <w:t> </w:t>
      </w:r>
      <w:r>
        <w:rPr/>
        <w:t>estudio,</w:t>
      </w:r>
    </w:p>
    <w:p>
      <w:pPr>
        <w:pStyle w:val="BodyText"/>
        <w:spacing w:line="360" w:lineRule="auto" w:before="7"/>
        <w:ind w:left="102" w:right="120"/>
        <w:jc w:val="both"/>
      </w:pPr>
      <w:r>
        <w:rPr/>
        <w:t>—tal es el caso del urbanismo, estudios urbanos, planeación urbana, sociología urbana—, esto implicaría no perder de vista que entre estas disciplinas no hay una división clara.</w:t>
      </w:r>
    </w:p>
    <w:p>
      <w:pPr>
        <w:pStyle w:val="BodyText"/>
      </w:pPr>
    </w:p>
    <w:p>
      <w:pPr>
        <w:pStyle w:val="BodyText"/>
        <w:spacing w:line="360" w:lineRule="auto" w:before="142"/>
        <w:ind w:left="102" w:right="119"/>
        <w:jc w:val="both"/>
      </w:pPr>
      <w:r>
        <w:rPr/>
        <w:t>El segundo camino sería el tomar los objetos de estudio que han sido identificados con los procesos espaciales —ciudad, urbano, procesos urbanos, expansión urbana— y que desde diferentes enfoques teóricos metodológicos han sido abordados por varias disciplinas. Esto nos da una idea de la complejidad que lleva el realizar un estudio en torno a la investigación urbana para que al final podamos identificar sus </w:t>
      </w:r>
      <w:r>
        <w:rPr>
          <w:i/>
        </w:rPr>
        <w:t>nuevos </w:t>
      </w:r>
      <w:r>
        <w:rPr/>
        <w:t>marcos teóricos y metodológicos.</w:t>
      </w:r>
    </w:p>
    <w:p>
      <w:pPr>
        <w:pStyle w:val="BodyText"/>
      </w:pPr>
    </w:p>
    <w:p>
      <w:pPr>
        <w:pStyle w:val="Heading1"/>
        <w:numPr>
          <w:ilvl w:val="1"/>
          <w:numId w:val="7"/>
        </w:numPr>
        <w:tabs>
          <w:tab w:pos="573" w:val="left" w:leader="none"/>
        </w:tabs>
        <w:spacing w:line="240" w:lineRule="auto" w:before="144" w:after="0"/>
        <w:ind w:left="572" w:right="0" w:hanging="470"/>
        <w:jc w:val="both"/>
      </w:pPr>
      <w:r>
        <w:rPr/>
        <w:t>La investigación urbana en</w:t>
      </w:r>
      <w:r>
        <w:rPr>
          <w:spacing w:val="-10"/>
        </w:rPr>
        <w:t> </w:t>
      </w:r>
      <w:r>
        <w:rPr/>
        <w:t>Latinoamérica</w:t>
      </w:r>
    </w:p>
    <w:p>
      <w:pPr>
        <w:pStyle w:val="BodyText"/>
        <w:rPr>
          <w:b/>
        </w:rPr>
      </w:pPr>
    </w:p>
    <w:p>
      <w:pPr>
        <w:pStyle w:val="BodyText"/>
        <w:rPr>
          <w:b/>
        </w:rPr>
      </w:pPr>
    </w:p>
    <w:p>
      <w:pPr>
        <w:pStyle w:val="BodyText"/>
        <w:spacing w:line="360" w:lineRule="auto"/>
        <w:ind w:left="102" w:right="124"/>
        <w:jc w:val="both"/>
      </w:pPr>
      <w:r>
        <w:rPr/>
        <w:t>La literatura sobre el estado del arte de la investigación urbana en Latinoamérica nos permite reconocer que su abordaje se ha hecho desde diferentes perspectivas disciplinarias con marcos teóricos y referentes empíricos heterogéneos.</w:t>
      </w:r>
    </w:p>
    <w:p>
      <w:pPr>
        <w:spacing w:after="0" w:line="360" w:lineRule="auto"/>
        <w:jc w:val="both"/>
        <w:sectPr>
          <w:pgSz w:w="12240" w:h="15840"/>
          <w:pgMar w:header="0" w:footer="689" w:top="1360" w:bottom="880" w:left="1600" w:right="1580"/>
        </w:sectPr>
      </w:pPr>
    </w:p>
    <w:p>
      <w:pPr>
        <w:pStyle w:val="BodyText"/>
        <w:spacing w:before="7"/>
        <w:rPr>
          <w:sz w:val="22"/>
        </w:rPr>
      </w:pPr>
    </w:p>
    <w:p>
      <w:pPr>
        <w:pStyle w:val="BodyText"/>
        <w:spacing w:line="360" w:lineRule="auto" w:before="69"/>
        <w:ind w:left="102" w:right="114"/>
        <w:jc w:val="both"/>
      </w:pPr>
      <w:r>
        <w:rPr/>
        <w:t>Los trabajos de Kowarick (1990), Carrión (1990), Coraggio (1992), Lungo (1996), Schteingart (2000) y Méndez (2006) nos permiten advertir que la complejidad de la investigación urbana es generada principalmente por cuatro particularidades: 1). El número de aportaciones que se hacen desde diversas disciplinas; 2). Las diferentes formas en que se construyen los objetos de estudio y los problemas de investigación; 3). La temporalidad y espacialidad correspondiente a cada país, independientemente de las semejanzas socioeconómicas que pudieran encontrarse entre ellos; y 4). La influencia que pudieran tener las instituciones académicas así como de financiamiento sobre las agendas de investigación.</w:t>
      </w:r>
    </w:p>
    <w:p>
      <w:pPr>
        <w:pStyle w:val="BodyText"/>
      </w:pPr>
    </w:p>
    <w:p>
      <w:pPr>
        <w:pStyle w:val="BodyText"/>
        <w:spacing w:line="360" w:lineRule="auto" w:before="142"/>
        <w:ind w:left="102" w:right="115"/>
        <w:jc w:val="both"/>
      </w:pPr>
      <w:r>
        <w:rPr/>
        <w:t>A la par de los trabajos que abarcan a toda Latinoamérica también se han elaborado estudios con orientación más nacional que, según González (2003:134), “recibieron como principal crítica el que tuvieran una visión </w:t>
      </w:r>
      <w:r>
        <w:rPr>
          <w:i/>
        </w:rPr>
        <w:t>localista</w:t>
      </w:r>
      <w:r>
        <w:rPr/>
        <w:t>”; de los cuales el autor pone como ejemplo las investigaciones de Gustavo Garza (1996), Emilio Duhau (1991 y 1992), Manuel Perló (1990) y Araceli Damián (1991) para el caso de México; para Brasil y Venezuela destacan los trabajos de Licia Valladares (1995) y Alberto Lovera (1992) respectivamente.</w:t>
      </w:r>
    </w:p>
    <w:p>
      <w:pPr>
        <w:pStyle w:val="BodyText"/>
      </w:pPr>
    </w:p>
    <w:p>
      <w:pPr>
        <w:pStyle w:val="BodyText"/>
        <w:spacing w:line="360" w:lineRule="auto" w:before="142"/>
        <w:ind w:left="102" w:right="115"/>
        <w:jc w:val="both"/>
      </w:pPr>
      <w:r>
        <w:rPr/>
        <w:t>A partir de estos dos tipos de investigación podemos observar que la delimitación de la investigación urbana se enfrenta a dos problemas: 1) Definir si es una disciplina científica con objeto propio o la convergencia de disciplinas científicas,</w:t>
      </w:r>
      <w:r>
        <w:rPr>
          <w:spacing w:val="63"/>
        </w:rPr>
        <w:t> </w:t>
      </w:r>
      <w:r>
        <w:rPr/>
        <w:t>y</w:t>
      </w:r>
    </w:p>
    <w:p>
      <w:pPr>
        <w:pStyle w:val="ListParagraph"/>
        <w:numPr>
          <w:ilvl w:val="0"/>
          <w:numId w:val="8"/>
        </w:numPr>
        <w:tabs>
          <w:tab w:pos="383" w:val="left" w:leader="none"/>
        </w:tabs>
        <w:spacing w:line="240" w:lineRule="auto" w:before="2" w:after="0"/>
        <w:ind w:left="382" w:right="0" w:hanging="280"/>
        <w:jc w:val="both"/>
        <w:rPr>
          <w:sz w:val="24"/>
        </w:rPr>
      </w:pPr>
      <w:r>
        <w:rPr>
          <w:sz w:val="24"/>
        </w:rPr>
        <w:t>El establecimiento del objeto de</w:t>
      </w:r>
      <w:r>
        <w:rPr>
          <w:spacing w:val="-8"/>
          <w:sz w:val="24"/>
        </w:rPr>
        <w:t> </w:t>
      </w:r>
      <w:r>
        <w:rPr>
          <w:sz w:val="24"/>
        </w:rPr>
        <w:t>estudio.</w:t>
      </w:r>
    </w:p>
    <w:p>
      <w:pPr>
        <w:pStyle w:val="BodyText"/>
      </w:pPr>
    </w:p>
    <w:p>
      <w:pPr>
        <w:pStyle w:val="BodyText"/>
      </w:pPr>
    </w:p>
    <w:p>
      <w:pPr>
        <w:pStyle w:val="BodyText"/>
        <w:spacing w:line="360" w:lineRule="auto"/>
        <w:ind w:left="102" w:right="115"/>
        <w:jc w:val="both"/>
      </w:pPr>
      <w:r>
        <w:rPr/>
        <w:t>Para el primer punto, es necesario referirnos a Coraggio (1992) como uno de los principales autores que planteó la interrogante si la investigación urbana era </w:t>
      </w:r>
      <w:r>
        <w:rPr>
          <w:spacing w:val="-2"/>
        </w:rPr>
        <w:t>una </w:t>
      </w:r>
      <w:r>
        <w:rPr/>
        <w:t>disciplina científica con objeto propio o la convergencia de varias de ellas. Coraggio no quiso entrar a fondo en esta discusión y estableció</w:t>
      </w:r>
      <w:r>
        <w:rPr>
          <w:spacing w:val="-21"/>
        </w:rPr>
        <w:t> </w:t>
      </w:r>
      <w:r>
        <w:rPr/>
        <w:t>que,</w:t>
      </w:r>
    </w:p>
    <w:p>
      <w:pPr>
        <w:pStyle w:val="BodyText"/>
        <w:spacing w:before="10"/>
        <w:rPr>
          <w:sz w:val="35"/>
        </w:rPr>
      </w:pPr>
    </w:p>
    <w:p>
      <w:pPr>
        <w:pStyle w:val="BodyText"/>
        <w:ind w:left="891" w:right="923"/>
        <w:jc w:val="both"/>
      </w:pPr>
      <w:r>
        <w:rPr/>
        <w:t>“no genera mayores aportes el hacer una diferenciación respecto a si es la suma de investigaciones correspondientes a una ciencia particular, que podría llamarse “ciencia urbana”, o si es un campo</w:t>
      </w:r>
    </w:p>
    <w:p>
      <w:pPr>
        <w:spacing w:after="0"/>
        <w:jc w:val="both"/>
        <w:sectPr>
          <w:pgSz w:w="12240" w:h="15840"/>
          <w:pgMar w:header="0" w:footer="689" w:top="1500" w:bottom="880" w:left="1600" w:right="1580"/>
        </w:sectPr>
      </w:pPr>
    </w:p>
    <w:p>
      <w:pPr>
        <w:pStyle w:val="BodyText"/>
        <w:spacing w:before="52"/>
        <w:ind w:left="911" w:right="926"/>
        <w:jc w:val="both"/>
      </w:pPr>
      <w:r>
        <w:rPr/>
        <w:t>de aplicación de teorías producidas por diversas ciencias sociales (sociología urbana, economía urbana, ecología urbana)” (Coraggio, 1992, s/n).</w:t>
      </w:r>
    </w:p>
    <w:p>
      <w:pPr>
        <w:pStyle w:val="BodyText"/>
      </w:pPr>
    </w:p>
    <w:p>
      <w:pPr>
        <w:pStyle w:val="BodyText"/>
        <w:spacing w:line="352" w:lineRule="auto" w:before="141"/>
        <w:ind w:left="122" w:right="116"/>
        <w:jc w:val="both"/>
      </w:pPr>
      <w:r>
        <w:rPr/>
        <w:t>Sin embargo Coraggio hace algunas referencias a la generación de una disciplina para superar los problemas teóricos y prácticos que enfrentaban las disciplinas convencionales y la nombró como estudios urbanos; esta propuesta pretendía ser la suma de varias disciplinas a manera de una metadisciplina.</w:t>
      </w:r>
      <w:r>
        <w:rPr>
          <w:position w:val="11"/>
          <w:sz w:val="16"/>
        </w:rPr>
        <w:t>8 </w:t>
      </w:r>
      <w:r>
        <w:rPr/>
        <w:t>Finalmente Coraggio reconoció, según González (2003), que “la investigación urbana es un</w:t>
      </w:r>
    </w:p>
    <w:p>
      <w:pPr>
        <w:pStyle w:val="BodyText"/>
        <w:spacing w:line="360" w:lineRule="auto" w:before="11"/>
        <w:ind w:left="122" w:right="126"/>
        <w:jc w:val="both"/>
      </w:pPr>
      <w:r>
        <w:rPr/>
        <w:t>área de aplicación y encuentro de disciplinas científicas más que una disciplina con objeto propio” (González, 2003: 141). En este</w:t>
      </w:r>
      <w:r>
        <w:rPr>
          <w:spacing w:val="-18"/>
        </w:rPr>
        <w:t> </w:t>
      </w:r>
      <w:r>
        <w:rPr/>
        <w:t>sentido,</w:t>
      </w:r>
    </w:p>
    <w:p>
      <w:pPr>
        <w:pStyle w:val="BodyText"/>
      </w:pPr>
    </w:p>
    <w:p>
      <w:pPr>
        <w:pStyle w:val="BodyText"/>
        <w:spacing w:before="139"/>
        <w:ind w:left="1091" w:right="922"/>
        <w:jc w:val="both"/>
      </w:pPr>
      <w:r>
        <w:rPr/>
        <w:t>“… la problemática urbana engloba una gran cantidad de temas heterogéneos, que van desde los movimientos sociales y la pobreza, pasando por los fenómenos de segregación y marginalidad, hasta los diferentes tipos de urbanización y las políticas públicas. En segundo lugar, los procesos urbanos no constituyen un objeto analítico que tenga un cuerpo teórico definido. Por ello no existen las ciencias urbanas, sino que hay múltiples disciplinas que investigan y analizan este conjunto amplio y diverso de fenómenos físicos, económicos, sociales, culturales y políticos”  (Veiga, 2000: 27)</w:t>
      </w:r>
    </w:p>
    <w:p>
      <w:pPr>
        <w:pStyle w:val="BodyText"/>
      </w:pPr>
    </w:p>
    <w:p>
      <w:pPr>
        <w:pStyle w:val="BodyText"/>
        <w:spacing w:line="360" w:lineRule="auto" w:before="139"/>
        <w:ind w:left="122" w:right="119"/>
        <w:jc w:val="both"/>
      </w:pPr>
      <w:r>
        <w:rPr/>
        <w:t>De esta forma, partimos de que la investigación urbana es el agregado de todos los trabajos de investigación provenientes de varias disciplinas y por lo tanto no se podría considerar como una disciplina, o metadisciplina, por la dificultad que involucra el integrar teorías y herramientas de análisis que fueron generados para una disciplina en</w:t>
      </w:r>
      <w:r>
        <w:rPr>
          <w:spacing w:val="-11"/>
        </w:rPr>
        <w:t> </w:t>
      </w:r>
      <w:r>
        <w:rPr/>
        <w:t>específico.</w:t>
      </w:r>
    </w:p>
    <w:p>
      <w:pPr>
        <w:pStyle w:val="BodyText"/>
      </w:pPr>
    </w:p>
    <w:p>
      <w:pPr>
        <w:pStyle w:val="BodyText"/>
        <w:spacing w:line="360" w:lineRule="auto" w:before="142"/>
        <w:ind w:left="122" w:right="116"/>
        <w:jc w:val="both"/>
      </w:pPr>
      <w:r>
        <w:rPr/>
        <w:t>Un segundo problema para el estudio de la investigación urbana es la identificación de los objetos de estudio de las disciplinas que confluyen, para lo cual es necesario establecer que el objeto de estudio de estas disciplinas  </w:t>
      </w:r>
      <w:r>
        <w:rPr>
          <w:spacing w:val="63"/>
        </w:rPr>
        <w:t> </w:t>
      </w:r>
      <w:r>
        <w:rPr/>
        <w:t>surgen</w:t>
      </w:r>
    </w:p>
    <w:p>
      <w:pPr>
        <w:pStyle w:val="BodyText"/>
        <w:spacing w:before="5"/>
        <w:rPr>
          <w:sz w:val="21"/>
        </w:rPr>
      </w:pPr>
      <w:r>
        <w:rPr/>
        <w:pict>
          <v:line style="position:absolute;mso-position-horizontal-relative:page;mso-position-vertical-relative:paragraph;z-index:1408;mso-wrap-distance-left:0;mso-wrap-distance-right:0" from="85.103996pt,14.573889pt" to="229.123996pt,14.573889pt" stroked="true" strokeweight=".60004pt" strokecolor="#000000">
            <w10:wrap type="topAndBottom"/>
          </v:line>
        </w:pict>
      </w:r>
    </w:p>
    <w:p>
      <w:pPr>
        <w:spacing w:before="44"/>
        <w:ind w:left="122" w:right="118" w:firstLine="0"/>
        <w:jc w:val="both"/>
        <w:rPr>
          <w:sz w:val="20"/>
        </w:rPr>
      </w:pPr>
      <w:r>
        <w:rPr>
          <w:position w:val="10"/>
          <w:sz w:val="13"/>
        </w:rPr>
        <w:t>8 </w:t>
      </w:r>
      <w:r>
        <w:rPr>
          <w:sz w:val="20"/>
        </w:rPr>
        <w:t>En caso de que la investigación urbana tomara el papel de una metadisciplina entonces debería generar conocimiento desde el nivel de las teorías y herramientas generadas por cada una de las disciplinas y, por si fuera poco, contar con un sustento empírico; aquí es prudente resaltar que la intención de este trabajo no es definir si la investigación urbana es o no una metadisciplina ya que partimos del enfoque contrario.</w:t>
      </w:r>
    </w:p>
    <w:p>
      <w:pPr>
        <w:spacing w:after="0"/>
        <w:jc w:val="both"/>
        <w:rPr>
          <w:sz w:val="20"/>
        </w:rPr>
        <w:sectPr>
          <w:pgSz w:w="12240" w:h="15840"/>
          <w:pgMar w:header="0" w:footer="689" w:top="1360" w:bottom="880" w:left="1580" w:right="1580"/>
        </w:sectPr>
      </w:pPr>
    </w:p>
    <w:p>
      <w:pPr>
        <w:pStyle w:val="BodyText"/>
        <w:spacing w:line="360" w:lineRule="auto" w:before="54"/>
        <w:ind w:left="102" w:right="374"/>
      </w:pPr>
      <w:r>
        <w:rPr/>
        <w:t>de la integración entre espacio físico (llámese territorio) y los procesos sociales que se realizan en él (económicos, ambientales y culturales) (véase figura</w:t>
      </w:r>
      <w:r>
        <w:rPr>
          <w:spacing w:val="-21"/>
        </w:rPr>
        <w:t> </w:t>
      </w:r>
      <w:r>
        <w:rPr/>
        <w:t>10).</w:t>
      </w:r>
    </w:p>
    <w:p>
      <w:pPr>
        <w:pStyle w:val="BodyText"/>
      </w:pPr>
    </w:p>
    <w:p>
      <w:pPr>
        <w:pStyle w:val="Heading1"/>
        <w:spacing w:before="139"/>
        <w:ind w:left="101" w:right="117"/>
      </w:pPr>
      <w:r>
        <w:rPr/>
        <w:t>Figura 9</w:t>
      </w:r>
    </w:p>
    <w:p>
      <w:pPr>
        <w:spacing w:before="0"/>
        <w:ind w:left="97" w:right="117" w:firstLine="0"/>
        <w:jc w:val="center"/>
        <w:rPr>
          <w:b/>
          <w:sz w:val="24"/>
        </w:rPr>
      </w:pPr>
      <w:r>
        <w:rPr>
          <w:b/>
          <w:sz w:val="24"/>
        </w:rPr>
        <w:t>Objeto de estudio de la Investigación Urbana</w:t>
      </w:r>
    </w:p>
    <w:p>
      <w:pPr>
        <w:pStyle w:val="BodyText"/>
        <w:rPr>
          <w:b/>
          <w:sz w:val="20"/>
        </w:rPr>
      </w:pPr>
    </w:p>
    <w:p>
      <w:pPr>
        <w:pStyle w:val="BodyText"/>
        <w:spacing w:before="10"/>
        <w:rPr>
          <w:b/>
          <w:sz w:val="12"/>
        </w:rPr>
      </w:pPr>
      <w:r>
        <w:rPr/>
        <w:drawing>
          <wp:anchor distT="0" distB="0" distL="0" distR="0" allowOverlap="1" layoutInCell="1" locked="0" behindDoc="0" simplePos="0" relativeHeight="1432">
            <wp:simplePos x="0" y="0"/>
            <wp:positionH relativeFrom="page">
              <wp:posOffset>2735960</wp:posOffset>
            </wp:positionH>
            <wp:positionV relativeFrom="paragraph">
              <wp:posOffset>119100</wp:posOffset>
            </wp:positionV>
            <wp:extent cx="2322173" cy="2707386"/>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20" cstate="print"/>
                    <a:stretch>
                      <a:fillRect/>
                    </a:stretch>
                  </pic:blipFill>
                  <pic:spPr>
                    <a:xfrm>
                      <a:off x="0" y="0"/>
                      <a:ext cx="2322173" cy="2707386"/>
                    </a:xfrm>
                    <a:prstGeom prst="rect">
                      <a:avLst/>
                    </a:prstGeom>
                  </pic:spPr>
                </pic:pic>
              </a:graphicData>
            </a:graphic>
          </wp:anchor>
        </w:drawing>
      </w:r>
    </w:p>
    <w:p>
      <w:pPr>
        <w:pStyle w:val="BodyText"/>
        <w:spacing w:before="69"/>
        <w:ind w:left="589"/>
      </w:pPr>
      <w:r>
        <w:rPr/>
        <w:t>Fuente: Elaboración propia a partir de Coraggio (1992) y González (2003)</w:t>
      </w:r>
    </w:p>
    <w:p>
      <w:pPr>
        <w:pStyle w:val="BodyText"/>
      </w:pPr>
    </w:p>
    <w:p>
      <w:pPr>
        <w:pStyle w:val="BodyText"/>
      </w:pPr>
    </w:p>
    <w:p>
      <w:pPr>
        <w:pStyle w:val="BodyText"/>
        <w:spacing w:line="360" w:lineRule="auto"/>
        <w:ind w:left="102" w:right="115"/>
        <w:jc w:val="both"/>
      </w:pPr>
      <w:r>
        <w:rPr/>
        <w:pict>
          <v:line style="position:absolute;mso-position-horizontal-relative:page;mso-position-vertical-relative:paragraph;z-index:-400648" from="364.75pt,-41.304131pt" to="364.75pt,-27.504131pt" stroked="true" strokeweight="3.36pt" strokecolor="#9bba58">
            <w10:wrap type="none"/>
          </v:line>
        </w:pict>
      </w:r>
      <w:r>
        <w:rPr/>
        <w:t>En este sentido la investigación urbana tiene un referente físico espacial que se liga a los procesos sociales, esta relación se ha conceptuado al definir </w:t>
      </w:r>
      <w:r>
        <w:rPr>
          <w:i/>
        </w:rPr>
        <w:t>lo urbano, </w:t>
      </w:r>
      <w:r>
        <w:rPr/>
        <w:t>en la cual Coraggio (1992) advirtió dos inconvenientes:</w:t>
      </w:r>
    </w:p>
    <w:p>
      <w:pPr>
        <w:pStyle w:val="BodyText"/>
      </w:pPr>
    </w:p>
    <w:p>
      <w:pPr>
        <w:pStyle w:val="BodyText"/>
        <w:spacing w:line="360" w:lineRule="auto" w:before="142"/>
        <w:ind w:left="102" w:right="116"/>
        <w:jc w:val="both"/>
      </w:pPr>
      <w:r>
        <w:rPr/>
        <w:t>El primero es el aspecto empírico, en el que hay una limitación metodológica al tomar como referencia el área y los límites físicos de una ciudad para designar </w:t>
      </w:r>
      <w:r>
        <w:rPr>
          <w:i/>
        </w:rPr>
        <w:t>lo </w:t>
      </w:r>
      <w:r>
        <w:rPr>
          <w:i/>
        </w:rPr>
        <w:t>urbano</w:t>
      </w:r>
      <w:r>
        <w:rPr/>
        <w:t>, —aquí cabe agregar que lo rural quedaría fuera de la investigación urbana—, pasa lo mismo cuando se considera únicamente la concentración de la población.</w:t>
      </w:r>
    </w:p>
    <w:p>
      <w:pPr>
        <w:pStyle w:val="BodyText"/>
      </w:pPr>
    </w:p>
    <w:p>
      <w:pPr>
        <w:pStyle w:val="BodyText"/>
        <w:spacing w:line="360" w:lineRule="auto" w:before="142"/>
        <w:ind w:left="102" w:right="118"/>
        <w:jc w:val="both"/>
      </w:pPr>
      <w:r>
        <w:rPr/>
        <w:t>En segundo lugar están los propios procesos socioeconómicos en los que se reduce la complejidad de la realidad al no identificar que algunos de ellos se dan fuera  de  la  ciudad  y,  en  consecuencia,  serían  excluidos  de  los  temas       de</w:t>
      </w:r>
    </w:p>
    <w:p>
      <w:pPr>
        <w:spacing w:after="0" w:line="360" w:lineRule="auto"/>
        <w:jc w:val="both"/>
        <w:sectPr>
          <w:pgSz w:w="12240" w:h="15840"/>
          <w:pgMar w:header="0" w:footer="689" w:top="1360" w:bottom="880" w:left="1600" w:right="1580"/>
        </w:sectPr>
      </w:pPr>
    </w:p>
    <w:p>
      <w:pPr>
        <w:pStyle w:val="BodyText"/>
        <w:spacing w:line="360" w:lineRule="auto" w:before="54"/>
        <w:ind w:left="102" w:right="124"/>
        <w:jc w:val="both"/>
      </w:pPr>
      <w:r>
        <w:rPr/>
        <w:t>investigación. Así si “se adopta el punto de vista de que nuestro objeto de investigación son los procesos, estructuras y fenómenos en que se insertan los habitantes de las ciudades, el campo de trabajo se vuelve excesivamente amplio” (Coraggio, 1992, s/n).</w:t>
      </w:r>
    </w:p>
    <w:p>
      <w:pPr>
        <w:pStyle w:val="BodyText"/>
      </w:pPr>
    </w:p>
    <w:p>
      <w:pPr>
        <w:pStyle w:val="BodyText"/>
        <w:spacing w:line="360" w:lineRule="auto" w:before="142"/>
        <w:ind w:left="102" w:right="115"/>
        <w:jc w:val="both"/>
      </w:pPr>
      <w:r>
        <w:rPr/>
        <w:t>Otro aspecto que resalta Coraggio (1992) es que la investigación urbana es definida a partir de los investigadores que participan en ella, ya que “la  constitución de un objeto de estudio va acompañada de procesos subjetivos de constitución y cambio de la denominada comunidad científica” (Coraggio, 1992, s/n). Ya que “dos elementos son fundamentales para el desarrollo de un área del conocimiento: a) la existencia de investigadores, recursos y mecanismos para la realización, y b) la divulgación de la investigación” (Salazar,</w:t>
      </w:r>
      <w:r>
        <w:rPr>
          <w:spacing w:val="-21"/>
        </w:rPr>
        <w:t> </w:t>
      </w:r>
      <w:r>
        <w:rPr/>
        <w:t>2009:58).</w:t>
      </w:r>
    </w:p>
    <w:p>
      <w:pPr>
        <w:pStyle w:val="BodyText"/>
      </w:pPr>
    </w:p>
    <w:p>
      <w:pPr>
        <w:pStyle w:val="BodyText"/>
        <w:spacing w:before="142"/>
        <w:ind w:left="102"/>
        <w:jc w:val="both"/>
      </w:pPr>
      <w:r>
        <w:rPr/>
        <w:t>Entonces esto implica que,</w:t>
      </w:r>
    </w:p>
    <w:p>
      <w:pPr>
        <w:pStyle w:val="BodyText"/>
      </w:pPr>
    </w:p>
    <w:p>
      <w:pPr>
        <w:pStyle w:val="BodyText"/>
        <w:spacing w:before="9"/>
        <w:rPr>
          <w:sz w:val="23"/>
        </w:rPr>
      </w:pPr>
    </w:p>
    <w:p>
      <w:pPr>
        <w:pStyle w:val="BodyText"/>
        <w:ind w:left="918" w:right="983"/>
        <w:jc w:val="both"/>
      </w:pPr>
      <w:r>
        <w:rPr/>
        <w:t>“la aceptación del abordaje de un problema de investigación en una </w:t>
      </w:r>
      <w:r>
        <w:rPr>
          <w:i/>
        </w:rPr>
        <w:t>ciencia normal</w:t>
      </w:r>
      <w:r>
        <w:rPr/>
        <w:t>, no depende de la correspondencia existente entre el objeto de investigación construido como problema y los objetos reales aludidos en el objeto de investigación, sino a la presencia en la conciencia de los científicos de los referentes de la teoría a la cual pertenece el problema. El problema se presenta como una relación de correspondencia entre la teorización y lo real, porque tal relación es establecida por los componentes de la conciencia y lo real y no por los componentes de la teorización y lo real pues éste no es otra cosa que lo expresado por la teorización en cuestión. ” (Covarrubias,</w:t>
      </w:r>
      <w:r>
        <w:rPr>
          <w:spacing w:val="-10"/>
        </w:rPr>
        <w:t> </w:t>
      </w:r>
      <w:r>
        <w:rPr/>
        <w:t>2010:17).</w:t>
      </w:r>
    </w:p>
    <w:p>
      <w:pPr>
        <w:pStyle w:val="BodyText"/>
      </w:pPr>
    </w:p>
    <w:p>
      <w:pPr>
        <w:pStyle w:val="BodyText"/>
        <w:spacing w:line="360" w:lineRule="auto" w:before="140"/>
        <w:ind w:left="102" w:right="117"/>
        <w:jc w:val="both"/>
      </w:pPr>
      <w:r>
        <w:rPr/>
        <w:t>En este sentido, continuando con Covarrubias (2010), si bien el investigador científico construye un marco teórico para explicar un problema, el cual es generado a partir de su experiencia y forma de interpretar la teoría; entonces para el caso de la IUL significa que nos enfrentamos a “la conflictiva relación de la investigación urbana con la modificación de la cuestión urbana, la cual conduce a la discusión respecto del modelo de «comunidad académica» y de la  eficacia social que posee” (Carrión, 1991:120). Entonces la investigación urbana, como actividad  científica  no sólo  enfrentará  problemas al interior de  su    construcción</w:t>
      </w:r>
    </w:p>
    <w:p>
      <w:pPr>
        <w:spacing w:after="0" w:line="360" w:lineRule="auto"/>
        <w:jc w:val="both"/>
        <w:sectPr>
          <w:pgSz w:w="12240" w:h="15840"/>
          <w:pgMar w:header="0" w:footer="689" w:top="1360" w:bottom="880" w:left="1600" w:right="1580"/>
        </w:sectPr>
      </w:pPr>
    </w:p>
    <w:p>
      <w:pPr>
        <w:pStyle w:val="BodyText"/>
        <w:spacing w:line="360" w:lineRule="auto" w:before="54"/>
        <w:ind w:left="102" w:right="125"/>
        <w:jc w:val="both"/>
      </w:pPr>
      <w:r>
        <w:rPr/>
        <w:t>teórica, sino además al exterior, provenientes de la misma práctica de la investigación,</w:t>
      </w:r>
    </w:p>
    <w:p>
      <w:pPr>
        <w:pStyle w:val="BodyText"/>
      </w:pPr>
    </w:p>
    <w:p>
      <w:pPr>
        <w:pStyle w:val="BodyText"/>
        <w:spacing w:before="139"/>
        <w:ind w:left="918" w:right="982"/>
        <w:jc w:val="both"/>
      </w:pPr>
      <w:r>
        <w:rPr/>
        <w:t>“el agotamiento de un modelo cerrado de producción de conocimientos basado en el autoconsumo y como consecuencia  de una ausencia relevante de prácticas de gestión social; la crisis de los paradigmas en los que se ubica la investigación urbana; el seguimiento de modas y «novedades» más por estar en los umbrales de la «discusión» y por captar fondos que por buscar explicaciones y soluciones a los problemas urbanos” (Carrión, 1991:120).</w:t>
      </w:r>
    </w:p>
    <w:p>
      <w:pPr>
        <w:pStyle w:val="BodyText"/>
      </w:pPr>
    </w:p>
    <w:p>
      <w:pPr>
        <w:pStyle w:val="BodyText"/>
        <w:spacing w:line="360" w:lineRule="auto" w:before="139"/>
        <w:ind w:left="102" w:right="117"/>
        <w:jc w:val="both"/>
      </w:pPr>
      <w:r>
        <w:rPr/>
        <w:t>En esta relación entre la teorización y lo real, González (2003:138) plantea que el “paradigma del desarrollo dio lugar a una generación de investigadores urbanos interesados en convencer a los gobernantes para que instauraran una nueva racionalidad objetiva en las ciudades. El paradigma revolucionario, por su parte, dio lugar a un conjunto de investigadores urbanos que ponían su conocimiento al servicio de la construcción de sujetos sociales portadores de una nueva racionalidad”.</w:t>
      </w:r>
    </w:p>
    <w:p>
      <w:pPr>
        <w:pStyle w:val="BodyText"/>
      </w:pPr>
    </w:p>
    <w:p>
      <w:pPr>
        <w:pStyle w:val="BodyText"/>
        <w:spacing w:line="360" w:lineRule="auto" w:before="142"/>
        <w:ind w:left="102" w:right="119"/>
        <w:jc w:val="both"/>
      </w:pPr>
      <w:r>
        <w:rPr/>
        <w:t>Lungo (1996) planteó que en la década de los años 70 la investigación urbana buscaba explicaciones integrales mientras que para la década de los años 80 hay un proceso inverso y los estudios son orientados a la investigación de problemas específicos. Para la década de los años 90 se refuerza la tendencia de estudios sectoriales. Mientras que para “los últimos años del siglo XX, y los primeros del siglo XXI, [hay una] reconstitución del campo de investigación que incorpora nuevos contextos de estudio y referentes interpretativos“(Cuervo, 2012:51)</w:t>
      </w:r>
    </w:p>
    <w:p>
      <w:pPr>
        <w:spacing w:after="0" w:line="360" w:lineRule="auto"/>
        <w:jc w:val="both"/>
        <w:sectPr>
          <w:pgSz w:w="12240" w:h="15840"/>
          <w:pgMar w:header="0" w:footer="689" w:top="1360" w:bottom="880" w:left="1600" w:right="1580"/>
        </w:sectPr>
      </w:pPr>
    </w:p>
    <w:p>
      <w:pPr>
        <w:pStyle w:val="BodyText"/>
        <w:spacing w:before="52"/>
        <w:ind w:left="918" w:right="982"/>
        <w:jc w:val="both"/>
      </w:pPr>
      <w:r>
        <w:rPr/>
        <w:t>“Desde los años 70 y con una visión crítica, varios estudios intentaron elaborar una explicación integral y totalizante de los procesos urbanos [como por ejemplo los de Angiotti, 1987]. Estos ensayos de explicación global eran el lado opuesto de los estudios hechos por los técnicos de la planificación urbana que elaboraban numerosos diagnósticos generales sobre las ciudades para fundamentar los planes de desarrollo urbano. Ambos enfoques, divergentes y completamente disociados, no lograron captar a plenitud las dinámicas a través de las cuales los distintos sectores urbanos fueron construyendo las ciudades” (Lungo,1996:697)</w:t>
      </w:r>
    </w:p>
    <w:p>
      <w:pPr>
        <w:pStyle w:val="BodyText"/>
      </w:pPr>
    </w:p>
    <w:p>
      <w:pPr>
        <w:pStyle w:val="BodyText"/>
        <w:spacing w:line="360" w:lineRule="auto" w:before="142"/>
        <w:ind w:left="102" w:right="112"/>
        <w:jc w:val="both"/>
      </w:pPr>
      <w:r>
        <w:rPr/>
        <w:t>Según González (2003:138) “la investigación urbana perdió interés en estudiar las estructuras generales de la sociedad al final de la década de los años ochenta y  se comenzó a conformar con el estudio de los fenómenos ‘micro’, cotidianos, </w:t>
      </w:r>
      <w:r>
        <w:rPr>
          <w:spacing w:val="4"/>
        </w:rPr>
        <w:t>no- </w:t>
      </w:r>
      <w:r>
        <w:rPr/>
        <w:t>políticos”; este autor considera que este cambio no se debió a un avance en los marcos teóricos sino correspondió a las tendencias marcadas por organismos internacionales.</w:t>
      </w:r>
    </w:p>
    <w:p>
      <w:pPr>
        <w:pStyle w:val="BodyText"/>
      </w:pPr>
    </w:p>
    <w:p>
      <w:pPr>
        <w:pStyle w:val="BodyText"/>
        <w:spacing w:line="360" w:lineRule="auto" w:before="142"/>
        <w:ind w:left="102" w:right="116"/>
        <w:jc w:val="both"/>
      </w:pPr>
      <w:r>
        <w:rPr/>
        <w:t>En este sentido es importante mencionar que en 1996 en Estambul, se realiza Conferencia de Naciones </w:t>
      </w:r>
      <w:r>
        <w:rPr>
          <w:i/>
        </w:rPr>
        <w:t>Unidas para los Asentamientos Humanos Habitat II </w:t>
      </w:r>
      <w:r>
        <w:rPr>
          <w:spacing w:val="-2"/>
        </w:rPr>
        <w:t>que </w:t>
      </w:r>
      <w:r>
        <w:rPr/>
        <w:t>genera un cambio en la forma de hacer investigación urbana, para autores como Stren y Hardoy (citados en González, 2003:142) plantearon que desde este hecho “la preocupación central ya no son los objetos de estudio o los paradigmas, sino las agendas de investigación” (González, 2003:142). En este contexto para González (2003) la agenda de investigación está vinculada a los siguientes</w:t>
      </w:r>
      <w:r>
        <w:rPr>
          <w:spacing w:val="23"/>
        </w:rPr>
        <w:t> </w:t>
      </w:r>
      <w:r>
        <w:rPr/>
        <w:t>temas:</w:t>
      </w:r>
    </w:p>
    <w:p>
      <w:pPr>
        <w:pStyle w:val="ListParagraph"/>
        <w:numPr>
          <w:ilvl w:val="1"/>
          <w:numId w:val="8"/>
        </w:numPr>
        <w:tabs>
          <w:tab w:pos="426" w:val="left" w:leader="none"/>
        </w:tabs>
        <w:spacing w:line="360" w:lineRule="auto" w:before="5" w:after="0"/>
        <w:ind w:left="102" w:right="124" w:firstLine="0"/>
        <w:jc w:val="both"/>
        <w:rPr>
          <w:sz w:val="24"/>
        </w:rPr>
      </w:pPr>
      <w:r>
        <w:rPr>
          <w:sz w:val="24"/>
        </w:rPr>
        <w:t>El impacto de la economía mundial en los patrones de urbanización, b) Las características de la nueva estructura económica de las ciudades, c) Metodologías para medir y cuantificar la pobreza urbana, d) Gobernabilidad y poderes locales  </w:t>
      </w:r>
      <w:r>
        <w:rPr>
          <w:spacing w:val="11"/>
          <w:sz w:val="24"/>
        </w:rPr>
        <w:t> </w:t>
      </w:r>
      <w:r>
        <w:rPr>
          <w:sz w:val="24"/>
        </w:rPr>
        <w:t>y</w:t>
      </w:r>
    </w:p>
    <w:p>
      <w:pPr>
        <w:pStyle w:val="BodyText"/>
        <w:spacing w:before="2"/>
        <w:ind w:left="102"/>
        <w:jc w:val="both"/>
      </w:pPr>
      <w:r>
        <w:rPr/>
        <w:t>e) Medio ambiente y desarrollo sustentable.</w:t>
      </w:r>
    </w:p>
    <w:p>
      <w:pPr>
        <w:pStyle w:val="BodyText"/>
      </w:pPr>
    </w:p>
    <w:p>
      <w:pPr>
        <w:pStyle w:val="BodyText"/>
      </w:pPr>
    </w:p>
    <w:p>
      <w:pPr>
        <w:pStyle w:val="BodyText"/>
        <w:spacing w:line="360" w:lineRule="auto"/>
        <w:ind w:left="102" w:right="118"/>
        <w:jc w:val="both"/>
      </w:pPr>
      <w:r>
        <w:rPr/>
        <w:t>Esta agenda establece para el investigador una visión diferente sobre los problemas urbanos porque a partir de ese momento debería considerar la estructura mundial de la economía y el impacto que ésta causaría en las decisiones públicas a nivel local. En este sentido “el desarrollo de la investigación urbana   no   puede   ser   explicado   desde   su   interior   –es   decir,    </w:t>
      </w:r>
      <w:r>
        <w:rPr>
          <w:spacing w:val="60"/>
        </w:rPr>
        <w:t> </w:t>
      </w:r>
      <w:r>
        <w:rPr/>
        <w:t>haciendo</w:t>
      </w:r>
    </w:p>
    <w:p>
      <w:pPr>
        <w:spacing w:after="0" w:line="360" w:lineRule="auto"/>
        <w:jc w:val="both"/>
        <w:sectPr>
          <w:pgSz w:w="12240" w:h="15840"/>
          <w:pgMar w:header="0" w:footer="689" w:top="1360" w:bottom="880" w:left="1600" w:right="1580"/>
        </w:sectPr>
      </w:pPr>
    </w:p>
    <w:p>
      <w:pPr>
        <w:pStyle w:val="BodyText"/>
        <w:spacing w:line="360" w:lineRule="auto" w:before="54"/>
        <w:ind w:left="102" w:right="121"/>
        <w:jc w:val="both"/>
      </w:pPr>
      <w:r>
        <w:rPr/>
        <w:t>exclusivamente la historia de sus ideas–, sino que las claves de lectura están en las determinantes exteriores” (González, 2003:143).</w:t>
      </w:r>
    </w:p>
    <w:p>
      <w:pPr>
        <w:pStyle w:val="BodyText"/>
      </w:pPr>
    </w:p>
    <w:p>
      <w:pPr>
        <w:pStyle w:val="BodyText"/>
        <w:spacing w:line="360" w:lineRule="auto" w:before="142"/>
        <w:ind w:left="102" w:right="117"/>
        <w:jc w:val="both"/>
      </w:pPr>
      <w:r>
        <w:rPr/>
        <w:t>En conclusión en torno a la investigación urbana, a partir de las propuestas de Carrión (1991), Coraggio (1992), Lungo (1996) y González (2003) advertimos que el concepto es difuso en cuanto a su definición, ya que puede hacer referencia a diferentes procesos (área de conocimiento, método de investigación y herramientas de análisis), además de que en algún momento de la historia era sinónimo de una disciplina que, por las características que se esperaban de ella, se asemeja a lo que en la actualidad conocemos como estudios</w:t>
      </w:r>
      <w:r>
        <w:rPr>
          <w:spacing w:val="-33"/>
        </w:rPr>
        <w:t> </w:t>
      </w:r>
      <w:r>
        <w:rPr/>
        <w:t>urbanos.</w:t>
      </w:r>
    </w:p>
    <w:p>
      <w:pPr>
        <w:pStyle w:val="BodyText"/>
      </w:pPr>
    </w:p>
    <w:p>
      <w:pPr>
        <w:pStyle w:val="BodyText"/>
        <w:spacing w:line="360" w:lineRule="auto" w:before="142"/>
        <w:ind w:left="102" w:right="117"/>
        <w:jc w:val="both"/>
      </w:pPr>
      <w:r>
        <w:rPr/>
        <w:t>Para propósitos de este estudio tomamos a la investigación urbana como el área de conocimiento que concentra los estudios provenientes de varias disciplinas, por esta situación, no podemos establecer que la investigación urbana tenga un objeto de estudio como tal, como sucede con las disciplinas, sino hablamos de la relación de varios objetos de estudio provenientes de disciplinas a fines (sociología urbana, planeación urbana y economía urbana).</w:t>
      </w:r>
    </w:p>
    <w:p>
      <w:pPr>
        <w:pStyle w:val="BodyText"/>
      </w:pPr>
    </w:p>
    <w:p>
      <w:pPr>
        <w:pStyle w:val="BodyText"/>
        <w:spacing w:line="360" w:lineRule="auto" w:before="142"/>
        <w:ind w:left="102" w:right="123"/>
        <w:jc w:val="both"/>
      </w:pPr>
      <w:r>
        <w:rPr/>
        <w:t>La investigación urbana como aglutinadora de estudios nos remite a las disciplinas fuente: economía, sociología, historia, urbanismo y arquitectura; y también a las disciplinas de frontera: sociología urbana, economía urbana, ecología urbana, planificación urbana y estudios urbanos.</w:t>
      </w:r>
    </w:p>
    <w:p>
      <w:pPr>
        <w:pStyle w:val="BodyText"/>
      </w:pPr>
    </w:p>
    <w:p>
      <w:pPr>
        <w:pStyle w:val="BodyText"/>
        <w:spacing w:line="360" w:lineRule="auto" w:before="142"/>
        <w:ind w:left="102" w:right="114"/>
        <w:jc w:val="both"/>
      </w:pPr>
      <w:r>
        <w:rPr/>
        <w:t>Si bien en la investigación urbana hay una conjunción entre el espacio físico y procesos sociales, podemos señalar que algunas disciplinas han dado mayor énfasis a alguno de estos dos componentes.</w:t>
      </w:r>
    </w:p>
    <w:p>
      <w:pPr>
        <w:spacing w:after="0" w:line="360" w:lineRule="auto"/>
        <w:jc w:val="both"/>
        <w:sectPr>
          <w:pgSz w:w="12240" w:h="15840"/>
          <w:pgMar w:header="0" w:footer="689" w:top="1360" w:bottom="880" w:left="1600" w:right="1580"/>
        </w:sectPr>
      </w:pPr>
    </w:p>
    <w:p>
      <w:pPr>
        <w:pStyle w:val="Heading1"/>
        <w:numPr>
          <w:ilvl w:val="1"/>
          <w:numId w:val="7"/>
        </w:numPr>
        <w:tabs>
          <w:tab w:pos="573" w:val="left" w:leader="none"/>
        </w:tabs>
        <w:spacing w:line="240" w:lineRule="auto" w:before="54" w:after="0"/>
        <w:ind w:left="572" w:right="0" w:hanging="470"/>
        <w:jc w:val="both"/>
      </w:pPr>
      <w:r>
        <w:rPr/>
        <w:t>Disciplinas de la investigación</w:t>
      </w:r>
      <w:r>
        <w:rPr>
          <w:spacing w:val="-13"/>
        </w:rPr>
        <w:t> </w:t>
      </w:r>
      <w:r>
        <w:rPr/>
        <w:t>urbana</w:t>
      </w:r>
    </w:p>
    <w:p>
      <w:pPr>
        <w:spacing w:before="139"/>
        <w:ind w:left="102" w:right="0" w:firstLine="0"/>
        <w:jc w:val="both"/>
        <w:rPr>
          <w:b/>
          <w:sz w:val="24"/>
        </w:rPr>
      </w:pPr>
      <w:r>
        <w:rPr>
          <w:b/>
          <w:sz w:val="24"/>
        </w:rPr>
        <w:t>3.2.1 Urbanismo</w:t>
      </w:r>
    </w:p>
    <w:p>
      <w:pPr>
        <w:pStyle w:val="BodyText"/>
        <w:spacing w:line="360" w:lineRule="auto" w:before="137"/>
        <w:ind w:left="102" w:right="115"/>
        <w:jc w:val="both"/>
      </w:pPr>
      <w:r>
        <w:rPr/>
        <w:t>Tal como lo mencionamos en el apartado anterior, la investigación urbana recibe importantes aportaciones teóricas a través de varias disciplinas, motivo por el cual es necesario hacer una revisión de la forma en que éstas fueron construyéndose en torno a un objeto de estudio, primero a partir de un referente físico: la ciudad y, posteriormente, a través de marcos teóricos.</w:t>
      </w:r>
    </w:p>
    <w:p>
      <w:pPr>
        <w:pStyle w:val="BodyText"/>
      </w:pPr>
    </w:p>
    <w:p>
      <w:pPr>
        <w:pStyle w:val="BodyText"/>
        <w:spacing w:line="360" w:lineRule="auto" w:before="142"/>
        <w:ind w:left="102" w:right="121"/>
        <w:jc w:val="both"/>
      </w:pPr>
      <w:r>
        <w:rPr/>
        <w:t>El urbanismo, según Sánchez (1999), es el resultado histórico de la evolución de un conjunto de prácticas, métodos y teorías, que han sucedido de diversas maneras en periodos y lugares específicos. De esta forma,</w:t>
      </w:r>
    </w:p>
    <w:p>
      <w:pPr>
        <w:pStyle w:val="BodyText"/>
      </w:pPr>
    </w:p>
    <w:p>
      <w:pPr>
        <w:pStyle w:val="BodyText"/>
        <w:spacing w:before="139"/>
        <w:ind w:left="918" w:right="988"/>
        <w:jc w:val="both"/>
      </w:pPr>
      <w:r>
        <w:rPr/>
        <w:t>“el término urbanismo es la práctica social específica que después de la Revolución industrial intenta fundar sobre un discurso  o teoría científica la construcción de un orden espacial urbano adoptado a la nueva sociedad. Por primera vez se otorga un estatuto científico a la actividad de crear y planificar ciudades, que se concibe como una disciplina autónoma con sus leyes propias” (Sánchez, 1999:33).</w:t>
      </w:r>
    </w:p>
    <w:p>
      <w:pPr>
        <w:pStyle w:val="BodyText"/>
      </w:pPr>
    </w:p>
    <w:p>
      <w:pPr>
        <w:pStyle w:val="BodyText"/>
        <w:spacing w:line="360" w:lineRule="auto" w:before="141"/>
        <w:ind w:left="102" w:right="116"/>
        <w:jc w:val="both"/>
      </w:pPr>
      <w:r>
        <w:rPr/>
        <w:t>Para esta autora el urbanismo como concepto puede abordarse desde tres grandes tradiciones que proporcionan una visión más global de esta disciplina multidimensional: a) estética artística, b) la proveniente de las ciencias sociales  </w:t>
      </w:r>
      <w:r>
        <w:rPr>
          <w:spacing w:val="58"/>
        </w:rPr>
        <w:t> </w:t>
      </w:r>
      <w:r>
        <w:rPr/>
        <w:t>y</w:t>
      </w:r>
    </w:p>
    <w:p>
      <w:pPr>
        <w:pStyle w:val="ListParagraph"/>
        <w:numPr>
          <w:ilvl w:val="0"/>
          <w:numId w:val="9"/>
        </w:numPr>
        <w:tabs>
          <w:tab w:pos="405" w:val="left" w:leader="none"/>
        </w:tabs>
        <w:spacing w:line="360" w:lineRule="auto" w:before="2" w:after="0"/>
        <w:ind w:left="102" w:right="118" w:firstLine="0"/>
        <w:jc w:val="both"/>
        <w:rPr>
          <w:sz w:val="24"/>
        </w:rPr>
      </w:pPr>
      <w:r>
        <w:rPr>
          <w:sz w:val="24"/>
        </w:rPr>
        <w:t>la derivada de la filosofía política. La primera está referida a la ciudad como forma física que vincula el </w:t>
      </w:r>
      <w:r>
        <w:rPr>
          <w:i/>
          <w:sz w:val="24"/>
        </w:rPr>
        <w:t>arte urbano </w:t>
      </w:r>
      <w:r>
        <w:rPr>
          <w:sz w:val="24"/>
        </w:rPr>
        <w:t>con los proyectos arquitectónicos de diseño urbano. La segunda es la tradición cientista donde el urbanismo es entendido como racionalidad científico-técnica. La tercera lo considera como medio de reforma</w:t>
      </w:r>
      <w:r>
        <w:rPr>
          <w:spacing w:val="-1"/>
          <w:sz w:val="24"/>
        </w:rPr>
        <w:t> </w:t>
      </w:r>
      <w:r>
        <w:rPr>
          <w:sz w:val="24"/>
        </w:rPr>
        <w:t>social.</w:t>
      </w:r>
    </w:p>
    <w:p>
      <w:pPr>
        <w:pStyle w:val="BodyText"/>
      </w:pPr>
    </w:p>
    <w:p>
      <w:pPr>
        <w:pStyle w:val="BodyText"/>
        <w:spacing w:line="360" w:lineRule="auto" w:before="142"/>
        <w:ind w:left="102" w:right="117"/>
        <w:jc w:val="both"/>
      </w:pPr>
      <w:r>
        <w:rPr/>
        <w:t>Para el caso de Latinoamérica, según Almandoz (2003), el Urbanismo se impulsó en los siglos XIX y XX a través de proyectos arquitectónicos de orientación francesa realizados en las principales ciudades del continente; los referentes primordiales</w:t>
      </w:r>
      <w:r>
        <w:rPr>
          <w:spacing w:val="52"/>
        </w:rPr>
        <w:t> </w:t>
      </w:r>
      <w:r>
        <w:rPr/>
        <w:t>para</w:t>
      </w:r>
      <w:r>
        <w:rPr>
          <w:spacing w:val="51"/>
        </w:rPr>
        <w:t> </w:t>
      </w:r>
      <w:r>
        <w:rPr/>
        <w:t>su inicio</w:t>
      </w:r>
      <w:r>
        <w:rPr>
          <w:spacing w:val="53"/>
        </w:rPr>
        <w:t> </w:t>
      </w:r>
      <w:r>
        <w:rPr/>
        <w:t>fueron</w:t>
      </w:r>
      <w:r>
        <w:rPr>
          <w:spacing w:val="52"/>
        </w:rPr>
        <w:t> </w:t>
      </w:r>
      <w:r>
        <w:rPr/>
        <w:t>las</w:t>
      </w:r>
      <w:r>
        <w:rPr>
          <w:spacing w:val="51"/>
        </w:rPr>
        <w:t> </w:t>
      </w:r>
      <w:r>
        <w:rPr/>
        <w:t>Conferencias</w:t>
      </w:r>
      <w:r>
        <w:rPr>
          <w:spacing w:val="51"/>
        </w:rPr>
        <w:t> </w:t>
      </w:r>
      <w:r>
        <w:rPr/>
        <w:t>Interamericanas</w:t>
      </w:r>
      <w:r>
        <w:rPr>
          <w:spacing w:val="51"/>
        </w:rPr>
        <w:t> </w:t>
      </w:r>
      <w:r>
        <w:rPr/>
        <w:t>de</w:t>
      </w:r>
      <w:r>
        <w:rPr>
          <w:spacing w:val="52"/>
        </w:rPr>
        <w:t> </w:t>
      </w:r>
      <w:r>
        <w:rPr/>
        <w:t>1897</w:t>
      </w:r>
      <w:r>
        <w:rPr>
          <w:spacing w:val="52"/>
        </w:rPr>
        <w:t> </w:t>
      </w:r>
      <w:r>
        <w:rPr/>
        <w:t>y</w:t>
      </w:r>
    </w:p>
    <w:p>
      <w:pPr>
        <w:spacing w:after="0" w:line="360" w:lineRule="auto"/>
        <w:jc w:val="both"/>
        <w:sectPr>
          <w:pgSz w:w="12240" w:h="15840"/>
          <w:pgMar w:header="0" w:footer="689" w:top="1360" w:bottom="880" w:left="1600" w:right="1580"/>
        </w:sectPr>
      </w:pPr>
    </w:p>
    <w:p>
      <w:pPr>
        <w:pStyle w:val="BodyText"/>
        <w:spacing w:line="360" w:lineRule="auto" w:before="59"/>
        <w:ind w:left="122" w:right="721"/>
        <w:jc w:val="both"/>
      </w:pPr>
      <w:r>
        <w:rPr/>
        <w:t>1902 que con un enfoque higienista</w:t>
      </w:r>
      <w:r>
        <w:rPr>
          <w:position w:val="11"/>
          <w:sz w:val="16"/>
        </w:rPr>
        <w:t>9 </w:t>
      </w:r>
      <w:r>
        <w:rPr/>
        <w:t>que se realizaron en la Ciudad de México (véase figura 10).</w:t>
      </w:r>
    </w:p>
    <w:p>
      <w:pPr>
        <w:pStyle w:val="BodyText"/>
      </w:pPr>
    </w:p>
    <w:p>
      <w:pPr>
        <w:pStyle w:val="Heading1"/>
        <w:spacing w:before="139"/>
        <w:ind w:left="1772" w:right="2369"/>
      </w:pPr>
      <w:r>
        <w:rPr/>
        <w:t>Figura 10</w:t>
      </w:r>
    </w:p>
    <w:p>
      <w:pPr>
        <w:pStyle w:val="Heading1"/>
        <w:ind w:left="1772" w:right="2372"/>
      </w:pPr>
      <w:r>
        <w:rPr/>
        <w:pict>
          <v:group style="position:absolute;margin-left:129.662338pt;margin-top:14.368124pt;width:359.8pt;height:223.35pt;mso-position-horizontal-relative:page;mso-position-vertical-relative:paragraph;z-index:1672" coordorigin="2593,287" coordsize="7196,4467">
            <v:shape style="position:absolute;left:4914;top:287;width:3384;height:1993" coordorigin="4914,287" coordsize="3384,1993" path="m5849,1604l5529,1284,5529,1444,4914,1444,4914,1765,5529,1765,5529,1925,5849,1604m8298,1284l7831,287,7831,786,7363,786,7363,1782,7831,1782,7831,2280,8298,1284e" filled="true" fillcolor="#d9d9d9" stroked="false">
              <v:path arrowok="t"/>
              <v:fill type="solid"/>
            </v:shape>
            <v:shape style="position:absolute;left:2636;top:1809;width:7153;height:232" coordorigin="2636,1809" coordsize="7153,232" path="m9407,1809l9407,1901,2636,1901,2636,1949,9407,1949,9407,2041,9789,1925,9407,1809xe" filled="true" fillcolor="#4f81bc" stroked="false">
              <v:path arrowok="t"/>
              <v:fill type="solid"/>
            </v:shape>
            <v:line style="position:absolute" from="4914,1864" to="5557,1222" stroked="true" strokeweight="2.317292pt" strokecolor="#a6a6a6">
              <v:stroke dashstyle="longDash"/>
            </v:line>
            <v:shape style="position:absolute;left:5494;top:1114;width:2453;height:216" coordorigin="5494,1114" coordsize="2453,216" path="m5633,1199l5494,1199,5494,1245,5633,1245,5633,1199xm5818,1199l5679,1199,5679,1245,5818,1245,5818,1199xm6004,1199l5865,1199,5865,1245,6004,1245,6004,1199xm6189,1199l6050,1199,6050,1245,6189,1245,6189,1199xm6374,1199l6235,1199,6235,1245,6374,1245,6374,1199xm6560,1199l6421,1199,6421,1245,6560,1245,6560,1199xm6745,1199l6606,1199,6606,1245,6745,1245,6745,1199xm6931,1199l6792,1199,6792,1245,6931,1245,6931,1199xm7116,1199l6977,1199,6977,1245,7116,1245,7116,1199xm7301,1199l7162,1199,7162,1245,7301,1245,7301,1199xm7487,1199l7348,1199,7348,1245,7487,1245,7487,1199xm7672,1199l7533,1199,7533,1245,7672,1245,7672,1199xm7855,1222l7739,1290,7735,1304,7742,1315,7748,1326,7762,1330,7907,1245,7858,1245,7858,1224,7855,1222xm7815,1199l7719,1199,7719,1245,7815,1245,7855,1222,7815,1199xm7858,1224l7858,1245,7907,1245,7912,1242,7889,1242,7858,1224xm7889,1202l7858,1220,7858,1224,7889,1242,7889,1202xm7912,1202l7889,1202,7889,1242,7912,1242,7947,1222,7912,1202xm7858,1220l7855,1222,7858,1224,7858,1220xm7762,1114l7748,1118,7742,1129,7735,1140,7739,1155,7855,1222,7858,1220,7858,1199,7907,1199,7762,1114xm7907,1199l7858,1199,7858,1220,7889,1202,7912,1202,7907,1199xe" filled="true" fillcolor="#a6a6a6" stroked="false">
              <v:path arrowok="t"/>
              <v:fill type="solid"/>
            </v:shape>
            <v:shape style="position:absolute;left:3632;top:2350;width:124;height:286" type="#_x0000_t75" stroked="false">
              <v:imagedata r:id="rId21" o:title=""/>
            </v:shape>
            <v:shape style="position:absolute;left:3207;top:2350;width:116;height:286" type="#_x0000_t75" stroked="false">
              <v:imagedata r:id="rId22" o:title=""/>
            </v:shape>
            <v:shape style="position:absolute;left:2736;top:2350;width:116;height:286" type="#_x0000_t75" stroked="false">
              <v:imagedata r:id="rId22" o:title=""/>
            </v:shape>
            <v:shape style="position:absolute;left:4157;top:2350;width:124;height:286" type="#_x0000_t75" stroked="false">
              <v:imagedata r:id="rId21" o:title=""/>
            </v:shape>
            <v:shape style="position:absolute;left:4799;top:2334;width:116;height:294" type="#_x0000_t75" stroked="false">
              <v:imagedata r:id="rId23" o:title=""/>
            </v:shape>
            <v:line style="position:absolute" from="5262,4731" to="5262,2512" stroked="true" strokeweight="2.317384pt" strokecolor="#a6a6a6">
              <v:stroke dashstyle="longDash"/>
            </v:line>
            <v:shape style="position:absolute;left:6143;top:1925;width:642;height:935" coordorigin="6143,1925" coordsize="642,935" path="m6624,2245l6303,2245,6303,2859,6624,2859,6624,2245xm6463,1925l6143,2245,6784,2245,6463,1925xe" filled="true" fillcolor="#7e7e7e" stroked="false">
              <v:path arrowok="t"/>
              <v:fill type="solid"/>
            </v:shape>
            <v:line style="position:absolute" from="7541,4669" to="7541,2450" stroked="true" strokeweight="2.317384pt" strokecolor="#a6a6a6">
              <v:stroke dashstyle="longDash"/>
            </v:line>
            <v:shape style="position:absolute;left:8030;top:749;width:1700;height:372" type="#_x0000_t202" filled="false" stroked="false">
              <v:textbox inset="0,0,0,0">
                <w:txbxContent>
                  <w:p>
                    <w:pPr>
                      <w:spacing w:line="371" w:lineRule="exact" w:before="0"/>
                      <w:ind w:left="0" w:right="-12" w:firstLine="0"/>
                      <w:jc w:val="left"/>
                      <w:rPr>
                        <w:rFonts w:ascii="Calibri"/>
                        <w:b/>
                        <w:sz w:val="37"/>
                      </w:rPr>
                    </w:pPr>
                    <w:r>
                      <w:rPr>
                        <w:rFonts w:ascii="Calibri"/>
                        <w:b/>
                        <w:color w:val="990000"/>
                        <w:sz w:val="37"/>
                      </w:rPr>
                      <w:t>Urbanismo</w:t>
                    </w:r>
                  </w:p>
                </w:txbxContent>
              </v:textbox>
              <w10:wrap type="none"/>
            </v:shape>
            <v:shape style="position:absolute;left:2593;top:1324;width:2294;height:503" type="#_x0000_t202" filled="false" stroked="false">
              <v:textbox inset="0,0,0,0">
                <w:txbxContent>
                  <w:p>
                    <w:pPr>
                      <w:spacing w:line="503" w:lineRule="exact" w:before="0"/>
                      <w:ind w:left="0" w:right="-12" w:firstLine="0"/>
                      <w:jc w:val="left"/>
                      <w:rPr>
                        <w:rFonts w:ascii="Calibri"/>
                        <w:b/>
                        <w:sz w:val="50"/>
                      </w:rPr>
                    </w:pPr>
                    <w:r>
                      <w:rPr>
                        <w:rFonts w:ascii="Calibri"/>
                        <w:b/>
                        <w:color w:val="C0504D"/>
                        <w:sz w:val="50"/>
                      </w:rPr>
                      <w:t>Urbanismo</w:t>
                    </w:r>
                  </w:p>
                </w:txbxContent>
              </v:textbox>
              <w10:wrap type="none"/>
            </v:shape>
            <v:shape style="position:absolute;left:5750;top:1285;width:3678;height:411" type="#_x0000_t202" filled="false" stroked="false">
              <v:textbox inset="0,0,0,0">
                <w:txbxContent>
                  <w:p>
                    <w:pPr>
                      <w:tabs>
                        <w:tab w:pos="2279" w:val="left" w:leader="none"/>
                      </w:tabs>
                      <w:spacing w:line="410" w:lineRule="exact" w:before="0"/>
                      <w:ind w:left="0" w:right="0" w:firstLine="0"/>
                      <w:jc w:val="left"/>
                      <w:rPr>
                        <w:rFonts w:ascii="Calibri" w:hAnsi="Calibri"/>
                        <w:sz w:val="41"/>
                      </w:rPr>
                    </w:pPr>
                    <w:r>
                      <w:rPr>
                        <w:rFonts w:ascii="Calibri" w:hAnsi="Calibri"/>
                        <w:color w:val="990000"/>
                        <w:position w:val="1"/>
                        <w:sz w:val="21"/>
                      </w:rPr>
                      <w:t>Planeación</w:t>
                    </w:r>
                    <w:r>
                      <w:rPr>
                        <w:rFonts w:ascii="Calibri" w:hAnsi="Calibri"/>
                        <w:color w:val="990000"/>
                        <w:spacing w:val="-15"/>
                        <w:position w:val="1"/>
                        <w:sz w:val="21"/>
                      </w:rPr>
                      <w:t> </w:t>
                    </w:r>
                    <w:r>
                      <w:rPr>
                        <w:rFonts w:ascii="Calibri" w:hAnsi="Calibri"/>
                        <w:color w:val="990000"/>
                        <w:position w:val="1"/>
                        <w:sz w:val="21"/>
                      </w:rPr>
                      <w:t>urbana</w:t>
                    </w:r>
                    <w:r>
                      <w:rPr>
                        <w:rFonts w:ascii="Calibri" w:hAnsi="Calibri"/>
                        <w:color w:val="990000"/>
                        <w:spacing w:val="-7"/>
                        <w:position w:val="1"/>
                        <w:sz w:val="21"/>
                      </w:rPr>
                      <w:t> </w:t>
                    </w:r>
                    <w:r>
                      <w:rPr>
                        <w:rFonts w:ascii="Calibri" w:hAnsi="Calibri"/>
                        <w:color w:val="990000"/>
                        <w:position w:val="1"/>
                        <w:sz w:val="12"/>
                      </w:rPr>
                      <w:t>(español)</w:t>
                      <w:tab/>
                    </w:r>
                    <w:r>
                      <w:rPr>
                        <w:rFonts w:ascii="Calibri" w:hAnsi="Calibri"/>
                        <w:color w:val="990000"/>
                        <w:spacing w:val="-1"/>
                        <w:sz w:val="41"/>
                      </w:rPr>
                      <w:t>Estudios</w:t>
                    </w:r>
                  </w:p>
                </w:txbxContent>
              </v:textbox>
              <w10:wrap type="none"/>
            </v:shape>
            <v:shape style="position:absolute;left:2696;top:1697;width:1276;height:186" type="#_x0000_t202" filled="false" stroked="false">
              <v:textbox inset="0,0,0,0">
                <w:txbxContent>
                  <w:p>
                    <w:pPr>
                      <w:spacing w:line="186" w:lineRule="exact" w:before="0"/>
                      <w:ind w:left="0" w:right="0" w:firstLine="0"/>
                      <w:jc w:val="left"/>
                      <w:rPr>
                        <w:rFonts w:ascii="Calibri"/>
                        <w:b/>
                        <w:sz w:val="18"/>
                      </w:rPr>
                    </w:pPr>
                    <w:r>
                      <w:rPr>
                        <w:rFonts w:ascii="Calibri"/>
                        <w:b/>
                        <w:color w:val="C0504D"/>
                        <w:sz w:val="18"/>
                      </w:rPr>
                      <w:t>latinoamericano</w:t>
                    </w:r>
                  </w:p>
                </w:txbxContent>
              </v:textbox>
              <w10:wrap type="none"/>
            </v:shape>
            <v:shape style="position:absolute;left:5750;top:1675;width:1777;height:209" type="#_x0000_t202" filled="false" stroked="false">
              <v:textbox inset="0,0,0,0">
                <w:txbxContent>
                  <w:p>
                    <w:pPr>
                      <w:spacing w:line="209" w:lineRule="exact" w:before="0"/>
                      <w:ind w:left="0" w:right="-9" w:firstLine="0"/>
                      <w:jc w:val="left"/>
                      <w:rPr>
                        <w:rFonts w:ascii="Calibri" w:hAnsi="Calibri"/>
                        <w:sz w:val="12"/>
                      </w:rPr>
                    </w:pPr>
                    <w:r>
                      <w:rPr>
                        <w:rFonts w:ascii="Calibri" w:hAnsi="Calibri"/>
                        <w:color w:val="990000"/>
                        <w:spacing w:val="-1"/>
                        <w:sz w:val="21"/>
                      </w:rPr>
                      <w:t>Planejamento</w:t>
                    </w:r>
                    <w:r>
                      <w:rPr>
                        <w:rFonts w:ascii="Calibri" w:hAnsi="Calibri"/>
                        <w:color w:val="990000"/>
                        <w:spacing w:val="-27"/>
                        <w:sz w:val="21"/>
                      </w:rPr>
                      <w:t> </w:t>
                    </w:r>
                    <w:r>
                      <w:rPr>
                        <w:rFonts w:ascii="Calibri" w:hAnsi="Calibri"/>
                        <w:color w:val="990000"/>
                        <w:sz w:val="12"/>
                      </w:rPr>
                      <w:t>(portugués)</w:t>
                    </w:r>
                  </w:p>
                </w:txbxContent>
              </v:textbox>
              <w10:wrap type="none"/>
            </v:shape>
            <v:shape style="position:absolute;left:8030;top:1577;width:1359;height:411" type="#_x0000_t202" filled="false" stroked="false">
              <v:textbox inset="0,0,0,0">
                <w:txbxContent>
                  <w:p>
                    <w:pPr>
                      <w:spacing w:line="410" w:lineRule="exact" w:before="0"/>
                      <w:ind w:left="0" w:right="-17" w:firstLine="0"/>
                      <w:jc w:val="left"/>
                      <w:rPr>
                        <w:rFonts w:ascii="Calibri"/>
                        <w:sz w:val="41"/>
                      </w:rPr>
                    </w:pPr>
                    <w:r>
                      <w:rPr>
                        <w:rFonts w:ascii="Calibri"/>
                        <w:color w:val="990000"/>
                        <w:spacing w:val="-1"/>
                        <w:sz w:val="41"/>
                      </w:rPr>
                      <w:t>urbanos</w:t>
                    </w:r>
                  </w:p>
                </w:txbxContent>
              </v:textbox>
              <w10:wrap type="none"/>
            </v:shape>
            <v:shape style="position:absolute;left:5832;top:2948;width:1296;height:1101" type="#_x0000_t202" filled="false" stroked="false">
              <v:textbox inset="0,0,0,0">
                <w:txbxContent>
                  <w:p>
                    <w:pPr>
                      <w:spacing w:line="209" w:lineRule="exact" w:before="0"/>
                      <w:ind w:left="84" w:right="0" w:firstLine="0"/>
                      <w:jc w:val="center"/>
                      <w:rPr>
                        <w:rFonts w:ascii="Calibri"/>
                        <w:sz w:val="21"/>
                      </w:rPr>
                    </w:pPr>
                    <w:r>
                      <w:rPr>
                        <w:rFonts w:ascii="Calibri"/>
                        <w:color w:val="585858"/>
                        <w:spacing w:val="-6"/>
                        <w:sz w:val="21"/>
                      </w:rPr>
                      <w:t>Town</w:t>
                    </w:r>
                    <w:r>
                      <w:rPr>
                        <w:rFonts w:ascii="Calibri"/>
                        <w:color w:val="585858"/>
                        <w:spacing w:val="-27"/>
                        <w:sz w:val="21"/>
                      </w:rPr>
                      <w:t> </w:t>
                    </w:r>
                    <w:r>
                      <w:rPr>
                        <w:rFonts w:ascii="Calibri"/>
                        <w:color w:val="585858"/>
                        <w:sz w:val="21"/>
                      </w:rPr>
                      <w:t>planning</w:t>
                    </w:r>
                  </w:p>
                  <w:p>
                    <w:pPr>
                      <w:spacing w:line="252" w:lineRule="exact" w:before="0"/>
                      <w:ind w:left="0" w:right="12" w:firstLine="0"/>
                      <w:jc w:val="center"/>
                      <w:rPr>
                        <w:rFonts w:ascii="Calibri"/>
                        <w:sz w:val="21"/>
                      </w:rPr>
                    </w:pPr>
                    <w:r>
                      <w:rPr>
                        <w:rFonts w:ascii="Calibri"/>
                        <w:color w:val="585858"/>
                        <w:sz w:val="21"/>
                      </w:rPr>
                      <w:t>(Inglaterra)</w:t>
                    </w:r>
                  </w:p>
                  <w:p>
                    <w:pPr>
                      <w:spacing w:line="248" w:lineRule="exact" w:before="141"/>
                      <w:ind w:left="0" w:right="12" w:firstLine="0"/>
                      <w:jc w:val="center"/>
                      <w:rPr>
                        <w:rFonts w:ascii="Calibri"/>
                        <w:sz w:val="21"/>
                      </w:rPr>
                    </w:pPr>
                    <w:r>
                      <w:rPr>
                        <w:rFonts w:ascii="Calibri"/>
                        <w:color w:val="585858"/>
                        <w:w w:val="95"/>
                        <w:sz w:val="21"/>
                      </w:rPr>
                      <w:t>Urban planning </w:t>
                    </w:r>
                    <w:r>
                      <w:rPr>
                        <w:rFonts w:ascii="Calibri"/>
                        <w:color w:val="585858"/>
                        <w:sz w:val="21"/>
                      </w:rPr>
                      <w:t>(EUA)</w:t>
                    </w:r>
                  </w:p>
                </w:txbxContent>
              </v:textbox>
              <w10:wrap type="none"/>
            </v:shape>
            <w10:wrap type="none"/>
          </v:group>
        </w:pict>
      </w:r>
      <w:r>
        <w:rPr/>
        <w:pict>
          <v:shape style="position:absolute;margin-left:122.498741pt;margin-top:87.500259pt;width:21.1pt;height:29.05pt;mso-position-horizontal-relative:page;mso-position-vertical-relative:paragraph;z-index:1696" type="#_x0000_t202" filled="false" stroked="false">
            <v:textbox inset="0,0,0,0" style="layout-flow:vertical;mso-layout-flow-alt:bottom-to-top">
              <w:txbxContent>
                <w:p>
                  <w:pPr>
                    <w:spacing w:line="208" w:lineRule="exact" w:before="0"/>
                    <w:ind w:left="253" w:right="-156" w:firstLine="0"/>
                    <w:jc w:val="left"/>
                    <w:rPr>
                      <w:rFonts w:ascii="Calibri" w:hAnsi="Calibri"/>
                      <w:sz w:val="18"/>
                    </w:rPr>
                  </w:pPr>
                  <w:r>
                    <w:rPr>
                      <w:rFonts w:ascii="Calibri" w:hAnsi="Calibri"/>
                      <w:color w:val="585858"/>
                      <w:w w:val="103"/>
                      <w:sz w:val="18"/>
                    </w:rPr>
                    <w:t>A</w:t>
                  </w:r>
                  <w:r>
                    <w:rPr>
                      <w:rFonts w:ascii="Calibri" w:hAnsi="Calibri"/>
                      <w:color w:val="585858"/>
                      <w:spacing w:val="2"/>
                      <w:w w:val="103"/>
                      <w:sz w:val="18"/>
                    </w:rPr>
                    <w:t>ñ</w:t>
                  </w:r>
                  <w:r>
                    <w:rPr>
                      <w:rFonts w:ascii="Calibri" w:hAnsi="Calibri"/>
                      <w:color w:val="585858"/>
                      <w:w w:val="103"/>
                      <w:sz w:val="18"/>
                    </w:rPr>
                    <w:t>o</w:t>
                  </w:r>
                </w:p>
                <w:p>
                  <w:pPr>
                    <w:spacing w:before="24"/>
                    <w:ind w:left="20" w:right="-156" w:firstLine="0"/>
                    <w:jc w:val="left"/>
                    <w:rPr>
                      <w:rFonts w:ascii="Calibri"/>
                      <w:b/>
                      <w:sz w:val="14"/>
                    </w:rPr>
                  </w:pPr>
                  <w:r>
                    <w:rPr>
                      <w:rFonts w:ascii="Calibri"/>
                      <w:b/>
                      <w:spacing w:val="3"/>
                      <w:w w:val="104"/>
                      <w:sz w:val="14"/>
                    </w:rPr>
                    <w:t>1902</w:t>
                  </w:r>
                </w:p>
              </w:txbxContent>
            </v:textbox>
            <w10:wrap type="none"/>
          </v:shape>
        </w:pict>
      </w:r>
      <w:r>
        <w:rPr/>
        <w:pict>
          <v:shape style="position:absolute;margin-left:131.192154pt;margin-top:134.308624pt;width:18.25pt;height:81.1pt;mso-position-horizontal-relative:page;mso-position-vertical-relative:paragraph;z-index:1720" type="#_x0000_t202" filled="false" stroked="false">
            <v:textbox inset="0,0,0,0" style="layout-flow:vertical;mso-layout-flow-alt:bottom-to-top">
              <w:txbxContent>
                <w:p>
                  <w:pPr>
                    <w:spacing w:line="168" w:lineRule="exact" w:before="0"/>
                    <w:ind w:left="809" w:right="-363" w:firstLine="0"/>
                    <w:jc w:val="left"/>
                    <w:rPr>
                      <w:rFonts w:ascii="Calibri"/>
                      <w:b/>
                      <w:sz w:val="14"/>
                    </w:rPr>
                  </w:pPr>
                  <w:r>
                    <w:rPr>
                      <w:rFonts w:ascii="Calibri"/>
                      <w:b/>
                      <w:spacing w:val="-1"/>
                      <w:w w:val="104"/>
                      <w:sz w:val="14"/>
                    </w:rPr>
                    <w:t>C</w:t>
                  </w:r>
                  <w:r>
                    <w:rPr>
                      <w:rFonts w:ascii="Calibri"/>
                      <w:b/>
                      <w:spacing w:val="-2"/>
                      <w:w w:val="104"/>
                      <w:sz w:val="14"/>
                    </w:rPr>
                    <w:t>on</w:t>
                  </w:r>
                  <w:r>
                    <w:rPr>
                      <w:rFonts w:ascii="Calibri"/>
                      <w:b/>
                      <w:spacing w:val="-1"/>
                      <w:w w:val="104"/>
                      <w:sz w:val="14"/>
                    </w:rPr>
                    <w:t>f</w:t>
                  </w:r>
                  <w:r>
                    <w:rPr>
                      <w:rFonts w:ascii="Calibri"/>
                      <w:b/>
                      <w:spacing w:val="3"/>
                      <w:w w:val="104"/>
                      <w:sz w:val="14"/>
                    </w:rPr>
                    <w:t>e</w:t>
                  </w:r>
                  <w:r>
                    <w:rPr>
                      <w:rFonts w:ascii="Calibri"/>
                      <w:b/>
                      <w:spacing w:val="1"/>
                      <w:w w:val="104"/>
                      <w:sz w:val="14"/>
                    </w:rPr>
                    <w:t>r</w:t>
                  </w:r>
                  <w:r>
                    <w:rPr>
                      <w:rFonts w:ascii="Calibri"/>
                      <w:b/>
                      <w:spacing w:val="3"/>
                      <w:w w:val="104"/>
                      <w:sz w:val="14"/>
                    </w:rPr>
                    <w:t>e</w:t>
                  </w:r>
                  <w:r>
                    <w:rPr>
                      <w:rFonts w:ascii="Calibri"/>
                      <w:b/>
                      <w:spacing w:val="-2"/>
                      <w:w w:val="104"/>
                      <w:sz w:val="14"/>
                    </w:rPr>
                    <w:t>n</w:t>
                  </w:r>
                  <w:r>
                    <w:rPr>
                      <w:rFonts w:ascii="Calibri"/>
                      <w:b/>
                      <w:w w:val="104"/>
                      <w:sz w:val="14"/>
                    </w:rPr>
                    <w:t>c</w:t>
                  </w:r>
                  <w:r>
                    <w:rPr>
                      <w:rFonts w:ascii="Calibri"/>
                      <w:b/>
                      <w:spacing w:val="2"/>
                      <w:w w:val="104"/>
                      <w:sz w:val="14"/>
                    </w:rPr>
                    <w:t>i</w:t>
                  </w:r>
                  <w:r>
                    <w:rPr>
                      <w:rFonts w:ascii="Calibri"/>
                      <w:b/>
                      <w:spacing w:val="-3"/>
                      <w:w w:val="104"/>
                      <w:sz w:val="14"/>
                    </w:rPr>
                    <w:t>a</w:t>
                  </w:r>
                  <w:r>
                    <w:rPr>
                      <w:rFonts w:ascii="Calibri"/>
                      <w:b/>
                      <w:w w:val="104"/>
                      <w:sz w:val="14"/>
                    </w:rPr>
                    <w:t>s</w:t>
                  </w:r>
                </w:p>
                <w:p>
                  <w:pPr>
                    <w:spacing w:before="7"/>
                    <w:ind w:left="20" w:right="-654" w:firstLine="0"/>
                    <w:jc w:val="left"/>
                    <w:rPr>
                      <w:rFonts w:ascii="Calibri" w:hAnsi="Calibri"/>
                      <w:b/>
                      <w:sz w:val="14"/>
                    </w:rPr>
                  </w:pPr>
                  <w:r>
                    <w:rPr>
                      <w:rFonts w:ascii="Calibri" w:hAnsi="Calibri"/>
                      <w:b/>
                      <w:spacing w:val="-1"/>
                      <w:w w:val="105"/>
                      <w:sz w:val="14"/>
                    </w:rPr>
                    <w:t>I</w:t>
                  </w:r>
                  <w:r>
                    <w:rPr>
                      <w:rFonts w:ascii="Calibri" w:hAnsi="Calibri"/>
                      <w:b/>
                      <w:spacing w:val="-2"/>
                      <w:w w:val="105"/>
                      <w:sz w:val="14"/>
                    </w:rPr>
                    <w:t>n</w:t>
                  </w:r>
                  <w:r>
                    <w:rPr>
                      <w:rFonts w:ascii="Calibri" w:hAnsi="Calibri"/>
                      <w:b/>
                      <w:spacing w:val="3"/>
                      <w:w w:val="105"/>
                      <w:sz w:val="14"/>
                    </w:rPr>
                    <w:t>te</w:t>
                  </w:r>
                  <w:r>
                    <w:rPr>
                      <w:rFonts w:ascii="Calibri" w:hAnsi="Calibri"/>
                      <w:b/>
                      <w:spacing w:val="1"/>
                      <w:w w:val="105"/>
                      <w:sz w:val="14"/>
                    </w:rPr>
                    <w:t>r</w:t>
                  </w:r>
                  <w:r>
                    <w:rPr>
                      <w:rFonts w:ascii="Calibri" w:hAnsi="Calibri"/>
                      <w:b/>
                      <w:spacing w:val="-4"/>
                      <w:w w:val="105"/>
                      <w:sz w:val="14"/>
                    </w:rPr>
                    <w:t>am</w:t>
                  </w:r>
                  <w:r>
                    <w:rPr>
                      <w:rFonts w:ascii="Calibri" w:hAnsi="Calibri"/>
                      <w:b/>
                      <w:spacing w:val="3"/>
                      <w:w w:val="105"/>
                      <w:sz w:val="14"/>
                    </w:rPr>
                    <w:t>e</w:t>
                  </w:r>
                  <w:r>
                    <w:rPr>
                      <w:rFonts w:ascii="Calibri" w:hAnsi="Calibri"/>
                      <w:b/>
                      <w:spacing w:val="1"/>
                      <w:w w:val="105"/>
                      <w:sz w:val="14"/>
                    </w:rPr>
                    <w:t>r</w:t>
                  </w:r>
                  <w:r>
                    <w:rPr>
                      <w:rFonts w:ascii="Calibri" w:hAnsi="Calibri"/>
                      <w:b/>
                      <w:spacing w:val="2"/>
                      <w:w w:val="105"/>
                      <w:sz w:val="14"/>
                    </w:rPr>
                    <w:t>i</w:t>
                  </w:r>
                  <w:r>
                    <w:rPr>
                      <w:rFonts w:ascii="Calibri" w:hAnsi="Calibri"/>
                      <w:b/>
                      <w:spacing w:val="-8"/>
                      <w:w w:val="105"/>
                      <w:sz w:val="14"/>
                    </w:rPr>
                    <w:t>c</w:t>
                  </w:r>
                  <w:r>
                    <w:rPr>
                      <w:rFonts w:ascii="Calibri" w:hAnsi="Calibri"/>
                      <w:b/>
                      <w:spacing w:val="-4"/>
                      <w:w w:val="105"/>
                      <w:sz w:val="14"/>
                    </w:rPr>
                    <w:t>a</w:t>
                  </w:r>
                  <w:r>
                    <w:rPr>
                      <w:rFonts w:ascii="Calibri" w:hAnsi="Calibri"/>
                      <w:b/>
                      <w:spacing w:val="-2"/>
                      <w:w w:val="105"/>
                      <w:sz w:val="14"/>
                    </w:rPr>
                    <w:t>n</w:t>
                  </w:r>
                  <w:r>
                    <w:rPr>
                      <w:rFonts w:ascii="Calibri" w:hAnsi="Calibri"/>
                      <w:b/>
                      <w:spacing w:val="-4"/>
                      <w:w w:val="105"/>
                      <w:sz w:val="14"/>
                    </w:rPr>
                    <w:t>a</w:t>
                  </w:r>
                  <w:r>
                    <w:rPr>
                      <w:rFonts w:ascii="Calibri" w:hAnsi="Calibri"/>
                      <w:b/>
                      <w:w w:val="105"/>
                      <w:sz w:val="14"/>
                    </w:rPr>
                    <w:t>s</w:t>
                  </w:r>
                  <w:r>
                    <w:rPr>
                      <w:rFonts w:ascii="Calibri" w:hAnsi="Calibri"/>
                      <w:b/>
                      <w:sz w:val="14"/>
                    </w:rPr>
                    <w:t> </w:t>
                  </w:r>
                  <w:r>
                    <w:rPr>
                      <w:rFonts w:ascii="Calibri" w:hAnsi="Calibri"/>
                      <w:b/>
                      <w:spacing w:val="-7"/>
                      <w:sz w:val="14"/>
                    </w:rPr>
                    <w:t> </w:t>
                  </w:r>
                  <w:r>
                    <w:rPr>
                      <w:rFonts w:ascii="Calibri" w:hAnsi="Calibri"/>
                      <w:b/>
                      <w:w w:val="105"/>
                      <w:sz w:val="14"/>
                    </w:rPr>
                    <w:t>(</w:t>
                  </w:r>
                  <w:r>
                    <w:rPr>
                      <w:rFonts w:ascii="Calibri" w:hAnsi="Calibri"/>
                      <w:b/>
                      <w:spacing w:val="2"/>
                      <w:w w:val="105"/>
                      <w:sz w:val="14"/>
                    </w:rPr>
                    <w:t>M</w:t>
                  </w:r>
                  <w:r>
                    <w:rPr>
                      <w:rFonts w:ascii="Calibri" w:hAnsi="Calibri"/>
                      <w:b/>
                      <w:spacing w:val="3"/>
                      <w:w w:val="105"/>
                      <w:sz w:val="14"/>
                    </w:rPr>
                    <w:t>é</w:t>
                  </w:r>
                  <w:r>
                    <w:rPr>
                      <w:rFonts w:ascii="Calibri" w:hAnsi="Calibri"/>
                      <w:b/>
                      <w:spacing w:val="-6"/>
                      <w:w w:val="105"/>
                      <w:sz w:val="14"/>
                    </w:rPr>
                    <w:t>x</w:t>
                  </w:r>
                  <w:r>
                    <w:rPr>
                      <w:rFonts w:ascii="Calibri" w:hAnsi="Calibri"/>
                      <w:b/>
                      <w:spacing w:val="2"/>
                      <w:w w:val="105"/>
                      <w:sz w:val="14"/>
                    </w:rPr>
                    <w:t>i</w:t>
                  </w:r>
                  <w:r>
                    <w:rPr>
                      <w:rFonts w:ascii="Calibri" w:hAnsi="Calibri"/>
                      <w:b/>
                      <w:spacing w:val="-1"/>
                      <w:w w:val="105"/>
                      <w:sz w:val="14"/>
                    </w:rPr>
                    <w:t>c</w:t>
                  </w:r>
                  <w:r>
                    <w:rPr>
                      <w:rFonts w:ascii="Calibri" w:hAnsi="Calibri"/>
                      <w:b/>
                      <w:spacing w:val="-2"/>
                      <w:w w:val="105"/>
                      <w:sz w:val="14"/>
                    </w:rPr>
                    <w:t>o</w:t>
                  </w:r>
                  <w:r>
                    <w:rPr>
                      <w:rFonts w:ascii="Calibri" w:hAnsi="Calibri"/>
                      <w:b/>
                      <w:w w:val="105"/>
                      <w:sz w:val="14"/>
                    </w:rPr>
                    <w:t>)</w:t>
                  </w:r>
                </w:p>
              </w:txbxContent>
            </v:textbox>
            <w10:wrap type="none"/>
          </v:shape>
        </w:pict>
      </w:r>
      <w:r>
        <w:rPr/>
        <w:pict>
          <v:shape style="position:absolute;margin-left:156.01712pt;margin-top:130.255035pt;width:36.85pt;height:91.6pt;mso-position-horizontal-relative:page;mso-position-vertical-relative:paragraph;z-index:1744" type="#_x0000_t202" filled="false" stroked="false">
            <v:textbox inset="0,0,0,0" style="layout-flow:vertical;mso-layout-flow-alt:bottom-to-top">
              <w:txbxContent>
                <w:p>
                  <w:pPr>
                    <w:spacing w:line="256" w:lineRule="auto" w:before="0"/>
                    <w:ind w:left="62" w:right="18" w:hanging="43"/>
                    <w:jc w:val="right"/>
                    <w:rPr>
                      <w:rFonts w:ascii="Calibri" w:hAnsi="Calibri"/>
                      <w:b/>
                      <w:sz w:val="14"/>
                    </w:rPr>
                  </w:pPr>
                  <w:r>
                    <w:rPr>
                      <w:rFonts w:ascii="Calibri" w:hAnsi="Calibri"/>
                      <w:b/>
                      <w:spacing w:val="-1"/>
                      <w:w w:val="105"/>
                      <w:sz w:val="14"/>
                    </w:rPr>
                    <w:t>C</w:t>
                  </w:r>
                  <w:r>
                    <w:rPr>
                      <w:rFonts w:ascii="Calibri" w:hAnsi="Calibri"/>
                      <w:b/>
                      <w:spacing w:val="-2"/>
                      <w:w w:val="105"/>
                      <w:sz w:val="14"/>
                    </w:rPr>
                    <w:t>on</w:t>
                  </w:r>
                  <w:r>
                    <w:rPr>
                      <w:rFonts w:ascii="Calibri" w:hAnsi="Calibri"/>
                      <w:b/>
                      <w:w w:val="105"/>
                      <w:sz w:val="14"/>
                    </w:rPr>
                    <w:t>g</w:t>
                  </w:r>
                  <w:r>
                    <w:rPr>
                      <w:rFonts w:ascii="Calibri" w:hAnsi="Calibri"/>
                      <w:b/>
                      <w:spacing w:val="1"/>
                      <w:w w:val="105"/>
                      <w:sz w:val="14"/>
                    </w:rPr>
                    <w:t>r</w:t>
                  </w:r>
                  <w:r>
                    <w:rPr>
                      <w:rFonts w:ascii="Calibri" w:hAnsi="Calibri"/>
                      <w:b/>
                      <w:spacing w:val="3"/>
                      <w:w w:val="105"/>
                      <w:sz w:val="14"/>
                    </w:rPr>
                    <w:t>e</w:t>
                  </w:r>
                  <w:r>
                    <w:rPr>
                      <w:rFonts w:ascii="Calibri" w:hAnsi="Calibri"/>
                      <w:b/>
                      <w:spacing w:val="2"/>
                      <w:w w:val="105"/>
                      <w:sz w:val="14"/>
                    </w:rPr>
                    <w:t>s</w:t>
                  </w:r>
                  <w:r>
                    <w:rPr>
                      <w:rFonts w:ascii="Calibri" w:hAnsi="Calibri"/>
                      <w:b/>
                      <w:spacing w:val="-2"/>
                      <w:w w:val="105"/>
                      <w:sz w:val="14"/>
                    </w:rPr>
                    <w:t>o</w:t>
                  </w:r>
                  <w:r>
                    <w:rPr>
                      <w:rFonts w:ascii="Calibri" w:hAnsi="Calibri"/>
                      <w:b/>
                      <w:w w:val="105"/>
                      <w:sz w:val="14"/>
                    </w:rPr>
                    <w:t>s</w:t>
                  </w:r>
                  <w:r>
                    <w:rPr>
                      <w:rFonts w:ascii="Calibri" w:hAnsi="Calibri"/>
                      <w:b/>
                      <w:spacing w:val="-6"/>
                      <w:sz w:val="14"/>
                    </w:rPr>
                    <w:t> </w:t>
                  </w:r>
                  <w:r>
                    <w:rPr>
                      <w:rFonts w:ascii="Calibri" w:hAnsi="Calibri"/>
                      <w:b/>
                      <w:spacing w:val="-2"/>
                      <w:w w:val="105"/>
                      <w:sz w:val="14"/>
                    </w:rPr>
                    <w:t>P</w:t>
                  </w:r>
                  <w:r>
                    <w:rPr>
                      <w:rFonts w:ascii="Calibri" w:hAnsi="Calibri"/>
                      <w:b/>
                      <w:spacing w:val="-4"/>
                      <w:w w:val="105"/>
                      <w:sz w:val="14"/>
                    </w:rPr>
                    <w:t>a</w:t>
                  </w:r>
                  <w:r>
                    <w:rPr>
                      <w:rFonts w:ascii="Calibri" w:hAnsi="Calibri"/>
                      <w:b/>
                      <w:spacing w:val="-2"/>
                      <w:w w:val="105"/>
                      <w:sz w:val="14"/>
                    </w:rPr>
                    <w:t>n</w:t>
                  </w:r>
                  <w:r>
                    <w:rPr>
                      <w:rFonts w:ascii="Calibri" w:hAnsi="Calibri"/>
                      <w:b/>
                      <w:spacing w:val="-4"/>
                      <w:w w:val="105"/>
                      <w:sz w:val="14"/>
                    </w:rPr>
                    <w:t>am</w:t>
                  </w:r>
                  <w:r>
                    <w:rPr>
                      <w:rFonts w:ascii="Calibri" w:hAnsi="Calibri"/>
                      <w:b/>
                      <w:spacing w:val="3"/>
                      <w:w w:val="105"/>
                      <w:sz w:val="14"/>
                    </w:rPr>
                    <w:t>e</w:t>
                  </w:r>
                  <w:r>
                    <w:rPr>
                      <w:rFonts w:ascii="Calibri" w:hAnsi="Calibri"/>
                      <w:b/>
                      <w:spacing w:val="1"/>
                      <w:w w:val="105"/>
                      <w:sz w:val="14"/>
                    </w:rPr>
                    <w:t>r</w:t>
                  </w:r>
                  <w:r>
                    <w:rPr>
                      <w:rFonts w:ascii="Calibri" w:hAnsi="Calibri"/>
                      <w:b/>
                      <w:spacing w:val="2"/>
                      <w:w w:val="105"/>
                      <w:sz w:val="14"/>
                    </w:rPr>
                    <w:t>i</w:t>
                  </w:r>
                  <w:r>
                    <w:rPr>
                      <w:rFonts w:ascii="Calibri" w:hAnsi="Calibri"/>
                      <w:b/>
                      <w:spacing w:val="-1"/>
                      <w:w w:val="105"/>
                      <w:sz w:val="14"/>
                    </w:rPr>
                    <w:t>c</w:t>
                  </w:r>
                  <w:r>
                    <w:rPr>
                      <w:rFonts w:ascii="Calibri" w:hAnsi="Calibri"/>
                      <w:b/>
                      <w:spacing w:val="-3"/>
                      <w:w w:val="105"/>
                      <w:sz w:val="14"/>
                    </w:rPr>
                    <w:t>a</w:t>
                  </w:r>
                  <w:r>
                    <w:rPr>
                      <w:rFonts w:ascii="Calibri" w:hAnsi="Calibri"/>
                      <w:b/>
                      <w:spacing w:val="-2"/>
                      <w:w w:val="105"/>
                      <w:sz w:val="14"/>
                    </w:rPr>
                    <w:t>no</w:t>
                  </w:r>
                  <w:r>
                    <w:rPr>
                      <w:rFonts w:ascii="Calibri" w:hAnsi="Calibri"/>
                      <w:b/>
                      <w:w w:val="105"/>
                      <w:sz w:val="14"/>
                    </w:rPr>
                    <w:t>s</w:t>
                  </w:r>
                  <w:r>
                    <w:rPr>
                      <w:rFonts w:ascii="Calibri" w:hAnsi="Calibri"/>
                      <w:b/>
                      <w:sz w:val="14"/>
                    </w:rPr>
                    <w:t> </w:t>
                  </w:r>
                  <w:r>
                    <w:rPr>
                      <w:rFonts w:ascii="Calibri" w:hAnsi="Calibri"/>
                      <w:b/>
                      <w:spacing w:val="-7"/>
                      <w:sz w:val="14"/>
                    </w:rPr>
                    <w:t> </w:t>
                  </w:r>
                  <w:r>
                    <w:rPr>
                      <w:rFonts w:ascii="Calibri" w:hAnsi="Calibri"/>
                      <w:b/>
                      <w:spacing w:val="-2"/>
                      <w:w w:val="105"/>
                      <w:sz w:val="14"/>
                    </w:rPr>
                    <w:t>d</w:t>
                  </w:r>
                  <w:r>
                    <w:rPr>
                      <w:rFonts w:ascii="Calibri" w:hAnsi="Calibri"/>
                      <w:b/>
                      <w:w w:val="105"/>
                      <w:sz w:val="14"/>
                    </w:rPr>
                    <w:t>e </w:t>
                  </w:r>
                  <w:r>
                    <w:rPr>
                      <w:rFonts w:ascii="Calibri" w:hAnsi="Calibri"/>
                      <w:b/>
                      <w:spacing w:val="3"/>
                      <w:w w:val="105"/>
                      <w:sz w:val="14"/>
                    </w:rPr>
                    <w:t>A</w:t>
                  </w:r>
                  <w:r>
                    <w:rPr>
                      <w:rFonts w:ascii="Calibri" w:hAnsi="Calibri"/>
                      <w:b/>
                      <w:spacing w:val="1"/>
                      <w:w w:val="105"/>
                      <w:sz w:val="14"/>
                    </w:rPr>
                    <w:t>r</w:t>
                  </w:r>
                  <w:r>
                    <w:rPr>
                      <w:rFonts w:ascii="Calibri" w:hAnsi="Calibri"/>
                      <w:b/>
                      <w:spacing w:val="-2"/>
                      <w:w w:val="105"/>
                      <w:sz w:val="14"/>
                    </w:rPr>
                    <w:t>qu</w:t>
                  </w:r>
                  <w:r>
                    <w:rPr>
                      <w:rFonts w:ascii="Calibri" w:hAnsi="Calibri"/>
                      <w:b/>
                      <w:spacing w:val="2"/>
                      <w:w w:val="105"/>
                      <w:sz w:val="14"/>
                    </w:rPr>
                    <w:t>i</w:t>
                  </w:r>
                  <w:r>
                    <w:rPr>
                      <w:rFonts w:ascii="Calibri" w:hAnsi="Calibri"/>
                      <w:b/>
                      <w:spacing w:val="3"/>
                      <w:w w:val="105"/>
                      <w:sz w:val="14"/>
                    </w:rPr>
                    <w:t>te</w:t>
                  </w:r>
                  <w:r>
                    <w:rPr>
                      <w:rFonts w:ascii="Calibri" w:hAnsi="Calibri"/>
                      <w:b/>
                      <w:spacing w:val="-1"/>
                      <w:w w:val="105"/>
                      <w:sz w:val="14"/>
                    </w:rPr>
                    <w:t>c</w:t>
                  </w:r>
                  <w:r>
                    <w:rPr>
                      <w:rFonts w:ascii="Calibri" w:hAnsi="Calibri"/>
                      <w:b/>
                      <w:spacing w:val="-5"/>
                      <w:w w:val="105"/>
                      <w:sz w:val="14"/>
                    </w:rPr>
                    <w:t>t</w:t>
                  </w:r>
                  <w:r>
                    <w:rPr>
                      <w:rFonts w:ascii="Calibri" w:hAnsi="Calibri"/>
                      <w:b/>
                      <w:spacing w:val="-2"/>
                      <w:w w:val="105"/>
                      <w:sz w:val="14"/>
                    </w:rPr>
                    <w:t>o</w:t>
                  </w:r>
                  <w:r>
                    <w:rPr>
                      <w:rFonts w:ascii="Calibri" w:hAnsi="Calibri"/>
                      <w:b/>
                      <w:w w:val="105"/>
                      <w:sz w:val="14"/>
                    </w:rPr>
                    <w:t>s</w:t>
                  </w:r>
                  <w:r>
                    <w:rPr>
                      <w:rFonts w:ascii="Calibri" w:hAnsi="Calibri"/>
                      <w:b/>
                      <w:sz w:val="14"/>
                    </w:rPr>
                    <w:t> </w:t>
                  </w:r>
                  <w:r>
                    <w:rPr>
                      <w:rFonts w:ascii="Calibri" w:hAnsi="Calibri"/>
                      <w:b/>
                      <w:spacing w:val="-7"/>
                      <w:sz w:val="14"/>
                    </w:rPr>
                    <w:t> </w:t>
                  </w:r>
                  <w:r>
                    <w:rPr>
                      <w:rFonts w:ascii="Calibri" w:hAnsi="Calibri"/>
                      <w:b/>
                      <w:w w:val="105"/>
                      <w:sz w:val="14"/>
                    </w:rPr>
                    <w:t>(</w:t>
                  </w:r>
                  <w:r>
                    <w:rPr>
                      <w:rFonts w:ascii="Calibri" w:hAnsi="Calibri"/>
                      <w:b/>
                      <w:spacing w:val="2"/>
                      <w:w w:val="105"/>
                      <w:sz w:val="14"/>
                    </w:rPr>
                    <w:t>i</w:t>
                  </w:r>
                  <w:r>
                    <w:rPr>
                      <w:rFonts w:ascii="Calibri" w:hAnsi="Calibri"/>
                      <w:b/>
                      <w:spacing w:val="-2"/>
                      <w:w w:val="105"/>
                      <w:sz w:val="14"/>
                    </w:rPr>
                    <w:t>n</w:t>
                  </w:r>
                  <w:r>
                    <w:rPr>
                      <w:rFonts w:ascii="Calibri" w:hAnsi="Calibri"/>
                      <w:b/>
                      <w:spacing w:val="3"/>
                      <w:w w:val="105"/>
                      <w:sz w:val="14"/>
                    </w:rPr>
                    <w:t>t</w:t>
                  </w:r>
                  <w:r>
                    <w:rPr>
                      <w:rFonts w:ascii="Calibri" w:hAnsi="Calibri"/>
                      <w:b/>
                      <w:spacing w:val="-5"/>
                      <w:w w:val="105"/>
                      <w:sz w:val="14"/>
                    </w:rPr>
                    <w:t>e</w:t>
                  </w:r>
                  <w:r>
                    <w:rPr>
                      <w:rFonts w:ascii="Calibri" w:hAnsi="Calibri"/>
                      <w:b/>
                      <w:spacing w:val="1"/>
                      <w:w w:val="105"/>
                      <w:sz w:val="14"/>
                    </w:rPr>
                    <w:t>r</w:t>
                  </w:r>
                  <w:r>
                    <w:rPr>
                      <w:rFonts w:ascii="Calibri" w:hAnsi="Calibri"/>
                      <w:b/>
                      <w:spacing w:val="-2"/>
                      <w:w w:val="105"/>
                      <w:sz w:val="14"/>
                    </w:rPr>
                    <w:t>n</w:t>
                  </w:r>
                  <w:r>
                    <w:rPr>
                      <w:rFonts w:ascii="Calibri" w:hAnsi="Calibri"/>
                      <w:b/>
                      <w:spacing w:val="-4"/>
                      <w:w w:val="105"/>
                      <w:sz w:val="14"/>
                    </w:rPr>
                    <w:t>a</w:t>
                  </w:r>
                  <w:r>
                    <w:rPr>
                      <w:rFonts w:ascii="Calibri" w:hAnsi="Calibri"/>
                      <w:b/>
                      <w:spacing w:val="-1"/>
                      <w:w w:val="105"/>
                      <w:sz w:val="14"/>
                    </w:rPr>
                    <w:t>c</w:t>
                  </w:r>
                  <w:r>
                    <w:rPr>
                      <w:rFonts w:ascii="Calibri" w:hAnsi="Calibri"/>
                      <w:b/>
                      <w:spacing w:val="-5"/>
                      <w:w w:val="105"/>
                      <w:sz w:val="14"/>
                    </w:rPr>
                    <w:t>i</w:t>
                  </w:r>
                  <w:r>
                    <w:rPr>
                      <w:rFonts w:ascii="Calibri" w:hAnsi="Calibri"/>
                      <w:b/>
                      <w:spacing w:val="-2"/>
                      <w:w w:val="105"/>
                      <w:sz w:val="14"/>
                    </w:rPr>
                    <w:t>on</w:t>
                  </w:r>
                  <w:r>
                    <w:rPr>
                      <w:rFonts w:ascii="Calibri" w:hAnsi="Calibri"/>
                      <w:b/>
                      <w:spacing w:val="-4"/>
                      <w:w w:val="105"/>
                      <w:sz w:val="14"/>
                    </w:rPr>
                    <w:t>a</w:t>
                  </w:r>
                  <w:r>
                    <w:rPr>
                      <w:rFonts w:ascii="Calibri" w:hAnsi="Calibri"/>
                      <w:b/>
                      <w:spacing w:val="2"/>
                      <w:w w:val="105"/>
                      <w:sz w:val="14"/>
                    </w:rPr>
                    <w:t>l</w:t>
                  </w:r>
                  <w:r>
                    <w:rPr>
                      <w:rFonts w:ascii="Calibri" w:hAnsi="Calibri"/>
                      <w:b/>
                      <w:w w:val="105"/>
                      <w:sz w:val="14"/>
                    </w:rPr>
                    <w:t>) </w:t>
                  </w:r>
                  <w:r>
                    <w:rPr>
                      <w:rFonts w:ascii="Calibri" w:hAnsi="Calibri"/>
                      <w:b/>
                      <w:spacing w:val="-1"/>
                      <w:w w:val="105"/>
                      <w:sz w:val="14"/>
                    </w:rPr>
                    <w:t>P</w:t>
                  </w:r>
                  <w:r>
                    <w:rPr>
                      <w:rFonts w:ascii="Calibri" w:hAnsi="Calibri"/>
                      <w:b/>
                      <w:spacing w:val="2"/>
                      <w:w w:val="105"/>
                      <w:sz w:val="14"/>
                    </w:rPr>
                    <w:t>ri</w:t>
                  </w:r>
                  <w:r>
                    <w:rPr>
                      <w:rFonts w:ascii="Calibri" w:hAnsi="Calibri"/>
                      <w:b/>
                      <w:spacing w:val="-4"/>
                      <w:w w:val="105"/>
                      <w:sz w:val="14"/>
                    </w:rPr>
                    <w:t>m</w:t>
                  </w:r>
                  <w:r>
                    <w:rPr>
                      <w:rFonts w:ascii="Calibri" w:hAnsi="Calibri"/>
                      <w:b/>
                      <w:spacing w:val="3"/>
                      <w:w w:val="105"/>
                      <w:sz w:val="14"/>
                    </w:rPr>
                    <w:t>e</w:t>
                  </w:r>
                  <w:r>
                    <w:rPr>
                      <w:rFonts w:ascii="Calibri" w:hAnsi="Calibri"/>
                      <w:b/>
                      <w:w w:val="105"/>
                      <w:sz w:val="14"/>
                    </w:rPr>
                    <w:t>r</w:t>
                  </w:r>
                  <w:r>
                    <w:rPr>
                      <w:rFonts w:ascii="Calibri" w:hAnsi="Calibri"/>
                      <w:b/>
                      <w:spacing w:val="-7"/>
                      <w:sz w:val="14"/>
                    </w:rPr>
                    <w:t> </w:t>
                  </w:r>
                  <w:r>
                    <w:rPr>
                      <w:rFonts w:ascii="Calibri" w:hAnsi="Calibri"/>
                      <w:b/>
                      <w:spacing w:val="-1"/>
                      <w:w w:val="105"/>
                      <w:sz w:val="14"/>
                    </w:rPr>
                    <w:t>C</w:t>
                  </w:r>
                  <w:r>
                    <w:rPr>
                      <w:rFonts w:ascii="Calibri" w:hAnsi="Calibri"/>
                      <w:b/>
                      <w:spacing w:val="-2"/>
                      <w:w w:val="105"/>
                      <w:sz w:val="14"/>
                    </w:rPr>
                    <w:t>on</w:t>
                  </w:r>
                  <w:r>
                    <w:rPr>
                      <w:rFonts w:ascii="Calibri" w:hAnsi="Calibri"/>
                      <w:b/>
                      <w:w w:val="105"/>
                      <w:sz w:val="14"/>
                    </w:rPr>
                    <w:t>g</w:t>
                  </w:r>
                  <w:r>
                    <w:rPr>
                      <w:rFonts w:ascii="Calibri" w:hAnsi="Calibri"/>
                      <w:b/>
                      <w:spacing w:val="2"/>
                      <w:w w:val="105"/>
                      <w:sz w:val="14"/>
                    </w:rPr>
                    <w:t>r</w:t>
                  </w:r>
                  <w:r>
                    <w:rPr>
                      <w:rFonts w:ascii="Calibri" w:hAnsi="Calibri"/>
                      <w:b/>
                      <w:spacing w:val="3"/>
                      <w:w w:val="105"/>
                      <w:sz w:val="14"/>
                    </w:rPr>
                    <w:t>es</w:t>
                  </w:r>
                  <w:r>
                    <w:rPr>
                      <w:rFonts w:ascii="Calibri" w:hAnsi="Calibri"/>
                      <w:b/>
                      <w:w w:val="105"/>
                      <w:sz w:val="14"/>
                    </w:rPr>
                    <w:t>o</w:t>
                  </w:r>
                  <w:r>
                    <w:rPr>
                      <w:rFonts w:ascii="Calibri" w:hAnsi="Calibri"/>
                      <w:b/>
                      <w:spacing w:val="-10"/>
                      <w:sz w:val="14"/>
                    </w:rPr>
                    <w:t> </w:t>
                  </w:r>
                  <w:r>
                    <w:rPr>
                      <w:rFonts w:ascii="Calibri" w:hAnsi="Calibri"/>
                      <w:b/>
                      <w:spacing w:val="3"/>
                      <w:w w:val="105"/>
                      <w:sz w:val="14"/>
                    </w:rPr>
                    <w:t>N</w:t>
                  </w:r>
                  <w:r>
                    <w:rPr>
                      <w:rFonts w:ascii="Calibri" w:hAnsi="Calibri"/>
                      <w:b/>
                      <w:spacing w:val="-3"/>
                      <w:w w:val="105"/>
                      <w:sz w:val="14"/>
                    </w:rPr>
                    <w:t>a</w:t>
                  </w:r>
                  <w:r>
                    <w:rPr>
                      <w:rFonts w:ascii="Calibri" w:hAnsi="Calibri"/>
                      <w:b/>
                      <w:w w:val="105"/>
                      <w:sz w:val="14"/>
                    </w:rPr>
                    <w:t>c</w:t>
                  </w:r>
                  <w:r>
                    <w:rPr>
                      <w:rFonts w:ascii="Calibri" w:hAnsi="Calibri"/>
                      <w:b/>
                      <w:spacing w:val="2"/>
                      <w:w w:val="105"/>
                      <w:sz w:val="14"/>
                    </w:rPr>
                    <w:t>i</w:t>
                  </w:r>
                  <w:r>
                    <w:rPr>
                      <w:rFonts w:ascii="Calibri" w:hAnsi="Calibri"/>
                      <w:b/>
                      <w:spacing w:val="-2"/>
                      <w:w w:val="105"/>
                      <w:sz w:val="14"/>
                    </w:rPr>
                    <w:t>on</w:t>
                  </w:r>
                  <w:r>
                    <w:rPr>
                      <w:rFonts w:ascii="Calibri" w:hAnsi="Calibri"/>
                      <w:b/>
                      <w:spacing w:val="-3"/>
                      <w:w w:val="105"/>
                      <w:sz w:val="14"/>
                    </w:rPr>
                    <w:t>a</w:t>
                  </w:r>
                  <w:r>
                    <w:rPr>
                      <w:rFonts w:ascii="Calibri" w:hAnsi="Calibri"/>
                      <w:b/>
                      <w:w w:val="105"/>
                      <w:sz w:val="14"/>
                    </w:rPr>
                    <w:t>l</w:t>
                  </w:r>
                  <w:r>
                    <w:rPr>
                      <w:rFonts w:ascii="Calibri" w:hAnsi="Calibri"/>
                      <w:b/>
                      <w:spacing w:val="-6"/>
                      <w:sz w:val="14"/>
                    </w:rPr>
                    <w:t> </w:t>
                  </w:r>
                  <w:r>
                    <w:rPr>
                      <w:rFonts w:ascii="Calibri" w:hAnsi="Calibri"/>
                      <w:b/>
                      <w:spacing w:val="-2"/>
                      <w:w w:val="105"/>
                      <w:sz w:val="14"/>
                    </w:rPr>
                    <w:t>d</w:t>
                  </w:r>
                  <w:r>
                    <w:rPr>
                      <w:rFonts w:ascii="Calibri" w:hAnsi="Calibri"/>
                      <w:b/>
                      <w:w w:val="105"/>
                      <w:sz w:val="14"/>
                    </w:rPr>
                    <w:t>e </w:t>
                  </w:r>
                  <w:r>
                    <w:rPr>
                      <w:rFonts w:ascii="Calibri" w:hAnsi="Calibri"/>
                      <w:b/>
                      <w:spacing w:val="-1"/>
                      <w:w w:val="104"/>
                      <w:sz w:val="14"/>
                    </w:rPr>
                    <w:t>P</w:t>
                  </w:r>
                  <w:r>
                    <w:rPr>
                      <w:rFonts w:ascii="Calibri" w:hAnsi="Calibri"/>
                      <w:b/>
                      <w:spacing w:val="2"/>
                      <w:w w:val="104"/>
                      <w:sz w:val="14"/>
                    </w:rPr>
                    <w:t>l</w:t>
                  </w:r>
                  <w:r>
                    <w:rPr>
                      <w:rFonts w:ascii="Calibri" w:hAnsi="Calibri"/>
                      <w:b/>
                      <w:spacing w:val="-3"/>
                      <w:w w:val="104"/>
                      <w:sz w:val="14"/>
                    </w:rPr>
                    <w:t>a</w:t>
                  </w:r>
                  <w:r>
                    <w:rPr>
                      <w:rFonts w:ascii="Calibri" w:hAnsi="Calibri"/>
                      <w:b/>
                      <w:spacing w:val="-2"/>
                      <w:w w:val="104"/>
                      <w:sz w:val="14"/>
                    </w:rPr>
                    <w:t>n</w:t>
                  </w:r>
                  <w:r>
                    <w:rPr>
                      <w:rFonts w:ascii="Calibri" w:hAnsi="Calibri"/>
                      <w:b/>
                      <w:spacing w:val="3"/>
                      <w:w w:val="104"/>
                      <w:sz w:val="14"/>
                    </w:rPr>
                    <w:t>e</w:t>
                  </w:r>
                  <w:r>
                    <w:rPr>
                      <w:rFonts w:ascii="Calibri" w:hAnsi="Calibri"/>
                      <w:b/>
                      <w:spacing w:val="-3"/>
                      <w:w w:val="104"/>
                      <w:sz w:val="14"/>
                    </w:rPr>
                    <w:t>a</w:t>
                  </w:r>
                  <w:r>
                    <w:rPr>
                      <w:rFonts w:ascii="Calibri" w:hAnsi="Calibri"/>
                      <w:b/>
                      <w:w w:val="104"/>
                      <w:sz w:val="14"/>
                    </w:rPr>
                    <w:t>c</w:t>
                  </w:r>
                  <w:r>
                    <w:rPr>
                      <w:rFonts w:ascii="Calibri" w:hAnsi="Calibri"/>
                      <w:b/>
                      <w:spacing w:val="2"/>
                      <w:w w:val="104"/>
                      <w:sz w:val="14"/>
                    </w:rPr>
                    <w:t>i</w:t>
                  </w:r>
                  <w:r>
                    <w:rPr>
                      <w:rFonts w:ascii="Calibri" w:hAnsi="Calibri"/>
                      <w:b/>
                      <w:spacing w:val="-2"/>
                      <w:w w:val="104"/>
                      <w:sz w:val="14"/>
                    </w:rPr>
                    <w:t>ó</w:t>
                  </w:r>
                  <w:r>
                    <w:rPr>
                      <w:rFonts w:ascii="Calibri" w:hAnsi="Calibri"/>
                      <w:b/>
                      <w:w w:val="104"/>
                      <w:sz w:val="14"/>
                    </w:rPr>
                    <w:t>n</w:t>
                  </w:r>
                  <w:r>
                    <w:rPr>
                      <w:rFonts w:ascii="Calibri" w:hAnsi="Calibri"/>
                      <w:b/>
                      <w:sz w:val="14"/>
                    </w:rPr>
                    <w:t> </w:t>
                  </w:r>
                  <w:r>
                    <w:rPr>
                      <w:rFonts w:ascii="Calibri" w:hAnsi="Calibri"/>
                      <w:b/>
                      <w:spacing w:val="-10"/>
                      <w:sz w:val="14"/>
                    </w:rPr>
                    <w:t> </w:t>
                  </w:r>
                  <w:r>
                    <w:rPr>
                      <w:rFonts w:ascii="Calibri" w:hAnsi="Calibri"/>
                      <w:b/>
                      <w:w w:val="104"/>
                      <w:sz w:val="14"/>
                    </w:rPr>
                    <w:t>(</w:t>
                  </w:r>
                  <w:r>
                    <w:rPr>
                      <w:rFonts w:ascii="Calibri" w:hAnsi="Calibri"/>
                      <w:b/>
                      <w:spacing w:val="3"/>
                      <w:w w:val="104"/>
                      <w:sz w:val="14"/>
                    </w:rPr>
                    <w:t>Mé</w:t>
                  </w:r>
                  <w:r>
                    <w:rPr>
                      <w:rFonts w:ascii="Calibri" w:hAnsi="Calibri"/>
                      <w:b/>
                      <w:spacing w:val="2"/>
                      <w:w w:val="104"/>
                      <w:sz w:val="14"/>
                    </w:rPr>
                    <w:t>xi</w:t>
                  </w:r>
                  <w:r>
                    <w:rPr>
                      <w:rFonts w:ascii="Calibri" w:hAnsi="Calibri"/>
                      <w:b/>
                      <w:w w:val="104"/>
                      <w:sz w:val="14"/>
                    </w:rPr>
                    <w:t>c</w:t>
                  </w:r>
                  <w:r>
                    <w:rPr>
                      <w:rFonts w:ascii="Calibri" w:hAnsi="Calibri"/>
                      <w:b/>
                      <w:spacing w:val="-2"/>
                      <w:w w:val="104"/>
                      <w:sz w:val="14"/>
                    </w:rPr>
                    <w:t>o</w:t>
                  </w:r>
                  <w:r>
                    <w:rPr>
                      <w:rFonts w:ascii="Calibri" w:hAnsi="Calibri"/>
                      <w:b/>
                      <w:w w:val="104"/>
                      <w:sz w:val="14"/>
                    </w:rPr>
                    <w:t>)</w:t>
                  </w:r>
                </w:p>
              </w:txbxContent>
            </v:textbox>
            <w10:wrap type="none"/>
          </v:shape>
        </w:pict>
      </w:r>
      <w:r>
        <w:rPr/>
        <w:pict>
          <v:shape style="position:absolute;margin-left:160.239914pt;margin-top:99.026405pt;width:9.4pt;height:17.5pt;mso-position-horizontal-relative:page;mso-position-vertical-relative:paragraph;z-index:1768" type="#_x0000_t202" filled="false" stroked="false">
            <v:textbox inset="0,0,0,0" style="layout-flow:vertical;mso-layout-flow-alt:bottom-to-top">
              <w:txbxContent>
                <w:p>
                  <w:pPr>
                    <w:spacing w:line="168" w:lineRule="exact" w:before="0"/>
                    <w:ind w:left="20" w:right="-162" w:firstLine="0"/>
                    <w:jc w:val="left"/>
                    <w:rPr>
                      <w:rFonts w:ascii="Calibri"/>
                      <w:b/>
                      <w:sz w:val="14"/>
                    </w:rPr>
                  </w:pPr>
                  <w:r>
                    <w:rPr>
                      <w:rFonts w:ascii="Calibri"/>
                      <w:b/>
                      <w:spacing w:val="3"/>
                      <w:w w:val="105"/>
                      <w:sz w:val="14"/>
                    </w:rPr>
                    <w:t>1920</w:t>
                  </w:r>
                </w:p>
              </w:txbxContent>
            </v:textbox>
            <w10:wrap type="none"/>
          </v:shape>
        </w:pict>
      </w:r>
      <w:r>
        <w:rPr/>
        <w:pict>
          <v:shape style="position:absolute;margin-left:178.778992pt;margin-top:99.026405pt;width:9.4pt;height:17.5pt;mso-position-horizontal-relative:page;mso-position-vertical-relative:paragraph;z-index:1792" type="#_x0000_t202" filled="false" stroked="false">
            <v:textbox inset="0,0,0,0" style="layout-flow:vertical;mso-layout-flow-alt:bottom-to-top">
              <w:txbxContent>
                <w:p>
                  <w:pPr>
                    <w:spacing w:line="168" w:lineRule="exact" w:before="0"/>
                    <w:ind w:left="20" w:right="-162" w:firstLine="0"/>
                    <w:jc w:val="left"/>
                    <w:rPr>
                      <w:rFonts w:ascii="Calibri"/>
                      <w:b/>
                      <w:sz w:val="14"/>
                    </w:rPr>
                  </w:pPr>
                  <w:r>
                    <w:rPr>
                      <w:rFonts w:ascii="Calibri"/>
                      <w:b/>
                      <w:spacing w:val="3"/>
                      <w:w w:val="105"/>
                      <w:sz w:val="14"/>
                    </w:rPr>
                    <w:t>1930</w:t>
                  </w:r>
                </w:p>
              </w:txbxContent>
            </v:textbox>
            <w10:wrap type="none"/>
          </v:shape>
        </w:pict>
      </w:r>
      <w:r>
        <w:rPr/>
        <w:pict>
          <v:shape style="position:absolute;margin-left:200.575912pt;margin-top:128.876816pt;width:18.55pt;height:90.3pt;mso-position-horizontal-relative:page;mso-position-vertical-relative:paragraph;z-index:1816" type="#_x0000_t202" filled="false" stroked="false">
            <v:textbox inset="0,0,0,0" style="layout-flow:vertical;mso-layout-flow-alt:bottom-to-top">
              <w:txbxContent>
                <w:p>
                  <w:pPr>
                    <w:spacing w:before="0"/>
                    <w:ind w:left="20" w:right="0" w:firstLine="0"/>
                    <w:jc w:val="left"/>
                    <w:rPr>
                      <w:rFonts w:ascii="Calibri"/>
                      <w:b/>
                      <w:sz w:val="14"/>
                    </w:rPr>
                  </w:pPr>
                  <w:r>
                    <w:rPr>
                      <w:rFonts w:ascii="Calibri"/>
                      <w:b/>
                      <w:spacing w:val="3"/>
                      <w:w w:val="104"/>
                      <w:sz w:val="14"/>
                    </w:rPr>
                    <w:t>1</w:t>
                  </w:r>
                  <w:r>
                    <w:rPr>
                      <w:rFonts w:ascii="Calibri"/>
                      <w:b/>
                      <w:spacing w:val="-1"/>
                      <w:w w:val="102"/>
                      <w:position w:val="5"/>
                      <w:sz w:val="9"/>
                    </w:rPr>
                    <w:t>e</w:t>
                  </w:r>
                  <w:r>
                    <w:rPr>
                      <w:rFonts w:ascii="Calibri"/>
                      <w:b/>
                      <w:w w:val="102"/>
                      <w:position w:val="5"/>
                      <w:sz w:val="9"/>
                    </w:rPr>
                    <w:t>r</w:t>
                  </w:r>
                  <w:r>
                    <w:rPr>
                      <w:rFonts w:ascii="Calibri"/>
                      <w:b/>
                      <w:position w:val="5"/>
                      <w:sz w:val="9"/>
                    </w:rPr>
                    <w:t> </w:t>
                  </w:r>
                  <w:r>
                    <w:rPr>
                      <w:rFonts w:ascii="Calibri"/>
                      <w:b/>
                      <w:spacing w:val="-1"/>
                      <w:w w:val="104"/>
                      <w:sz w:val="14"/>
                    </w:rPr>
                    <w:t>C</w:t>
                  </w:r>
                  <w:r>
                    <w:rPr>
                      <w:rFonts w:ascii="Calibri"/>
                      <w:b/>
                      <w:spacing w:val="-2"/>
                      <w:w w:val="104"/>
                      <w:sz w:val="14"/>
                    </w:rPr>
                    <w:t>on</w:t>
                  </w:r>
                  <w:r>
                    <w:rPr>
                      <w:rFonts w:ascii="Calibri"/>
                      <w:b/>
                      <w:w w:val="104"/>
                      <w:sz w:val="14"/>
                    </w:rPr>
                    <w:t>g</w:t>
                  </w:r>
                  <w:r>
                    <w:rPr>
                      <w:rFonts w:ascii="Calibri"/>
                      <w:b/>
                      <w:spacing w:val="2"/>
                      <w:w w:val="104"/>
                      <w:sz w:val="14"/>
                    </w:rPr>
                    <w:t>r</w:t>
                  </w:r>
                  <w:r>
                    <w:rPr>
                      <w:rFonts w:ascii="Calibri"/>
                      <w:b/>
                      <w:spacing w:val="3"/>
                      <w:w w:val="104"/>
                      <w:sz w:val="14"/>
                    </w:rPr>
                    <w:t>es</w:t>
                  </w:r>
                  <w:r>
                    <w:rPr>
                      <w:rFonts w:ascii="Calibri"/>
                      <w:b/>
                      <w:w w:val="104"/>
                      <w:sz w:val="14"/>
                    </w:rPr>
                    <w:t>o</w:t>
                  </w:r>
                  <w:r>
                    <w:rPr>
                      <w:rFonts w:ascii="Calibri"/>
                      <w:b/>
                      <w:spacing w:val="-10"/>
                      <w:sz w:val="14"/>
                    </w:rPr>
                    <w:t> </w:t>
                  </w:r>
                  <w:r>
                    <w:rPr>
                      <w:rFonts w:ascii="Calibri"/>
                      <w:b/>
                      <w:w w:val="104"/>
                      <w:sz w:val="14"/>
                    </w:rPr>
                    <w:t>I</w:t>
                  </w:r>
                  <w:r>
                    <w:rPr>
                      <w:rFonts w:ascii="Calibri"/>
                      <w:b/>
                      <w:spacing w:val="-2"/>
                      <w:w w:val="104"/>
                      <w:sz w:val="14"/>
                    </w:rPr>
                    <w:t>n</w:t>
                  </w:r>
                  <w:r>
                    <w:rPr>
                      <w:rFonts w:ascii="Calibri"/>
                      <w:b/>
                      <w:spacing w:val="3"/>
                      <w:w w:val="104"/>
                      <w:sz w:val="14"/>
                    </w:rPr>
                    <w:t>te</w:t>
                  </w:r>
                  <w:r>
                    <w:rPr>
                      <w:rFonts w:ascii="Calibri"/>
                      <w:b/>
                      <w:spacing w:val="2"/>
                      <w:w w:val="104"/>
                      <w:sz w:val="14"/>
                    </w:rPr>
                    <w:t>r</w:t>
                  </w:r>
                  <w:r>
                    <w:rPr>
                      <w:rFonts w:ascii="Calibri"/>
                      <w:b/>
                      <w:spacing w:val="-2"/>
                      <w:w w:val="104"/>
                      <w:sz w:val="14"/>
                    </w:rPr>
                    <w:t>n</w:t>
                  </w:r>
                  <w:r>
                    <w:rPr>
                      <w:rFonts w:ascii="Calibri"/>
                      <w:b/>
                      <w:spacing w:val="-3"/>
                      <w:w w:val="104"/>
                      <w:sz w:val="14"/>
                    </w:rPr>
                    <w:t>a</w:t>
                  </w:r>
                  <w:r>
                    <w:rPr>
                      <w:rFonts w:ascii="Calibri"/>
                      <w:b/>
                      <w:w w:val="104"/>
                      <w:sz w:val="14"/>
                    </w:rPr>
                    <w:t>c</w:t>
                  </w:r>
                  <w:r>
                    <w:rPr>
                      <w:rFonts w:ascii="Calibri"/>
                      <w:b/>
                      <w:spacing w:val="2"/>
                      <w:w w:val="104"/>
                      <w:sz w:val="14"/>
                    </w:rPr>
                    <w:t>i</w:t>
                  </w:r>
                  <w:r>
                    <w:rPr>
                      <w:rFonts w:ascii="Calibri"/>
                      <w:b/>
                      <w:spacing w:val="-2"/>
                      <w:w w:val="104"/>
                      <w:sz w:val="14"/>
                    </w:rPr>
                    <w:t>on</w:t>
                  </w:r>
                  <w:r>
                    <w:rPr>
                      <w:rFonts w:ascii="Calibri"/>
                      <w:b/>
                      <w:spacing w:val="-3"/>
                      <w:w w:val="104"/>
                      <w:sz w:val="14"/>
                    </w:rPr>
                    <w:t>a</w:t>
                  </w:r>
                  <w:r>
                    <w:rPr>
                      <w:rFonts w:ascii="Calibri"/>
                      <w:b/>
                      <w:w w:val="104"/>
                      <w:sz w:val="14"/>
                    </w:rPr>
                    <w:t>l</w:t>
                  </w:r>
                  <w:r>
                    <w:rPr>
                      <w:rFonts w:ascii="Calibri"/>
                      <w:b/>
                      <w:spacing w:val="-6"/>
                      <w:sz w:val="14"/>
                    </w:rPr>
                    <w:t> </w:t>
                  </w:r>
                  <w:r>
                    <w:rPr>
                      <w:rFonts w:ascii="Calibri"/>
                      <w:b/>
                      <w:spacing w:val="-2"/>
                      <w:w w:val="104"/>
                      <w:sz w:val="14"/>
                    </w:rPr>
                    <w:t>d</w:t>
                  </w:r>
                  <w:r>
                    <w:rPr>
                      <w:rFonts w:ascii="Calibri"/>
                      <w:b/>
                      <w:w w:val="104"/>
                      <w:sz w:val="14"/>
                    </w:rPr>
                    <w:t>e</w:t>
                  </w:r>
                </w:p>
                <w:p>
                  <w:pPr>
                    <w:spacing w:before="7"/>
                    <w:ind w:left="360" w:right="-710" w:firstLine="0"/>
                    <w:jc w:val="left"/>
                    <w:rPr>
                      <w:rFonts w:ascii="Calibri"/>
                      <w:b/>
                      <w:sz w:val="14"/>
                    </w:rPr>
                  </w:pPr>
                  <w:r>
                    <w:rPr>
                      <w:rFonts w:ascii="Calibri"/>
                      <w:b/>
                      <w:spacing w:val="-4"/>
                      <w:w w:val="105"/>
                      <w:sz w:val="14"/>
                    </w:rPr>
                    <w:t>U</w:t>
                  </w:r>
                  <w:r>
                    <w:rPr>
                      <w:rFonts w:ascii="Calibri"/>
                      <w:b/>
                      <w:spacing w:val="2"/>
                      <w:w w:val="105"/>
                      <w:sz w:val="14"/>
                    </w:rPr>
                    <w:t>r</w:t>
                  </w:r>
                  <w:r>
                    <w:rPr>
                      <w:rFonts w:ascii="Calibri"/>
                      <w:b/>
                      <w:spacing w:val="-2"/>
                      <w:w w:val="105"/>
                      <w:sz w:val="14"/>
                    </w:rPr>
                    <w:t>b</w:t>
                  </w:r>
                  <w:r>
                    <w:rPr>
                      <w:rFonts w:ascii="Calibri"/>
                      <w:b/>
                      <w:spacing w:val="-3"/>
                      <w:w w:val="105"/>
                      <w:sz w:val="14"/>
                    </w:rPr>
                    <w:t>a</w:t>
                  </w:r>
                  <w:r>
                    <w:rPr>
                      <w:rFonts w:ascii="Calibri"/>
                      <w:b/>
                      <w:spacing w:val="-2"/>
                      <w:w w:val="105"/>
                      <w:sz w:val="14"/>
                    </w:rPr>
                    <w:t>n</w:t>
                  </w:r>
                  <w:r>
                    <w:rPr>
                      <w:rFonts w:ascii="Calibri"/>
                      <w:b/>
                      <w:spacing w:val="2"/>
                      <w:w w:val="105"/>
                      <w:sz w:val="14"/>
                    </w:rPr>
                    <w:t>i</w:t>
                  </w:r>
                  <w:r>
                    <w:rPr>
                      <w:rFonts w:ascii="Calibri"/>
                      <w:b/>
                      <w:spacing w:val="3"/>
                      <w:w w:val="105"/>
                      <w:sz w:val="14"/>
                    </w:rPr>
                    <w:t>s</w:t>
                  </w:r>
                  <w:r>
                    <w:rPr>
                      <w:rFonts w:ascii="Calibri"/>
                      <w:b/>
                      <w:spacing w:val="-4"/>
                      <w:w w:val="105"/>
                      <w:sz w:val="14"/>
                    </w:rPr>
                    <w:t>m</w:t>
                  </w:r>
                  <w:r>
                    <w:rPr>
                      <w:rFonts w:ascii="Calibri"/>
                      <w:b/>
                      <w:w w:val="105"/>
                      <w:sz w:val="14"/>
                    </w:rPr>
                    <w:t>o</w:t>
                  </w:r>
                  <w:r>
                    <w:rPr>
                      <w:rFonts w:ascii="Calibri"/>
                      <w:b/>
                      <w:sz w:val="14"/>
                    </w:rPr>
                    <w:t> </w:t>
                  </w:r>
                  <w:r>
                    <w:rPr>
                      <w:rFonts w:ascii="Calibri"/>
                      <w:b/>
                      <w:spacing w:val="-11"/>
                      <w:sz w:val="14"/>
                    </w:rPr>
                    <w:t> </w:t>
                  </w:r>
                  <w:r>
                    <w:rPr>
                      <w:rFonts w:ascii="Calibri"/>
                      <w:b/>
                      <w:w w:val="105"/>
                      <w:sz w:val="14"/>
                    </w:rPr>
                    <w:t>(</w:t>
                  </w:r>
                  <w:r>
                    <w:rPr>
                      <w:rFonts w:ascii="Calibri"/>
                      <w:b/>
                      <w:spacing w:val="3"/>
                      <w:w w:val="105"/>
                      <w:sz w:val="14"/>
                    </w:rPr>
                    <w:t>A</w:t>
                  </w:r>
                  <w:r>
                    <w:rPr>
                      <w:rFonts w:ascii="Calibri"/>
                      <w:b/>
                      <w:spacing w:val="2"/>
                      <w:w w:val="105"/>
                      <w:sz w:val="14"/>
                    </w:rPr>
                    <w:t>r</w:t>
                  </w:r>
                  <w:r>
                    <w:rPr>
                      <w:rFonts w:ascii="Calibri"/>
                      <w:b/>
                      <w:w w:val="105"/>
                      <w:sz w:val="14"/>
                    </w:rPr>
                    <w:t>g</w:t>
                  </w:r>
                  <w:r>
                    <w:rPr>
                      <w:rFonts w:ascii="Calibri"/>
                      <w:b/>
                      <w:spacing w:val="3"/>
                      <w:w w:val="105"/>
                      <w:sz w:val="14"/>
                    </w:rPr>
                    <w:t>e</w:t>
                  </w:r>
                  <w:r>
                    <w:rPr>
                      <w:rFonts w:ascii="Calibri"/>
                      <w:b/>
                      <w:spacing w:val="-2"/>
                      <w:w w:val="105"/>
                      <w:sz w:val="14"/>
                    </w:rPr>
                    <w:t>n</w:t>
                  </w:r>
                  <w:r>
                    <w:rPr>
                      <w:rFonts w:ascii="Calibri"/>
                      <w:b/>
                      <w:spacing w:val="3"/>
                      <w:w w:val="105"/>
                      <w:sz w:val="14"/>
                    </w:rPr>
                    <w:t>t</w:t>
                  </w:r>
                  <w:r>
                    <w:rPr>
                      <w:rFonts w:ascii="Calibri"/>
                      <w:b/>
                      <w:spacing w:val="2"/>
                      <w:w w:val="105"/>
                      <w:sz w:val="14"/>
                    </w:rPr>
                    <w:t>i</w:t>
                  </w:r>
                  <w:r>
                    <w:rPr>
                      <w:rFonts w:ascii="Calibri"/>
                      <w:b/>
                      <w:spacing w:val="-2"/>
                      <w:w w:val="105"/>
                      <w:sz w:val="14"/>
                    </w:rPr>
                    <w:t>n</w:t>
                  </w:r>
                  <w:r>
                    <w:rPr>
                      <w:rFonts w:ascii="Calibri"/>
                      <w:b/>
                      <w:spacing w:val="-3"/>
                      <w:w w:val="105"/>
                      <w:sz w:val="14"/>
                    </w:rPr>
                    <w:t>a</w:t>
                  </w:r>
                  <w:r>
                    <w:rPr>
                      <w:rFonts w:ascii="Calibri"/>
                      <w:b/>
                      <w:w w:val="105"/>
                      <w:sz w:val="14"/>
                    </w:rPr>
                    <w:t>)</w:t>
                  </w:r>
                </w:p>
              </w:txbxContent>
            </v:textbox>
            <w10:wrap type="none"/>
          </v:shape>
        </w:pict>
      </w:r>
      <w:r>
        <w:rPr/>
        <w:pict>
          <v:shape style="position:absolute;margin-left:205.083878pt;margin-top:99.670074pt;width:9.4pt;height:17.45pt;mso-position-horizontal-relative:page;mso-position-vertical-relative:paragraph;z-index:1840" type="#_x0000_t202" filled="false" stroked="false">
            <v:textbox inset="0,0,0,0" style="layout-flow:vertical;mso-layout-flow-alt:bottom-to-top">
              <w:txbxContent>
                <w:p>
                  <w:pPr>
                    <w:spacing w:line="168" w:lineRule="exact" w:before="0"/>
                    <w:ind w:left="20" w:right="-158" w:firstLine="0"/>
                    <w:jc w:val="left"/>
                    <w:rPr>
                      <w:rFonts w:ascii="Calibri"/>
                      <w:b/>
                      <w:sz w:val="14"/>
                    </w:rPr>
                  </w:pPr>
                  <w:r>
                    <w:rPr>
                      <w:rFonts w:ascii="Calibri"/>
                      <w:b/>
                      <w:spacing w:val="2"/>
                      <w:w w:val="105"/>
                      <w:sz w:val="14"/>
                    </w:rPr>
                    <w:t>1935</w:t>
                  </w:r>
                </w:p>
              </w:txbxContent>
            </v:textbox>
            <w10:wrap type="none"/>
          </v:shape>
        </w:pict>
      </w:r>
      <w:r>
        <w:rPr/>
        <w:pict>
          <v:shape style="position:absolute;margin-left:233.019287pt;margin-top:121.327385pt;width:18.55pt;height:101.5pt;mso-position-horizontal-relative:page;mso-position-vertical-relative:paragraph;z-index:1864" type="#_x0000_t202" filled="false" stroked="false">
            <v:textbox inset="0,0,0,0" style="layout-flow:vertical;mso-layout-flow-alt:bottom-to-top">
              <w:txbxContent>
                <w:p>
                  <w:pPr>
                    <w:spacing w:line="249" w:lineRule="auto" w:before="0"/>
                    <w:ind w:left="20" w:right="18" w:firstLine="177"/>
                    <w:jc w:val="left"/>
                    <w:rPr>
                      <w:rFonts w:ascii="Calibri" w:hAnsi="Calibri"/>
                      <w:b/>
                      <w:sz w:val="14"/>
                    </w:rPr>
                  </w:pPr>
                  <w:r>
                    <w:rPr>
                      <w:rFonts w:ascii="Calibri" w:hAnsi="Calibri"/>
                      <w:b/>
                      <w:spacing w:val="2"/>
                      <w:w w:val="104"/>
                      <w:sz w:val="14"/>
                    </w:rPr>
                    <w:t>1</w:t>
                  </w:r>
                  <w:r>
                    <w:rPr>
                      <w:rFonts w:ascii="Calibri" w:hAnsi="Calibri"/>
                      <w:b/>
                      <w:spacing w:val="3"/>
                      <w:w w:val="104"/>
                      <w:sz w:val="14"/>
                    </w:rPr>
                    <w:t>6</w:t>
                  </w:r>
                  <w:r>
                    <w:rPr>
                      <w:rFonts w:ascii="Calibri" w:hAnsi="Calibri"/>
                      <w:b/>
                      <w:w w:val="102"/>
                      <w:position w:val="5"/>
                      <w:sz w:val="9"/>
                    </w:rPr>
                    <w:t>0</w:t>
                  </w:r>
                  <w:r>
                    <w:rPr>
                      <w:rFonts w:ascii="Calibri" w:hAnsi="Calibri"/>
                      <w:b/>
                      <w:position w:val="5"/>
                      <w:sz w:val="9"/>
                    </w:rPr>
                    <w:t> </w:t>
                  </w:r>
                  <w:r>
                    <w:rPr>
                      <w:rFonts w:ascii="Calibri" w:hAnsi="Calibri"/>
                      <w:b/>
                      <w:spacing w:val="-11"/>
                      <w:position w:val="5"/>
                      <w:sz w:val="9"/>
                    </w:rPr>
                    <w:t> </w:t>
                  </w:r>
                  <w:r>
                    <w:rPr>
                      <w:rFonts w:ascii="Calibri" w:hAnsi="Calibri"/>
                      <w:b/>
                      <w:spacing w:val="-1"/>
                      <w:w w:val="104"/>
                      <w:sz w:val="14"/>
                    </w:rPr>
                    <w:t>C</w:t>
                  </w:r>
                  <w:r>
                    <w:rPr>
                      <w:rFonts w:ascii="Calibri" w:hAnsi="Calibri"/>
                      <w:b/>
                      <w:spacing w:val="-2"/>
                      <w:w w:val="104"/>
                      <w:sz w:val="14"/>
                    </w:rPr>
                    <w:t>on</w:t>
                  </w:r>
                  <w:r>
                    <w:rPr>
                      <w:rFonts w:ascii="Calibri" w:hAnsi="Calibri"/>
                      <w:b/>
                      <w:w w:val="104"/>
                      <w:sz w:val="14"/>
                    </w:rPr>
                    <w:t>g</w:t>
                  </w:r>
                  <w:r>
                    <w:rPr>
                      <w:rFonts w:ascii="Calibri" w:hAnsi="Calibri"/>
                      <w:b/>
                      <w:spacing w:val="1"/>
                      <w:w w:val="104"/>
                      <w:sz w:val="14"/>
                    </w:rPr>
                    <w:t>r</w:t>
                  </w:r>
                  <w:r>
                    <w:rPr>
                      <w:rFonts w:ascii="Calibri" w:hAnsi="Calibri"/>
                      <w:b/>
                      <w:spacing w:val="3"/>
                      <w:w w:val="104"/>
                      <w:sz w:val="14"/>
                    </w:rPr>
                    <w:t>es</w:t>
                  </w:r>
                  <w:r>
                    <w:rPr>
                      <w:rFonts w:ascii="Calibri" w:hAnsi="Calibri"/>
                      <w:b/>
                      <w:w w:val="104"/>
                      <w:sz w:val="14"/>
                    </w:rPr>
                    <w:t>o</w:t>
                  </w:r>
                  <w:r>
                    <w:rPr>
                      <w:rFonts w:ascii="Calibri" w:hAnsi="Calibri"/>
                      <w:b/>
                      <w:spacing w:val="-11"/>
                      <w:sz w:val="14"/>
                    </w:rPr>
                    <w:t> </w:t>
                  </w:r>
                  <w:r>
                    <w:rPr>
                      <w:rFonts w:ascii="Calibri" w:hAnsi="Calibri"/>
                      <w:b/>
                      <w:spacing w:val="-1"/>
                      <w:w w:val="104"/>
                      <w:sz w:val="14"/>
                    </w:rPr>
                    <w:t>I</w:t>
                  </w:r>
                  <w:r>
                    <w:rPr>
                      <w:rFonts w:ascii="Calibri" w:hAnsi="Calibri"/>
                      <w:b/>
                      <w:spacing w:val="-2"/>
                      <w:w w:val="104"/>
                      <w:sz w:val="14"/>
                    </w:rPr>
                    <w:t>n</w:t>
                  </w:r>
                  <w:r>
                    <w:rPr>
                      <w:rFonts w:ascii="Calibri" w:hAnsi="Calibri"/>
                      <w:b/>
                      <w:spacing w:val="3"/>
                      <w:w w:val="104"/>
                      <w:sz w:val="14"/>
                    </w:rPr>
                    <w:t>te</w:t>
                  </w:r>
                  <w:r>
                    <w:rPr>
                      <w:rFonts w:ascii="Calibri" w:hAnsi="Calibri"/>
                      <w:b/>
                      <w:spacing w:val="1"/>
                      <w:w w:val="104"/>
                      <w:sz w:val="14"/>
                    </w:rPr>
                    <w:t>r</w:t>
                  </w:r>
                  <w:r>
                    <w:rPr>
                      <w:rFonts w:ascii="Calibri" w:hAnsi="Calibri"/>
                      <w:b/>
                      <w:spacing w:val="-2"/>
                      <w:w w:val="104"/>
                      <w:sz w:val="14"/>
                    </w:rPr>
                    <w:t>n</w:t>
                  </w:r>
                  <w:r>
                    <w:rPr>
                      <w:rFonts w:ascii="Calibri" w:hAnsi="Calibri"/>
                      <w:b/>
                      <w:spacing w:val="-3"/>
                      <w:w w:val="104"/>
                      <w:sz w:val="14"/>
                    </w:rPr>
                    <w:t>a</w:t>
                  </w:r>
                  <w:r>
                    <w:rPr>
                      <w:rFonts w:ascii="Calibri" w:hAnsi="Calibri"/>
                      <w:b/>
                      <w:w w:val="104"/>
                      <w:sz w:val="14"/>
                    </w:rPr>
                    <w:t>c</w:t>
                  </w:r>
                  <w:r>
                    <w:rPr>
                      <w:rFonts w:ascii="Calibri" w:hAnsi="Calibri"/>
                      <w:b/>
                      <w:spacing w:val="2"/>
                      <w:w w:val="104"/>
                      <w:sz w:val="14"/>
                    </w:rPr>
                    <w:t>i</w:t>
                  </w:r>
                  <w:r>
                    <w:rPr>
                      <w:rFonts w:ascii="Calibri" w:hAnsi="Calibri"/>
                      <w:b/>
                      <w:spacing w:val="-2"/>
                      <w:w w:val="104"/>
                      <w:sz w:val="14"/>
                    </w:rPr>
                    <w:t>on</w:t>
                  </w:r>
                  <w:r>
                    <w:rPr>
                      <w:rFonts w:ascii="Calibri" w:hAnsi="Calibri"/>
                      <w:b/>
                      <w:spacing w:val="-3"/>
                      <w:w w:val="104"/>
                      <w:sz w:val="14"/>
                    </w:rPr>
                    <w:t>a</w:t>
                  </w:r>
                  <w:r>
                    <w:rPr>
                      <w:rFonts w:ascii="Calibri" w:hAnsi="Calibri"/>
                      <w:b/>
                      <w:w w:val="104"/>
                      <w:sz w:val="14"/>
                    </w:rPr>
                    <w:t>l</w:t>
                  </w:r>
                  <w:r>
                    <w:rPr>
                      <w:rFonts w:ascii="Calibri" w:hAnsi="Calibri"/>
                      <w:b/>
                      <w:spacing w:val="-7"/>
                      <w:sz w:val="14"/>
                    </w:rPr>
                    <w:t> </w:t>
                  </w:r>
                  <w:r>
                    <w:rPr>
                      <w:rFonts w:ascii="Calibri" w:hAnsi="Calibri"/>
                      <w:b/>
                      <w:spacing w:val="-2"/>
                      <w:w w:val="104"/>
                      <w:sz w:val="14"/>
                    </w:rPr>
                    <w:t>d</w:t>
                  </w:r>
                  <w:r>
                    <w:rPr>
                      <w:rFonts w:ascii="Calibri" w:hAnsi="Calibri"/>
                      <w:b/>
                      <w:w w:val="104"/>
                      <w:sz w:val="14"/>
                    </w:rPr>
                    <w:t>e </w:t>
                  </w:r>
                  <w:r>
                    <w:rPr>
                      <w:rFonts w:ascii="Calibri" w:hAnsi="Calibri"/>
                      <w:b/>
                      <w:spacing w:val="-1"/>
                      <w:w w:val="104"/>
                      <w:sz w:val="14"/>
                    </w:rPr>
                    <w:t>P</w:t>
                  </w:r>
                  <w:r>
                    <w:rPr>
                      <w:rFonts w:ascii="Calibri" w:hAnsi="Calibri"/>
                      <w:b/>
                      <w:spacing w:val="2"/>
                      <w:w w:val="104"/>
                      <w:sz w:val="14"/>
                    </w:rPr>
                    <w:t>l</w:t>
                  </w:r>
                  <w:r>
                    <w:rPr>
                      <w:rFonts w:ascii="Calibri" w:hAnsi="Calibri"/>
                      <w:b/>
                      <w:spacing w:val="-3"/>
                      <w:w w:val="104"/>
                      <w:sz w:val="14"/>
                    </w:rPr>
                    <w:t>a</w:t>
                  </w:r>
                  <w:r>
                    <w:rPr>
                      <w:rFonts w:ascii="Calibri" w:hAnsi="Calibri"/>
                      <w:b/>
                      <w:spacing w:val="-2"/>
                      <w:w w:val="104"/>
                      <w:sz w:val="14"/>
                    </w:rPr>
                    <w:t>n</w:t>
                  </w:r>
                  <w:r>
                    <w:rPr>
                      <w:rFonts w:ascii="Calibri" w:hAnsi="Calibri"/>
                      <w:b/>
                      <w:spacing w:val="2"/>
                      <w:w w:val="104"/>
                      <w:sz w:val="14"/>
                    </w:rPr>
                    <w:t>i</w:t>
                  </w:r>
                  <w:r>
                    <w:rPr>
                      <w:rFonts w:ascii="Calibri" w:hAnsi="Calibri"/>
                      <w:b/>
                      <w:spacing w:val="-1"/>
                      <w:w w:val="104"/>
                      <w:sz w:val="14"/>
                    </w:rPr>
                    <w:t>f</w:t>
                  </w:r>
                  <w:r>
                    <w:rPr>
                      <w:rFonts w:ascii="Calibri" w:hAnsi="Calibri"/>
                      <w:b/>
                      <w:spacing w:val="2"/>
                      <w:w w:val="104"/>
                      <w:sz w:val="14"/>
                    </w:rPr>
                    <w:t>i</w:t>
                  </w:r>
                  <w:r>
                    <w:rPr>
                      <w:rFonts w:ascii="Calibri" w:hAnsi="Calibri"/>
                      <w:b/>
                      <w:w w:val="104"/>
                      <w:sz w:val="14"/>
                    </w:rPr>
                    <w:t>c</w:t>
                  </w:r>
                  <w:r>
                    <w:rPr>
                      <w:rFonts w:ascii="Calibri" w:hAnsi="Calibri"/>
                      <w:b/>
                      <w:spacing w:val="-3"/>
                      <w:w w:val="104"/>
                      <w:sz w:val="14"/>
                    </w:rPr>
                    <w:t>a</w:t>
                  </w:r>
                  <w:r>
                    <w:rPr>
                      <w:rFonts w:ascii="Calibri" w:hAnsi="Calibri"/>
                      <w:b/>
                      <w:w w:val="104"/>
                      <w:sz w:val="14"/>
                    </w:rPr>
                    <w:t>c</w:t>
                  </w:r>
                  <w:r>
                    <w:rPr>
                      <w:rFonts w:ascii="Calibri" w:hAnsi="Calibri"/>
                      <w:b/>
                      <w:spacing w:val="2"/>
                      <w:w w:val="104"/>
                      <w:sz w:val="14"/>
                    </w:rPr>
                    <w:t>i</w:t>
                  </w:r>
                  <w:r>
                    <w:rPr>
                      <w:rFonts w:ascii="Calibri" w:hAnsi="Calibri"/>
                      <w:b/>
                      <w:spacing w:val="-2"/>
                      <w:w w:val="104"/>
                      <w:sz w:val="14"/>
                    </w:rPr>
                    <w:t>ó</w:t>
                  </w:r>
                  <w:r>
                    <w:rPr>
                      <w:rFonts w:ascii="Calibri" w:hAnsi="Calibri"/>
                      <w:b/>
                      <w:w w:val="104"/>
                      <w:sz w:val="14"/>
                    </w:rPr>
                    <w:t>n</w:t>
                  </w:r>
                  <w:r>
                    <w:rPr>
                      <w:rFonts w:ascii="Calibri" w:hAnsi="Calibri"/>
                      <w:b/>
                      <w:spacing w:val="-11"/>
                      <w:sz w:val="14"/>
                    </w:rPr>
                    <w:t> </w:t>
                  </w:r>
                  <w:r>
                    <w:rPr>
                      <w:rFonts w:ascii="Calibri" w:hAnsi="Calibri"/>
                      <w:b/>
                      <w:w w:val="104"/>
                      <w:sz w:val="14"/>
                    </w:rPr>
                    <w:t>y</w:t>
                  </w:r>
                  <w:r>
                    <w:rPr>
                      <w:rFonts w:ascii="Calibri" w:hAnsi="Calibri"/>
                      <w:b/>
                      <w:spacing w:val="-9"/>
                      <w:sz w:val="14"/>
                    </w:rPr>
                    <w:t> </w:t>
                  </w:r>
                  <w:r>
                    <w:rPr>
                      <w:rFonts w:ascii="Calibri" w:hAnsi="Calibri"/>
                      <w:b/>
                      <w:spacing w:val="-2"/>
                      <w:w w:val="104"/>
                      <w:sz w:val="14"/>
                    </w:rPr>
                    <w:t>V</w:t>
                  </w:r>
                  <w:r>
                    <w:rPr>
                      <w:rFonts w:ascii="Calibri" w:hAnsi="Calibri"/>
                      <w:b/>
                      <w:spacing w:val="2"/>
                      <w:w w:val="104"/>
                      <w:sz w:val="14"/>
                    </w:rPr>
                    <w:t>i</w:t>
                  </w:r>
                  <w:r>
                    <w:rPr>
                      <w:rFonts w:ascii="Calibri" w:hAnsi="Calibri"/>
                      <w:b/>
                      <w:spacing w:val="-1"/>
                      <w:w w:val="104"/>
                      <w:sz w:val="14"/>
                    </w:rPr>
                    <w:t>v</w:t>
                  </w:r>
                  <w:r>
                    <w:rPr>
                      <w:rFonts w:ascii="Calibri" w:hAnsi="Calibri"/>
                      <w:b/>
                      <w:spacing w:val="2"/>
                      <w:w w:val="104"/>
                      <w:sz w:val="14"/>
                    </w:rPr>
                    <w:t>i</w:t>
                  </w:r>
                  <w:r>
                    <w:rPr>
                      <w:rFonts w:ascii="Calibri" w:hAnsi="Calibri"/>
                      <w:b/>
                      <w:spacing w:val="3"/>
                      <w:w w:val="104"/>
                      <w:sz w:val="14"/>
                    </w:rPr>
                    <w:t>e</w:t>
                  </w:r>
                  <w:r>
                    <w:rPr>
                      <w:rFonts w:ascii="Calibri" w:hAnsi="Calibri"/>
                      <w:b/>
                      <w:spacing w:val="-2"/>
                      <w:w w:val="104"/>
                      <w:sz w:val="14"/>
                    </w:rPr>
                    <w:t>nd</w:t>
                  </w:r>
                  <w:r>
                    <w:rPr>
                      <w:rFonts w:ascii="Calibri" w:hAnsi="Calibri"/>
                      <w:b/>
                      <w:w w:val="104"/>
                      <w:sz w:val="14"/>
                    </w:rPr>
                    <w:t>a</w:t>
                  </w:r>
                  <w:r>
                    <w:rPr>
                      <w:rFonts w:ascii="Calibri" w:hAnsi="Calibri"/>
                      <w:b/>
                      <w:spacing w:val="-12"/>
                      <w:sz w:val="14"/>
                    </w:rPr>
                    <w:t> </w:t>
                  </w:r>
                  <w:r>
                    <w:rPr>
                      <w:rFonts w:ascii="Calibri" w:hAnsi="Calibri"/>
                      <w:b/>
                      <w:w w:val="104"/>
                      <w:sz w:val="14"/>
                    </w:rPr>
                    <w:t>(</w:t>
                  </w:r>
                  <w:r>
                    <w:rPr>
                      <w:rFonts w:ascii="Calibri" w:hAnsi="Calibri"/>
                      <w:b/>
                      <w:spacing w:val="3"/>
                      <w:w w:val="104"/>
                      <w:sz w:val="14"/>
                    </w:rPr>
                    <w:t>Mé</w:t>
                  </w:r>
                  <w:r>
                    <w:rPr>
                      <w:rFonts w:ascii="Calibri" w:hAnsi="Calibri"/>
                      <w:b/>
                      <w:spacing w:val="2"/>
                      <w:w w:val="104"/>
                      <w:sz w:val="14"/>
                    </w:rPr>
                    <w:t>xi</w:t>
                  </w:r>
                  <w:r>
                    <w:rPr>
                      <w:rFonts w:ascii="Calibri" w:hAnsi="Calibri"/>
                      <w:b/>
                      <w:w w:val="104"/>
                      <w:sz w:val="14"/>
                    </w:rPr>
                    <w:t>c</w:t>
                  </w:r>
                  <w:r>
                    <w:rPr>
                      <w:rFonts w:ascii="Calibri" w:hAnsi="Calibri"/>
                      <w:b/>
                      <w:spacing w:val="-2"/>
                      <w:w w:val="104"/>
                      <w:sz w:val="14"/>
                    </w:rPr>
                    <w:t>o</w:t>
                  </w:r>
                  <w:r>
                    <w:rPr>
                      <w:rFonts w:ascii="Calibri" w:hAnsi="Calibri"/>
                      <w:b/>
                      <w:w w:val="104"/>
                      <w:sz w:val="14"/>
                    </w:rPr>
                    <w:t>)</w:t>
                  </w:r>
                </w:p>
              </w:txbxContent>
            </v:textbox>
            <w10:wrap type="none"/>
          </v:shape>
        </w:pict>
      </w:r>
      <w:r>
        <w:rPr/>
        <w:pict>
          <v:shape style="position:absolute;margin-left:237.614792pt;margin-top:99.670074pt;width:9.4pt;height:17.45pt;mso-position-horizontal-relative:page;mso-position-vertical-relative:paragraph;z-index:1888" type="#_x0000_t202" filled="false" stroked="false">
            <v:textbox inset="0,0,0,0" style="layout-flow:vertical;mso-layout-flow-alt:bottom-to-top">
              <w:txbxContent>
                <w:p>
                  <w:pPr>
                    <w:spacing w:line="168" w:lineRule="exact" w:before="0"/>
                    <w:ind w:left="20" w:right="-158" w:firstLine="0"/>
                    <w:jc w:val="left"/>
                    <w:rPr>
                      <w:rFonts w:ascii="Calibri"/>
                      <w:b/>
                      <w:sz w:val="14"/>
                    </w:rPr>
                  </w:pPr>
                  <w:r>
                    <w:rPr>
                      <w:rFonts w:ascii="Calibri"/>
                      <w:b/>
                      <w:spacing w:val="2"/>
                      <w:w w:val="105"/>
                      <w:sz w:val="14"/>
                    </w:rPr>
                    <w:t>1938</w:t>
                  </w:r>
                </w:p>
              </w:txbxContent>
            </v:textbox>
            <w10:wrap type="none"/>
          </v:shape>
        </w:pict>
      </w:r>
      <w:r>
        <w:rPr/>
        <w:pict>
          <v:shape style="position:absolute;margin-left:258.589691pt;margin-top:99.428055pt;width:9.4pt;height:17.45pt;mso-position-horizontal-relative:page;mso-position-vertical-relative:paragraph;z-index:1912" type="#_x0000_t202" filled="false" stroked="false">
            <v:textbox inset="0,0,0,0" style="layout-flow:vertical;mso-layout-flow-alt:bottom-to-top">
              <w:txbxContent>
                <w:p>
                  <w:pPr>
                    <w:spacing w:line="168" w:lineRule="exact" w:before="0"/>
                    <w:ind w:left="20" w:right="-158" w:firstLine="0"/>
                    <w:jc w:val="left"/>
                    <w:rPr>
                      <w:rFonts w:ascii="Calibri"/>
                      <w:b/>
                      <w:sz w:val="14"/>
                    </w:rPr>
                  </w:pPr>
                  <w:r>
                    <w:rPr>
                      <w:rFonts w:ascii="Calibri"/>
                      <w:b/>
                      <w:spacing w:val="2"/>
                      <w:w w:val="105"/>
                      <w:sz w:val="14"/>
                    </w:rPr>
                    <w:t>1945</w:t>
                  </w:r>
                </w:p>
              </w:txbxContent>
            </v:textbox>
            <w10:wrap type="none"/>
          </v:shape>
        </w:pict>
      </w:r>
      <w:r>
        <w:rPr/>
        <w:pict>
          <v:shape style="position:absolute;margin-left:265.720154pt;margin-top:119.899986pt;width:11.3pt;height:50.55pt;mso-position-horizontal-relative:page;mso-position-vertical-relative:paragraph;z-index:1936" type="#_x0000_t202" filled="false" stroked="false">
            <v:textbox inset="0,0,0,0" style="layout-flow:vertical;mso-layout-flow-alt:bottom-to-top">
              <w:txbxContent>
                <w:p>
                  <w:pPr>
                    <w:spacing w:line="207" w:lineRule="exact" w:before="0"/>
                    <w:ind w:left="20" w:right="-780" w:firstLine="0"/>
                    <w:jc w:val="left"/>
                    <w:rPr>
                      <w:rFonts w:ascii="Calibri"/>
                      <w:b/>
                      <w:sz w:val="18"/>
                    </w:rPr>
                  </w:pPr>
                  <w:r>
                    <w:rPr>
                      <w:rFonts w:ascii="Calibri"/>
                      <w:b/>
                      <w:spacing w:val="1"/>
                      <w:w w:val="102"/>
                      <w:sz w:val="18"/>
                    </w:rPr>
                    <w:t>P</w:t>
                  </w:r>
                  <w:r>
                    <w:rPr>
                      <w:rFonts w:ascii="Calibri"/>
                      <w:b/>
                      <w:spacing w:val="-2"/>
                      <w:w w:val="102"/>
                      <w:sz w:val="18"/>
                    </w:rPr>
                    <w:t>O</w:t>
                  </w:r>
                  <w:r>
                    <w:rPr>
                      <w:rFonts w:ascii="Calibri"/>
                      <w:b/>
                      <w:spacing w:val="-3"/>
                      <w:w w:val="102"/>
                      <w:sz w:val="18"/>
                    </w:rPr>
                    <w:t>SG</w:t>
                  </w:r>
                  <w:r>
                    <w:rPr>
                      <w:rFonts w:ascii="Calibri"/>
                      <w:b/>
                      <w:spacing w:val="2"/>
                      <w:w w:val="102"/>
                      <w:sz w:val="18"/>
                    </w:rPr>
                    <w:t>UE</w:t>
                  </w:r>
                  <w:r>
                    <w:rPr>
                      <w:rFonts w:ascii="Calibri"/>
                      <w:b/>
                      <w:spacing w:val="3"/>
                      <w:w w:val="102"/>
                      <w:sz w:val="18"/>
                    </w:rPr>
                    <w:t>RR</w:t>
                  </w:r>
                  <w:r>
                    <w:rPr>
                      <w:rFonts w:ascii="Calibri"/>
                      <w:b/>
                      <w:w w:val="102"/>
                      <w:sz w:val="18"/>
                    </w:rPr>
                    <w:t>A</w:t>
                  </w:r>
                </w:p>
              </w:txbxContent>
            </v:textbox>
            <w10:wrap type="none"/>
          </v:shape>
        </w:pict>
      </w:r>
      <w:r>
        <w:rPr/>
        <w:pict>
          <v:shape style="position:absolute;margin-left:373.387085pt;margin-top:99.027794pt;width:9.35pt;height:17.5pt;mso-position-horizontal-relative:page;mso-position-vertical-relative:paragraph;z-index:1960" type="#_x0000_t202" filled="false" stroked="false">
            <v:textbox inset="0,0,0,0" style="layout-flow:vertical;mso-layout-flow-alt:bottom-to-top">
              <w:txbxContent>
                <w:p>
                  <w:pPr>
                    <w:spacing w:line="168" w:lineRule="exact" w:before="0"/>
                    <w:ind w:left="20" w:right="-163" w:firstLine="0"/>
                    <w:jc w:val="left"/>
                    <w:rPr>
                      <w:rFonts w:ascii="Calibri"/>
                      <w:b/>
                      <w:sz w:val="14"/>
                    </w:rPr>
                  </w:pPr>
                  <w:r>
                    <w:rPr>
                      <w:rFonts w:ascii="Calibri"/>
                      <w:b/>
                      <w:spacing w:val="3"/>
                      <w:w w:val="104"/>
                      <w:sz w:val="14"/>
                    </w:rPr>
                    <w:t>1989</w:t>
                  </w:r>
                </w:p>
              </w:txbxContent>
            </v:textbox>
            <w10:wrap type="none"/>
          </v:shape>
        </w:pict>
      </w:r>
      <w:r>
        <w:rPr/>
        <w:pict>
          <v:shape style="position:absolute;margin-left:471.953796pt;margin-top:102.21022pt;width:9.4pt;height:28.4pt;mso-position-horizontal-relative:page;mso-position-vertical-relative:paragraph;z-index:2008" type="#_x0000_t202" filled="false" stroked="false">
            <v:textbox inset="0,0,0,0" style="layout-flow:vertical;mso-layout-flow-alt:bottom-to-top">
              <w:txbxContent>
                <w:p>
                  <w:pPr>
                    <w:spacing w:line="168" w:lineRule="exact" w:before="0"/>
                    <w:ind w:left="20" w:right="-147" w:firstLine="0"/>
                    <w:jc w:val="left"/>
                    <w:rPr>
                      <w:rFonts w:ascii="Calibri"/>
                      <w:b/>
                      <w:sz w:val="14"/>
                    </w:rPr>
                  </w:pPr>
                  <w:r>
                    <w:rPr>
                      <w:rFonts w:ascii="Calibri"/>
                      <w:b/>
                      <w:w w:val="105"/>
                      <w:sz w:val="14"/>
                    </w:rPr>
                    <w:t>S</w:t>
                  </w:r>
                  <w:r>
                    <w:rPr>
                      <w:rFonts w:ascii="Calibri"/>
                      <w:b/>
                      <w:spacing w:val="2"/>
                      <w:w w:val="105"/>
                      <w:sz w:val="14"/>
                    </w:rPr>
                    <w:t>i</w:t>
                  </w:r>
                  <w:r>
                    <w:rPr>
                      <w:rFonts w:ascii="Calibri"/>
                      <w:b/>
                      <w:w w:val="105"/>
                      <w:sz w:val="14"/>
                    </w:rPr>
                    <w:t>g</w:t>
                  </w:r>
                  <w:r>
                    <w:rPr>
                      <w:rFonts w:ascii="Calibri"/>
                      <w:b/>
                      <w:spacing w:val="2"/>
                      <w:w w:val="105"/>
                      <w:sz w:val="14"/>
                    </w:rPr>
                    <w:t>l</w:t>
                  </w:r>
                  <w:r>
                    <w:rPr>
                      <w:rFonts w:ascii="Calibri"/>
                      <w:b/>
                      <w:w w:val="105"/>
                      <w:sz w:val="14"/>
                    </w:rPr>
                    <w:t>o</w:t>
                  </w:r>
                  <w:r>
                    <w:rPr>
                      <w:rFonts w:ascii="Calibri"/>
                      <w:b/>
                      <w:spacing w:val="-10"/>
                      <w:sz w:val="14"/>
                    </w:rPr>
                    <w:t> </w:t>
                  </w:r>
                  <w:r>
                    <w:rPr>
                      <w:rFonts w:ascii="Calibri"/>
                      <w:b/>
                      <w:spacing w:val="4"/>
                      <w:w w:val="105"/>
                      <w:sz w:val="14"/>
                    </w:rPr>
                    <w:t>XX</w:t>
                  </w:r>
                  <w:r>
                    <w:rPr>
                      <w:rFonts w:ascii="Calibri"/>
                      <w:b/>
                      <w:w w:val="105"/>
                      <w:sz w:val="14"/>
                    </w:rPr>
                    <w:t>I</w:t>
                  </w:r>
                </w:p>
              </w:txbxContent>
            </v:textbox>
            <w10:wrap type="none"/>
          </v:shape>
        </w:pict>
      </w:r>
      <w:r>
        <w:rPr/>
        <w:t>Origen del Urbanismo como disciplina científica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4"/>
        <w:rPr>
          <w:b/>
          <w:sz w:val="23"/>
        </w:rPr>
      </w:pPr>
    </w:p>
    <w:p>
      <w:pPr>
        <w:spacing w:before="1"/>
        <w:ind w:left="1772" w:right="2371" w:firstLine="0"/>
        <w:jc w:val="center"/>
        <w:rPr>
          <w:sz w:val="20"/>
        </w:rPr>
      </w:pPr>
      <w:r>
        <w:rPr/>
        <w:pict>
          <v:shape style="position:absolute;margin-left:379.811401pt;margin-top:-123.539482pt;width:10.15pt;height:87.1pt;mso-position-horizontal-relative:page;mso-position-vertical-relative:paragraph;z-index:1984" type="#_x0000_t202" filled="false" stroked="false">
            <v:textbox inset="0,0,0,0" style="layout-flow:vertical;mso-layout-flow-alt:bottom-to-top">
              <w:txbxContent>
                <w:p>
                  <w:pPr>
                    <w:spacing w:line="185" w:lineRule="exact" w:before="0"/>
                    <w:ind w:left="20" w:right="-322" w:firstLine="0"/>
                    <w:jc w:val="left"/>
                    <w:rPr>
                      <w:rFonts w:ascii="Calibri" w:hAnsi="Calibri"/>
                      <w:b/>
                      <w:sz w:val="16"/>
                    </w:rPr>
                  </w:pPr>
                  <w:r>
                    <w:rPr>
                      <w:rFonts w:ascii="Calibri" w:hAnsi="Calibri"/>
                      <w:b/>
                      <w:spacing w:val="-1"/>
                      <w:w w:val="101"/>
                      <w:sz w:val="16"/>
                    </w:rPr>
                    <w:t>C</w:t>
                  </w:r>
                  <w:r>
                    <w:rPr>
                      <w:rFonts w:ascii="Calibri" w:hAnsi="Calibri"/>
                      <w:b/>
                      <w:spacing w:val="2"/>
                      <w:w w:val="101"/>
                      <w:sz w:val="16"/>
                    </w:rPr>
                    <w:t>A</w:t>
                  </w:r>
                  <w:r>
                    <w:rPr>
                      <w:rFonts w:ascii="Calibri" w:hAnsi="Calibri"/>
                      <w:b/>
                      <w:spacing w:val="3"/>
                      <w:w w:val="101"/>
                      <w:sz w:val="16"/>
                    </w:rPr>
                    <w:t>Í</w:t>
                  </w:r>
                  <w:r>
                    <w:rPr>
                      <w:rFonts w:ascii="Calibri" w:hAnsi="Calibri"/>
                      <w:b/>
                      <w:spacing w:val="-2"/>
                      <w:w w:val="101"/>
                      <w:sz w:val="16"/>
                    </w:rPr>
                    <w:t>D</w:t>
                  </w:r>
                  <w:r>
                    <w:rPr>
                      <w:rFonts w:ascii="Calibri" w:hAnsi="Calibri"/>
                      <w:b/>
                      <w:w w:val="101"/>
                      <w:sz w:val="16"/>
                    </w:rPr>
                    <w:t>A</w:t>
                  </w:r>
                  <w:r>
                    <w:rPr>
                      <w:rFonts w:ascii="Calibri" w:hAnsi="Calibri"/>
                      <w:b/>
                      <w:sz w:val="16"/>
                    </w:rPr>
                    <w:t> </w:t>
                  </w:r>
                  <w:r>
                    <w:rPr>
                      <w:rFonts w:ascii="Calibri" w:hAnsi="Calibri"/>
                      <w:b/>
                      <w:spacing w:val="-1"/>
                      <w:sz w:val="16"/>
                    </w:rPr>
                    <w:t> </w:t>
                  </w:r>
                  <w:r>
                    <w:rPr>
                      <w:rFonts w:ascii="Calibri" w:hAnsi="Calibri"/>
                      <w:b/>
                      <w:spacing w:val="-3"/>
                      <w:w w:val="101"/>
                      <w:sz w:val="16"/>
                    </w:rPr>
                    <w:t>M</w:t>
                  </w:r>
                  <w:r>
                    <w:rPr>
                      <w:rFonts w:ascii="Calibri" w:hAnsi="Calibri"/>
                      <w:b/>
                      <w:spacing w:val="2"/>
                      <w:w w:val="101"/>
                      <w:sz w:val="16"/>
                    </w:rPr>
                    <w:t>U</w:t>
                  </w:r>
                  <w:r>
                    <w:rPr>
                      <w:rFonts w:ascii="Calibri" w:hAnsi="Calibri"/>
                      <w:b/>
                      <w:spacing w:val="1"/>
                      <w:w w:val="101"/>
                      <w:sz w:val="16"/>
                    </w:rPr>
                    <w:t>R</w:t>
                  </w:r>
                  <w:r>
                    <w:rPr>
                      <w:rFonts w:ascii="Calibri" w:hAnsi="Calibri"/>
                      <w:b/>
                      <w:w w:val="101"/>
                      <w:sz w:val="16"/>
                    </w:rPr>
                    <w:t>O</w:t>
                  </w:r>
                  <w:r>
                    <w:rPr>
                      <w:rFonts w:ascii="Calibri" w:hAnsi="Calibri"/>
                      <w:b/>
                      <w:spacing w:val="1"/>
                      <w:sz w:val="16"/>
                    </w:rPr>
                    <w:t> </w:t>
                  </w:r>
                  <w:r>
                    <w:rPr>
                      <w:rFonts w:ascii="Calibri" w:hAnsi="Calibri"/>
                      <w:b/>
                      <w:spacing w:val="-2"/>
                      <w:w w:val="101"/>
                      <w:sz w:val="16"/>
                    </w:rPr>
                    <w:t>D</w:t>
                  </w:r>
                  <w:r>
                    <w:rPr>
                      <w:rFonts w:ascii="Calibri" w:hAnsi="Calibri"/>
                      <w:b/>
                      <w:w w:val="101"/>
                      <w:sz w:val="16"/>
                    </w:rPr>
                    <w:t>E</w:t>
                  </w:r>
                  <w:r>
                    <w:rPr>
                      <w:rFonts w:ascii="Calibri" w:hAnsi="Calibri"/>
                      <w:b/>
                      <w:spacing w:val="8"/>
                      <w:sz w:val="16"/>
                    </w:rPr>
                    <w:t> </w:t>
                  </w:r>
                  <w:r>
                    <w:rPr>
                      <w:rFonts w:ascii="Calibri" w:hAnsi="Calibri"/>
                      <w:b/>
                      <w:spacing w:val="1"/>
                      <w:w w:val="101"/>
                      <w:sz w:val="16"/>
                    </w:rPr>
                    <w:t>B</w:t>
                  </w:r>
                  <w:r>
                    <w:rPr>
                      <w:rFonts w:ascii="Calibri" w:hAnsi="Calibri"/>
                      <w:b/>
                      <w:spacing w:val="-2"/>
                      <w:w w:val="101"/>
                      <w:sz w:val="16"/>
                    </w:rPr>
                    <w:t>E</w:t>
                  </w:r>
                  <w:r>
                    <w:rPr>
                      <w:rFonts w:ascii="Calibri" w:hAnsi="Calibri"/>
                      <w:b/>
                      <w:spacing w:val="1"/>
                      <w:w w:val="101"/>
                      <w:sz w:val="16"/>
                    </w:rPr>
                    <w:t>RL</w:t>
                  </w:r>
                  <w:r>
                    <w:rPr>
                      <w:rFonts w:ascii="Calibri" w:hAnsi="Calibri"/>
                      <w:b/>
                      <w:spacing w:val="3"/>
                      <w:w w:val="101"/>
                      <w:sz w:val="16"/>
                    </w:rPr>
                    <w:t>Í</w:t>
                  </w:r>
                  <w:r>
                    <w:rPr>
                      <w:rFonts w:ascii="Calibri" w:hAnsi="Calibri"/>
                      <w:b/>
                      <w:w w:val="101"/>
                      <w:sz w:val="16"/>
                    </w:rPr>
                    <w:t>N</w:t>
                  </w:r>
                </w:p>
              </w:txbxContent>
            </v:textbox>
            <w10:wrap type="none"/>
          </v:shape>
        </w:pict>
      </w:r>
      <w:r>
        <w:rPr>
          <w:sz w:val="20"/>
        </w:rPr>
        <w:t>Fuente: Elaboración propia a partir de Almandoz (2003)</w:t>
      </w:r>
    </w:p>
    <w:p>
      <w:pPr>
        <w:pStyle w:val="BodyText"/>
        <w:rPr>
          <w:sz w:val="20"/>
        </w:rPr>
      </w:pPr>
    </w:p>
    <w:p>
      <w:pPr>
        <w:pStyle w:val="BodyText"/>
        <w:rPr>
          <w:sz w:val="26"/>
        </w:rPr>
      </w:pPr>
    </w:p>
    <w:p>
      <w:pPr>
        <w:pStyle w:val="BodyText"/>
        <w:spacing w:line="360" w:lineRule="auto"/>
        <w:ind w:left="122" w:right="716"/>
        <w:jc w:val="both"/>
      </w:pPr>
      <w:r>
        <w:rPr/>
        <w:t>Continuando con Almandoz (2003) los proyectos urbanos efectuados en las primeras décadas del siglo XX tenían un enfoque del urbanismo académico francés impulsado en distintas etapas por la </w:t>
      </w:r>
      <w:r>
        <w:rPr>
          <w:i/>
        </w:rPr>
        <w:t>École des Beaux-Arts </w:t>
      </w:r>
      <w:r>
        <w:rPr/>
        <w:t>y el Instituto de Urbanismo de la Universidad de París; ejemplo de esta influencia fue la organización en 1920 del Congreso Panamericano de Arquitectos en Uruguay en el que se trataron temas como el embellecimiento de la ciudad típica americana, creación de centros de arte y la enseñanza y regulación de la arquitectura. Un aspecto a resaltar en este periodo es la importancia de las revistas especializadas que tuvieron un fuerte impacto en Latinoamérica, tal </w:t>
      </w:r>
      <w:r>
        <w:rPr>
          <w:spacing w:val="4"/>
        </w:rPr>
        <w:t>es </w:t>
      </w:r>
      <w:r>
        <w:rPr/>
        <w:t>el caso de la revista </w:t>
      </w:r>
      <w:r>
        <w:rPr>
          <w:i/>
        </w:rPr>
        <w:t>La vie </w:t>
      </w:r>
      <w:r>
        <w:rPr>
          <w:i/>
        </w:rPr>
        <w:t>urbaine </w:t>
      </w:r>
      <w:r>
        <w:rPr/>
        <w:t>publicada de 1919 a</w:t>
      </w:r>
      <w:r>
        <w:rPr>
          <w:spacing w:val="-14"/>
        </w:rPr>
        <w:t> </w:t>
      </w:r>
      <w:r>
        <w:rPr/>
        <w:t>1978.</w:t>
      </w:r>
    </w:p>
    <w:p>
      <w:pPr>
        <w:pStyle w:val="BodyText"/>
        <w:rPr>
          <w:sz w:val="20"/>
        </w:rPr>
      </w:pPr>
    </w:p>
    <w:p>
      <w:pPr>
        <w:pStyle w:val="BodyText"/>
        <w:spacing w:before="6"/>
      </w:pPr>
      <w:r>
        <w:rPr/>
        <w:pict>
          <v:line style="position:absolute;mso-position-horizontal-relative:page;mso-position-vertical-relative:paragraph;z-index:1480;mso-wrap-distance-left:0;mso-wrap-distance-right:0" from="85.103996pt,16.394894pt" to="229.123996pt,16.394894pt" stroked="true" strokeweight=".599980pt" strokecolor="#000000">
            <w10:wrap type="topAndBottom"/>
          </v:line>
        </w:pict>
      </w:r>
    </w:p>
    <w:p>
      <w:pPr>
        <w:spacing w:before="44"/>
        <w:ind w:left="122" w:right="728" w:firstLine="0"/>
        <w:jc w:val="both"/>
        <w:rPr>
          <w:sz w:val="20"/>
        </w:rPr>
      </w:pPr>
      <w:r>
        <w:rPr>
          <w:position w:val="10"/>
          <w:sz w:val="13"/>
        </w:rPr>
        <w:t>9</w:t>
      </w:r>
      <w:r>
        <w:rPr>
          <w:sz w:val="20"/>
        </w:rPr>
        <w:t>El urbanismo de las primeras décadas del siglo XX se centró en las características higiénicas de las principales ciudades para renovarlas y realizar obras de gran impacto para mejorar esas condiciones.</w:t>
      </w:r>
    </w:p>
    <w:p>
      <w:pPr>
        <w:spacing w:after="0"/>
        <w:jc w:val="both"/>
        <w:rPr>
          <w:sz w:val="20"/>
        </w:rPr>
        <w:sectPr>
          <w:pgSz w:w="12240" w:h="15840"/>
          <w:pgMar w:header="0" w:footer="689" w:top="1320" w:bottom="880" w:left="1580" w:right="980"/>
        </w:sectPr>
      </w:pPr>
    </w:p>
    <w:p>
      <w:pPr>
        <w:pStyle w:val="BodyText"/>
        <w:spacing w:line="360" w:lineRule="auto" w:before="54"/>
        <w:ind w:left="102" w:right="116"/>
        <w:jc w:val="both"/>
      </w:pPr>
      <w:r>
        <w:rPr/>
        <w:t>De esta forma, según Almandoz (2003), con la fundación del Congreso Internacional de Arquitectura Moderna (CIAM), que estuvo en operación de 1928 a 1959, se impulsó el enfoque del urbanismo moderno; sus principales propuestas fueron consolidadas a través de la Carta de Atenas de 1933 redactada por Le Corbusier y Josep Lluis Sert como resultado del IV CIAM realizado y en el que se presentaron los resultados de los estudios sobre 33 ciudades.</w:t>
      </w:r>
    </w:p>
    <w:p>
      <w:pPr>
        <w:pStyle w:val="BodyText"/>
      </w:pPr>
    </w:p>
    <w:p>
      <w:pPr>
        <w:pStyle w:val="BodyText"/>
        <w:spacing w:line="360" w:lineRule="auto" w:before="139"/>
        <w:ind w:left="102" w:right="116"/>
        <w:jc w:val="both"/>
      </w:pPr>
      <w:r>
        <w:rPr/>
        <w:t>En 1943 Le </w:t>
      </w:r>
      <w:r>
        <w:rPr>
          <w:i/>
        </w:rPr>
        <w:t>Corbusier </w:t>
      </w:r>
      <w:r>
        <w:rPr/>
        <w:t>hace una redacción de los puntos tratados en el documento de 1933 y publicó el </w:t>
      </w:r>
      <w:r>
        <w:rPr>
          <w:i/>
        </w:rPr>
        <w:t>Urbanisme des CIAM. La Charte d´Athènes </w:t>
      </w:r>
      <w:r>
        <w:rPr/>
        <w:t>en la que se articulan 95 puntos divididos en tres secciones: a) En la primera se menciona el marco social y económico en el que crecen las ciudades, b) En la segunda se establecen los criterios de planificación sobre habitación, esparcimiento, trabajo y circulación, c) En la última se menciona la finalidad del urbanismo y las herramientas legales necesarias para cumplir con sus fines.</w:t>
      </w:r>
    </w:p>
    <w:p>
      <w:pPr>
        <w:pStyle w:val="BodyText"/>
      </w:pPr>
    </w:p>
    <w:p>
      <w:pPr>
        <w:pStyle w:val="BodyText"/>
        <w:spacing w:line="360" w:lineRule="auto" w:before="142"/>
        <w:ind w:left="102" w:right="115"/>
        <w:jc w:val="both"/>
      </w:pPr>
      <w:r>
        <w:rPr/>
        <w:t>Con el surgimiento del Urbanismo Moderno, según Almandoz  (2003),  la planeación urbana buscó una mayor funcionalidad de la ciudad por lo que las vialidades obtuvieron un papel primordial para su conectividad al interior y en la conformación de regiones. La traza urbana de la ciudad se sustentó en vialidades amplias y formó grandes bloques que delimitaron las zonas destinadas a la vivienda, la industria, la recreación y zonas verdes; la zonificación de la ciudad fue una de las principales ideas fomentadas por la planeación urbana con la finalidad de solventar los problemas generados por la combinación de usos propios de la ciudad tradicional,</w:t>
      </w:r>
    </w:p>
    <w:p>
      <w:pPr>
        <w:pStyle w:val="BodyText"/>
      </w:pPr>
    </w:p>
    <w:p>
      <w:pPr>
        <w:pStyle w:val="BodyText"/>
        <w:spacing w:line="360" w:lineRule="auto" w:before="142"/>
        <w:ind w:left="102" w:right="116"/>
        <w:jc w:val="both"/>
      </w:pPr>
      <w:r>
        <w:rPr/>
        <w:t>En la década de los años treinta se continuó con el impulso de espacios académicos para intercambiar las innovaciones del urbanismo, por ejemplo: el Congreso de Arquitectura y Urbanismo realizado en Chile en 1934, el Primer Congreso Internacional de Urbanismo en Buenos Aires de 1935; en 1938 se realizaron el Primer </w:t>
      </w:r>
      <w:r>
        <w:rPr>
          <w:i/>
        </w:rPr>
        <w:t>Congreso Interamericano de Municipalidades </w:t>
      </w:r>
      <w:r>
        <w:rPr/>
        <w:t>de La Habana y el XVI Congreso Internacional de Planificación y Vivienda en Ciudad de México,</w:t>
      </w:r>
    </w:p>
    <w:p>
      <w:pPr>
        <w:spacing w:after="0" w:line="360" w:lineRule="auto"/>
        <w:jc w:val="both"/>
        <w:sectPr>
          <w:footerReference w:type="default" r:id="rId24"/>
          <w:pgSz w:w="12240" w:h="15840"/>
          <w:pgMar w:footer="689" w:header="0" w:top="1360" w:bottom="880" w:left="1600" w:right="1580"/>
        </w:sectPr>
      </w:pPr>
    </w:p>
    <w:p>
      <w:pPr>
        <w:pStyle w:val="BodyText"/>
        <w:spacing w:line="360" w:lineRule="auto" w:before="54"/>
        <w:ind w:left="102" w:right="116"/>
        <w:jc w:val="both"/>
      </w:pPr>
      <w:r>
        <w:rPr/>
        <w:t>este último como resultado de la especialización de temáticas dentro del urbanismo. En 1939 se realizó el XV Congreso Internacional de Arquitectos y el Primer Congreso Panamericano de Vivienda Popular en Buenos Aires.</w:t>
      </w:r>
    </w:p>
    <w:p>
      <w:pPr>
        <w:pStyle w:val="BodyText"/>
      </w:pPr>
    </w:p>
    <w:p>
      <w:pPr>
        <w:pStyle w:val="BodyText"/>
        <w:spacing w:line="360" w:lineRule="auto" w:before="142"/>
        <w:ind w:left="102" w:right="117"/>
        <w:jc w:val="both"/>
      </w:pPr>
      <w:r>
        <w:rPr/>
        <w:t>La ampliación de temas y la expansión de un público especializado permitieron  que surgieran revistas técnicas y de divulgación en las primeras décadas del siglo XX, por</w:t>
      </w:r>
      <w:r>
        <w:rPr>
          <w:spacing w:val="-6"/>
        </w:rPr>
        <w:t> </w:t>
      </w:r>
      <w:r>
        <w:rPr/>
        <w:t>ejemplo:</w:t>
      </w:r>
    </w:p>
    <w:p>
      <w:pPr>
        <w:pStyle w:val="BodyText"/>
      </w:pPr>
    </w:p>
    <w:p>
      <w:pPr>
        <w:pStyle w:val="ListParagraph"/>
        <w:numPr>
          <w:ilvl w:val="1"/>
          <w:numId w:val="9"/>
        </w:numPr>
        <w:tabs>
          <w:tab w:pos="821" w:val="left" w:leader="none"/>
          <w:tab w:pos="822" w:val="left" w:leader="none"/>
        </w:tabs>
        <w:spacing w:line="240" w:lineRule="auto" w:before="141" w:after="0"/>
        <w:ind w:left="822" w:right="0" w:hanging="360"/>
        <w:jc w:val="left"/>
        <w:rPr>
          <w:sz w:val="24"/>
        </w:rPr>
      </w:pPr>
      <w:r>
        <w:rPr>
          <w:i/>
          <w:sz w:val="24"/>
        </w:rPr>
        <w:t>La Ciudad </w:t>
      </w:r>
      <w:r>
        <w:rPr>
          <w:sz w:val="24"/>
        </w:rPr>
        <w:t>(1929) en Buenos</w:t>
      </w:r>
      <w:r>
        <w:rPr>
          <w:spacing w:val="-11"/>
          <w:sz w:val="24"/>
        </w:rPr>
        <w:t> </w:t>
      </w:r>
      <w:r>
        <w:rPr>
          <w:sz w:val="24"/>
        </w:rPr>
        <w:t>Aires.</w:t>
      </w:r>
    </w:p>
    <w:p>
      <w:pPr>
        <w:pStyle w:val="ListParagraph"/>
        <w:numPr>
          <w:ilvl w:val="1"/>
          <w:numId w:val="9"/>
        </w:numPr>
        <w:tabs>
          <w:tab w:pos="821" w:val="left" w:leader="none"/>
          <w:tab w:pos="822" w:val="left" w:leader="none"/>
        </w:tabs>
        <w:spacing w:line="240" w:lineRule="auto" w:before="138" w:after="0"/>
        <w:ind w:left="822" w:right="0" w:hanging="360"/>
        <w:jc w:val="left"/>
        <w:rPr>
          <w:sz w:val="24"/>
        </w:rPr>
      </w:pPr>
      <w:r>
        <w:rPr>
          <w:i/>
          <w:sz w:val="24"/>
        </w:rPr>
        <w:t>Planificación </w:t>
      </w:r>
      <w:r>
        <w:rPr>
          <w:sz w:val="24"/>
        </w:rPr>
        <w:t>(1927), Casas (1935) y Arquitectura y Decoración en</w:t>
      </w:r>
      <w:r>
        <w:rPr>
          <w:spacing w:val="-17"/>
          <w:sz w:val="24"/>
        </w:rPr>
        <w:t> </w:t>
      </w:r>
      <w:r>
        <w:rPr>
          <w:sz w:val="24"/>
        </w:rPr>
        <w:t>México.</w:t>
      </w:r>
    </w:p>
    <w:p>
      <w:pPr>
        <w:pStyle w:val="ListParagraph"/>
        <w:numPr>
          <w:ilvl w:val="1"/>
          <w:numId w:val="9"/>
        </w:numPr>
        <w:tabs>
          <w:tab w:pos="821" w:val="left" w:leader="none"/>
          <w:tab w:pos="822" w:val="left" w:leader="none"/>
        </w:tabs>
        <w:spacing w:line="240" w:lineRule="auto" w:before="135" w:after="0"/>
        <w:ind w:left="822" w:right="0" w:hanging="360"/>
        <w:jc w:val="left"/>
        <w:rPr>
          <w:sz w:val="24"/>
        </w:rPr>
      </w:pPr>
      <w:r>
        <w:rPr>
          <w:i/>
          <w:sz w:val="24"/>
        </w:rPr>
        <w:t>Ciudad y Campo </w:t>
      </w:r>
      <w:r>
        <w:rPr>
          <w:sz w:val="24"/>
        </w:rPr>
        <w:t>en</w:t>
      </w:r>
      <w:r>
        <w:rPr>
          <w:spacing w:val="-6"/>
          <w:sz w:val="24"/>
        </w:rPr>
        <w:t> </w:t>
      </w:r>
      <w:r>
        <w:rPr>
          <w:sz w:val="24"/>
        </w:rPr>
        <w:t>Lima.</w:t>
      </w:r>
    </w:p>
    <w:p>
      <w:pPr>
        <w:pStyle w:val="ListParagraph"/>
        <w:numPr>
          <w:ilvl w:val="1"/>
          <w:numId w:val="9"/>
        </w:numPr>
        <w:tabs>
          <w:tab w:pos="821" w:val="left" w:leader="none"/>
          <w:tab w:pos="822" w:val="left" w:leader="none"/>
        </w:tabs>
        <w:spacing w:line="240" w:lineRule="auto" w:before="135" w:after="0"/>
        <w:ind w:left="822" w:right="0" w:hanging="360"/>
        <w:jc w:val="left"/>
        <w:rPr>
          <w:sz w:val="24"/>
        </w:rPr>
      </w:pPr>
      <w:r>
        <w:rPr>
          <w:i/>
          <w:sz w:val="24"/>
        </w:rPr>
        <w:t>Zig-zag </w:t>
      </w:r>
      <w:r>
        <w:rPr>
          <w:sz w:val="24"/>
        </w:rPr>
        <w:t>y </w:t>
      </w:r>
      <w:r>
        <w:rPr>
          <w:i/>
          <w:sz w:val="24"/>
        </w:rPr>
        <w:t>Urbanismo y Arquitectura </w:t>
      </w:r>
      <w:r>
        <w:rPr>
          <w:sz w:val="24"/>
        </w:rPr>
        <w:t>(1939) en</w:t>
      </w:r>
      <w:r>
        <w:rPr>
          <w:spacing w:val="-15"/>
          <w:sz w:val="24"/>
        </w:rPr>
        <w:t> </w:t>
      </w:r>
      <w:r>
        <w:rPr>
          <w:sz w:val="24"/>
        </w:rPr>
        <w:t>Chile.</w:t>
      </w:r>
    </w:p>
    <w:p>
      <w:pPr>
        <w:pStyle w:val="ListParagraph"/>
        <w:numPr>
          <w:ilvl w:val="1"/>
          <w:numId w:val="9"/>
        </w:numPr>
        <w:tabs>
          <w:tab w:pos="821" w:val="left" w:leader="none"/>
          <w:tab w:pos="822" w:val="left" w:leader="none"/>
        </w:tabs>
        <w:spacing w:line="240" w:lineRule="auto" w:before="135" w:after="0"/>
        <w:ind w:left="822" w:right="0" w:hanging="360"/>
        <w:jc w:val="left"/>
        <w:rPr>
          <w:sz w:val="24"/>
        </w:rPr>
      </w:pPr>
      <w:r>
        <w:rPr>
          <w:i/>
          <w:sz w:val="24"/>
        </w:rPr>
        <w:t>Revista Municipal del Distrito Federal </w:t>
      </w:r>
      <w:r>
        <w:rPr>
          <w:sz w:val="24"/>
        </w:rPr>
        <w:t>(1939) en</w:t>
      </w:r>
      <w:r>
        <w:rPr>
          <w:spacing w:val="-11"/>
          <w:sz w:val="24"/>
        </w:rPr>
        <w:t> </w:t>
      </w:r>
      <w:r>
        <w:rPr>
          <w:sz w:val="24"/>
        </w:rPr>
        <w:t>Caracas.</w:t>
      </w:r>
    </w:p>
    <w:p>
      <w:pPr>
        <w:pStyle w:val="BodyText"/>
      </w:pPr>
    </w:p>
    <w:p>
      <w:pPr>
        <w:pStyle w:val="BodyText"/>
      </w:pPr>
    </w:p>
    <w:p>
      <w:pPr>
        <w:pStyle w:val="BodyText"/>
        <w:spacing w:line="360" w:lineRule="auto"/>
        <w:ind w:left="102" w:right="115"/>
        <w:jc w:val="both"/>
      </w:pPr>
      <w:r>
        <w:rPr/>
        <w:t>Con los cambios económicos y políticos generados por la Segunda Guerra Mundial y el surgimiento de los Estados Unidos de Norteamérica como nación hegemónica en Latinoamérica, hubo una reestructuración en las disciplinas sociales que impactó en el urbanismo a través de la propuestas académicas inglesa y norteamericana (</w:t>
      </w:r>
      <w:r>
        <w:rPr>
          <w:i/>
        </w:rPr>
        <w:t>Town Planning </w:t>
      </w:r>
      <w:r>
        <w:rPr/>
        <w:t>y </w:t>
      </w:r>
      <w:r>
        <w:rPr>
          <w:i/>
        </w:rPr>
        <w:t>Urban Planning </w:t>
      </w:r>
      <w:r>
        <w:rPr/>
        <w:t>respectivamente), las cuales generaron un impulsó de la planeación urbana en Latinoamérica. A pesar de las diferencias entre ellos, por los matices conceptuales e históricos, podemos considerar que ambos impulsaron una visión sistémica apoyada en las ciencias sociales y en herramientas técnicas para el</w:t>
      </w:r>
      <w:r>
        <w:rPr>
          <w:spacing w:val="-13"/>
        </w:rPr>
        <w:t> </w:t>
      </w:r>
      <w:r>
        <w:rPr/>
        <w:t>diseño.</w:t>
      </w:r>
    </w:p>
    <w:p>
      <w:pPr>
        <w:pStyle w:val="BodyText"/>
      </w:pPr>
    </w:p>
    <w:p>
      <w:pPr>
        <w:pStyle w:val="BodyText"/>
        <w:spacing w:line="360" w:lineRule="auto" w:before="140"/>
        <w:ind w:left="102" w:right="116"/>
        <w:jc w:val="both"/>
      </w:pPr>
      <w:r>
        <w:rPr/>
        <w:t>Antes y posterior a la Segunda Guerra Mundial </w:t>
      </w:r>
      <w:r>
        <w:rPr>
          <w:i/>
        </w:rPr>
        <w:t>Le Corbusier </w:t>
      </w:r>
      <w:r>
        <w:rPr/>
        <w:t>y un grupo de arquitectos tuvieron gran influencia en el urbanismo mundial a través de su urbanismo moderno que se sustentaban en propuestas funcionalistas. En este sentido “Puede decirse que las principales influencias foráneas en la Latinoamérica de la posguerra viraron del academicismo al modernismo funcionalista  heredero  del  CIAM,  el  cual  sirvió  a  los  objetivos  progresistas</w:t>
      </w:r>
      <w:r>
        <w:rPr>
          <w:spacing w:val="-22"/>
        </w:rPr>
        <w:t> </w:t>
      </w:r>
      <w:r>
        <w:rPr/>
        <w:t>de</w:t>
      </w:r>
    </w:p>
    <w:p>
      <w:pPr>
        <w:spacing w:after="0" w:line="360" w:lineRule="auto"/>
        <w:jc w:val="both"/>
        <w:sectPr>
          <w:footerReference w:type="default" r:id="rId25"/>
          <w:pgSz w:w="12240" w:h="15840"/>
          <w:pgMar w:footer="629" w:header="0" w:top="1360" w:bottom="820" w:left="1600" w:right="1580"/>
          <w:pgNumType w:start="101"/>
        </w:sectPr>
      </w:pPr>
    </w:p>
    <w:p>
      <w:pPr>
        <w:pStyle w:val="BodyText"/>
        <w:spacing w:line="360" w:lineRule="auto" w:before="54"/>
        <w:ind w:left="102" w:right="124"/>
        <w:jc w:val="both"/>
      </w:pPr>
      <w:r>
        <w:rPr/>
        <w:t>regímenes latinoamericanos, tanto democráticos como dictatoriales” (Almandoz, 2007: 71).</w:t>
      </w:r>
    </w:p>
    <w:p>
      <w:pPr>
        <w:pStyle w:val="BodyText"/>
      </w:pPr>
    </w:p>
    <w:p>
      <w:pPr>
        <w:pStyle w:val="BodyText"/>
        <w:spacing w:line="360" w:lineRule="auto" w:before="142"/>
        <w:ind w:left="102" w:right="125"/>
        <w:jc w:val="both"/>
      </w:pPr>
      <w:r>
        <w:rPr/>
        <w:t>Otra característica de la posguerra fueron los financiamientos otorgados a Latinoamérica por parte del Fondo Monetario Internacional (FMI) que en conjunto con las propuestas academicistas de planeación promovieron la idea de  desarrollo. De esta</w:t>
      </w:r>
      <w:r>
        <w:rPr>
          <w:spacing w:val="-10"/>
        </w:rPr>
        <w:t> </w:t>
      </w:r>
      <w:r>
        <w:rPr/>
        <w:t>forma,</w:t>
      </w:r>
    </w:p>
    <w:p>
      <w:pPr>
        <w:pStyle w:val="BodyText"/>
        <w:spacing w:before="3"/>
        <w:rPr>
          <w:sz w:val="33"/>
        </w:rPr>
      </w:pPr>
    </w:p>
    <w:p>
      <w:pPr>
        <w:pStyle w:val="BodyText"/>
        <w:ind w:left="918" w:right="982"/>
        <w:jc w:val="both"/>
      </w:pPr>
      <w:r>
        <w:rPr/>
        <w:t>“Entre los años 1940 y 1960, la introducción de la enseñanza de la historia y los estudios urbanos pudo diferenciarse sólo cuando las escuelas de arquitectura lograron superar la dicotomía decimonónica entre los preceptos artísticos de la </w:t>
      </w:r>
      <w:r>
        <w:rPr>
          <w:i/>
        </w:rPr>
        <w:t>École des Beaux- </w:t>
      </w:r>
      <w:r>
        <w:rPr>
          <w:i/>
        </w:rPr>
        <w:t>Arts</w:t>
      </w:r>
      <w:r>
        <w:rPr/>
        <w:t>, y los más de corte de ingeniería de la </w:t>
      </w:r>
      <w:r>
        <w:rPr>
          <w:i/>
        </w:rPr>
        <w:t>École Polytechnique</w:t>
      </w:r>
      <w:r>
        <w:rPr/>
        <w:t>, que se habían reproducido en algunas universidades latinoamericanas desde las reformas borbónicas de finales de la Colonia” (Torre, 2002: 549-551 citado en Almandoz, 2007:73).</w:t>
      </w:r>
    </w:p>
    <w:p>
      <w:pPr>
        <w:pStyle w:val="BodyText"/>
      </w:pPr>
    </w:p>
    <w:p>
      <w:pPr>
        <w:pStyle w:val="BodyText"/>
        <w:spacing w:line="360" w:lineRule="auto" w:before="139"/>
        <w:ind w:left="102" w:right="116"/>
        <w:jc w:val="both"/>
      </w:pPr>
      <w:r>
        <w:rPr/>
        <w:t>El peruano Emilio Harthterré y el argentino Patricio Randle fueron los primeros investigadores en documentar la transición del urbanismo hacia la planificación en Latinoamérica desde una perspectiva epistemológica e histórica. “En su libro Filosofía en el urbanismo (1961), el primero se pronunció abiertamente por este término que correspondía a “la ciencia de la ciudad”, mientras que la “sobrevaloración del vocablo planificación”, consecuencia de la creciente admiración por lo anglosajón en las universidades latinoamericanas, habría  llevado a la “secuela desmedrante del neologismo planeamiento urbano”, desplazando innecesariamente al “purísimo y expresivo” término que el idioma español ofrece en su voz urbanismo” (Gutiérrez,</w:t>
      </w:r>
      <w:r>
        <w:rPr>
          <w:spacing w:val="-21"/>
        </w:rPr>
        <w:t> </w:t>
      </w:r>
      <w:r>
        <w:rPr/>
        <w:t>1996).</w:t>
      </w:r>
    </w:p>
    <w:p>
      <w:pPr>
        <w:pStyle w:val="BodyText"/>
      </w:pPr>
    </w:p>
    <w:p>
      <w:pPr>
        <w:pStyle w:val="BodyText"/>
        <w:spacing w:line="360" w:lineRule="auto" w:before="142"/>
        <w:ind w:left="102" w:right="116"/>
        <w:jc w:val="both"/>
      </w:pPr>
      <w:r>
        <w:rPr/>
        <w:t>El urbanismo se difundió a partir de los proyectos arquitectónicos que se  realizaron durante los siglos XIX al XX que tuvieron como principal marco conceptual las corrientes francesas: Mientras que el planeamiento urbano fue referido posterior a la segunda Guerra Mundial a través de la influencia norteamericana. Si bien estos dos conceptos podrían entenderse como una sucesión</w:t>
      </w:r>
      <w:r>
        <w:rPr>
          <w:spacing w:val="47"/>
        </w:rPr>
        <w:t> </w:t>
      </w:r>
      <w:r>
        <w:rPr/>
        <w:t>en</w:t>
      </w:r>
      <w:r>
        <w:rPr>
          <w:spacing w:val="49"/>
        </w:rPr>
        <w:t> </w:t>
      </w:r>
      <w:r>
        <w:rPr/>
        <w:t>la</w:t>
      </w:r>
      <w:r>
        <w:rPr>
          <w:spacing w:val="47"/>
        </w:rPr>
        <w:t> </w:t>
      </w:r>
      <w:r>
        <w:rPr/>
        <w:t>forma</w:t>
      </w:r>
      <w:r>
        <w:rPr>
          <w:spacing w:val="47"/>
        </w:rPr>
        <w:t> </w:t>
      </w:r>
      <w:r>
        <w:rPr/>
        <w:t>de</w:t>
      </w:r>
      <w:r>
        <w:rPr>
          <w:spacing w:val="49"/>
        </w:rPr>
        <w:t> </w:t>
      </w:r>
      <w:r>
        <w:rPr/>
        <w:t>estudiar</w:t>
      </w:r>
      <w:r>
        <w:rPr>
          <w:spacing w:val="46"/>
        </w:rPr>
        <w:t> </w:t>
      </w:r>
      <w:r>
        <w:rPr/>
        <w:t>a</w:t>
      </w:r>
      <w:r>
        <w:rPr>
          <w:spacing w:val="49"/>
        </w:rPr>
        <w:t> </w:t>
      </w:r>
      <w:r>
        <w:rPr/>
        <w:t>la</w:t>
      </w:r>
      <w:r>
        <w:rPr>
          <w:spacing w:val="49"/>
        </w:rPr>
        <w:t> </w:t>
      </w:r>
      <w:r>
        <w:rPr/>
        <w:t>ciudad:</w:t>
      </w:r>
      <w:r>
        <w:rPr>
          <w:spacing w:val="52"/>
        </w:rPr>
        <w:t> </w:t>
      </w:r>
      <w:r>
        <w:rPr/>
        <w:t>del</w:t>
      </w:r>
      <w:r>
        <w:rPr>
          <w:spacing w:val="48"/>
        </w:rPr>
        <w:t> </w:t>
      </w:r>
      <w:r>
        <w:rPr/>
        <w:t>urbanismo</w:t>
      </w:r>
      <w:r>
        <w:rPr>
          <w:spacing w:val="47"/>
        </w:rPr>
        <w:t> </w:t>
      </w:r>
      <w:r>
        <w:rPr/>
        <w:t>a</w:t>
      </w:r>
      <w:r>
        <w:rPr>
          <w:spacing w:val="47"/>
        </w:rPr>
        <w:t> </w:t>
      </w:r>
      <w:r>
        <w:rPr/>
        <w:t>la</w:t>
      </w:r>
      <w:r>
        <w:rPr>
          <w:spacing w:val="49"/>
        </w:rPr>
        <w:t> </w:t>
      </w:r>
      <w:r>
        <w:rPr/>
        <w:t>planificación</w:t>
      </w:r>
    </w:p>
    <w:p>
      <w:pPr>
        <w:spacing w:after="0" w:line="360" w:lineRule="auto"/>
        <w:jc w:val="both"/>
        <w:sectPr>
          <w:pgSz w:w="12240" w:h="15840"/>
          <w:pgMar w:header="0" w:footer="629" w:top="1360" w:bottom="880" w:left="1600" w:right="1580"/>
        </w:sectPr>
      </w:pPr>
    </w:p>
    <w:p>
      <w:pPr>
        <w:pStyle w:val="BodyText"/>
        <w:spacing w:line="360" w:lineRule="auto" w:before="54"/>
        <w:ind w:left="102" w:right="123"/>
        <w:jc w:val="both"/>
      </w:pPr>
      <w:r>
        <w:rPr/>
        <w:t>urbana, en la práctica existía un avance paralelo entre estas disciplinas el urbanismo encaminado más hacia la estética y formas arquitectónicas, y el planeamiento urbano con preocupaciones más integrales entre los aspectos políticos sociales.</w:t>
      </w:r>
    </w:p>
    <w:p>
      <w:pPr>
        <w:pStyle w:val="BodyText"/>
      </w:pPr>
    </w:p>
    <w:p>
      <w:pPr>
        <w:pStyle w:val="BodyText"/>
        <w:spacing w:before="139"/>
        <w:ind w:left="918" w:right="983"/>
        <w:jc w:val="both"/>
      </w:pPr>
      <w:r>
        <w:rPr/>
        <w:t>“No es casual que la utilización del término “urbanismo” durante  las primeras décadas del siglo XX en América Latina, se viera sustituida en la segunda posguerra por los vocablos “planificación” o “planeamiento” en español, así como planejamento en  portugués. Dado que éstos son con frecuencia entremezclados como sinónimos, puede pensarse que la aparente duplicidad es debida a un vocabulario más rico en este caso que el inglés,  donde el urbanismo tradicionalmente no tuvo una connotación disciplinar alternativa al </w:t>
      </w:r>
      <w:r>
        <w:rPr>
          <w:i/>
        </w:rPr>
        <w:t>town planning </w:t>
      </w:r>
      <w:r>
        <w:rPr/>
        <w:t>británico o al </w:t>
      </w:r>
      <w:r>
        <w:rPr>
          <w:i/>
        </w:rPr>
        <w:t>urban planning </w:t>
      </w:r>
      <w:r>
        <w:rPr/>
        <w:t>norteamericano” (Almandoz,</w:t>
      </w:r>
      <w:r>
        <w:rPr>
          <w:spacing w:val="-15"/>
        </w:rPr>
        <w:t> </w:t>
      </w:r>
      <w:r>
        <w:rPr/>
        <w:t>2007:71)</w:t>
      </w:r>
    </w:p>
    <w:p>
      <w:pPr>
        <w:pStyle w:val="BodyText"/>
      </w:pPr>
    </w:p>
    <w:p>
      <w:pPr>
        <w:pStyle w:val="BodyText"/>
        <w:spacing w:line="360" w:lineRule="auto" w:before="139"/>
        <w:ind w:left="102" w:right="118"/>
        <w:jc w:val="both"/>
      </w:pPr>
      <w:r>
        <w:rPr/>
        <w:t>Según Almandoz (2003) en el fondo, hay matices conceptuales e históricos asociados a cada término, “tal como ha sido esbozado para contextos de industrialización avanzada, el town planning anglosajón enfatizó valores sistémicos, procedimentales y/o políticos, apoyado para ello en las ciencias sociales y su aparato técnico en reemplazo del diseño, por resumir así su orientación más general, internacional y evidente para mediados del siglo XX” (Almandoz 2003: 31). Además de esta característica científica política, la planificación buscaba el desarrollo y la modernización a través de la industrialización y urbanización.</w:t>
      </w:r>
    </w:p>
    <w:p>
      <w:pPr>
        <w:pStyle w:val="BodyText"/>
      </w:pPr>
    </w:p>
    <w:p>
      <w:pPr>
        <w:pStyle w:val="BodyText"/>
        <w:spacing w:line="360" w:lineRule="auto" w:before="142"/>
        <w:ind w:left="102" w:right="115"/>
        <w:jc w:val="both"/>
      </w:pPr>
      <w:r>
        <w:rPr/>
        <w:t>A partir de las propuestas de Almandoz (2003) podemos señalar que en el periodo de posguerra la planificación se utilizó en el proceso de reconstrucción de las economías, tuvo utilidad en los países de economía de mercado como en los de economías centralmente planificadas. Para los países capitalistas significaba un reto el adoptar este mecanismo, ya que ellos interactuaban con las fuerzas del mercado de diversas maneras; así, a grandes rasgos, se generaron diferentes formas de planificación.</w:t>
      </w:r>
    </w:p>
    <w:p>
      <w:pPr>
        <w:spacing w:after="0" w:line="360" w:lineRule="auto"/>
        <w:jc w:val="both"/>
        <w:sectPr>
          <w:pgSz w:w="12240" w:h="15840"/>
          <w:pgMar w:header="0" w:footer="629" w:top="1360" w:bottom="880" w:left="1600" w:right="1580"/>
        </w:sectPr>
      </w:pPr>
    </w:p>
    <w:p>
      <w:pPr>
        <w:pStyle w:val="BodyText"/>
        <w:spacing w:line="360" w:lineRule="auto" w:before="54"/>
        <w:ind w:left="102" w:right="116"/>
        <w:jc w:val="both"/>
      </w:pPr>
      <w:r>
        <w:rPr/>
        <w:t>En la década de los años cincuenta en los Estados Unidos y en las principales ciudades europeas se estaba dando un rápido crecimiento de las ciudades que requería de nueva infraestructura y transporte; se consideró a la planificación  como el mediador entre estos dos procesos para generar propuestas a través de  la tecnología y la</w:t>
      </w:r>
      <w:r>
        <w:rPr>
          <w:spacing w:val="-4"/>
        </w:rPr>
        <w:t> </w:t>
      </w:r>
      <w:r>
        <w:rPr/>
        <w:t>ciencia.</w:t>
      </w:r>
    </w:p>
    <w:p>
      <w:pPr>
        <w:pStyle w:val="BodyText"/>
      </w:pPr>
    </w:p>
    <w:p>
      <w:pPr>
        <w:pStyle w:val="BodyText"/>
        <w:spacing w:line="360" w:lineRule="auto" w:before="142"/>
        <w:ind w:left="102" w:right="115"/>
        <w:jc w:val="both"/>
      </w:pPr>
      <w:r>
        <w:rPr/>
        <w:t>La planificación, según Cárdenas (2005), debía dar respuestas al crecimiento urbano producto de la industrialización y que había generado una disparidad en la organización social y el consumo colectivo de la ciudad a partir de problemas en vivienda, parques, escuelas, equipamientos colectivos en general. Por ejemplo en Inglaterra, en la década de los años cincuenta, bajo este enfoque se generaron los planes maestros y planes reguladores como instrumentos de planificación urbana basados en los principios del urbanismo moderno, que pretendían guiar y controlar el crecimiento físico urbano. Durante esta época se utilizaron modelos  matemáticos como técnicas para planificar las inversiones en la infraestructura de transporte, dotación de infraestructura y sobre todo el diseño de zonas para vivienda, industria y otros usos de</w:t>
      </w:r>
      <w:r>
        <w:rPr>
          <w:spacing w:val="-13"/>
        </w:rPr>
        <w:t> </w:t>
      </w:r>
      <w:r>
        <w:rPr/>
        <w:t>suelo.</w:t>
      </w:r>
    </w:p>
    <w:p>
      <w:pPr>
        <w:pStyle w:val="BodyText"/>
      </w:pPr>
    </w:p>
    <w:p>
      <w:pPr>
        <w:pStyle w:val="BodyText"/>
        <w:spacing w:before="139"/>
        <w:ind w:left="891" w:right="927"/>
        <w:jc w:val="both"/>
      </w:pPr>
      <w:r>
        <w:rPr/>
        <w:t>Entre sus componentes principales de regulación figuran la zonificación, los usos de suelo, la red vial estructurante, el tamaño predial, las densidades de ocupación y los códigos arquitectónicos  o condiciones de edificación tales como el índice de constructibilidad, el coeficiente de ocupación del suelo, etc. (Cárdenas,</w:t>
      </w:r>
      <w:r>
        <w:rPr>
          <w:spacing w:val="-9"/>
        </w:rPr>
        <w:t> </w:t>
      </w:r>
      <w:r>
        <w:rPr/>
        <w:t>2005:22).</w:t>
      </w:r>
    </w:p>
    <w:p>
      <w:pPr>
        <w:pStyle w:val="BodyText"/>
      </w:pPr>
    </w:p>
    <w:p>
      <w:pPr>
        <w:pStyle w:val="BodyText"/>
        <w:spacing w:line="360" w:lineRule="auto" w:before="142"/>
        <w:ind w:left="102" w:right="119"/>
        <w:jc w:val="both"/>
      </w:pPr>
      <w:r>
        <w:rPr/>
        <w:t>Las propuestas de planeación urbana se elaboraron en el sentido de limitar los posibles daños causados por procesos no planificados, sin embargo no se podía evitar el pensar que indirectamente se podían proyectar el desarrollo de algunos procesos sociales.</w:t>
      </w:r>
    </w:p>
    <w:p>
      <w:pPr>
        <w:pStyle w:val="BodyText"/>
      </w:pPr>
    </w:p>
    <w:p>
      <w:pPr>
        <w:pStyle w:val="BodyText"/>
        <w:spacing w:before="139"/>
        <w:ind w:left="891" w:right="928"/>
        <w:jc w:val="both"/>
      </w:pPr>
      <w:r>
        <w:rPr/>
        <w:t>Posteriormente en los años setenta algunos profesionales, afines al estudio de las ciudades, mejoran estos planteamientos modélicos incorporando variables de usos de suelo y edificación para hacer más integral y realista su aplicación. Sin embargo, los actores sociales, en sus roles de productores o consumidores, eran    vistos</w:t>
      </w:r>
    </w:p>
    <w:p>
      <w:pPr>
        <w:spacing w:after="0"/>
        <w:jc w:val="both"/>
        <w:sectPr>
          <w:pgSz w:w="12240" w:h="15840"/>
          <w:pgMar w:header="0" w:footer="629" w:top="1360" w:bottom="880" w:left="1600" w:right="1580"/>
        </w:sectPr>
      </w:pPr>
    </w:p>
    <w:p>
      <w:pPr>
        <w:pStyle w:val="BodyText"/>
        <w:spacing w:before="52"/>
        <w:ind w:left="891" w:right="926"/>
        <w:jc w:val="both"/>
      </w:pPr>
      <w:r>
        <w:rPr/>
        <w:t>como mediadores entre las variables instrumentales y las variables objetivo: dados sus modelos descentralizados de decisión, las políticas debían inducirlos paramétricamente a cambiar su comportamiento en la dirección congruente con las metas del plan (Cárdenas, 2005:35).</w:t>
      </w:r>
    </w:p>
    <w:p>
      <w:pPr>
        <w:pStyle w:val="BodyText"/>
      </w:pPr>
    </w:p>
    <w:p>
      <w:pPr>
        <w:pStyle w:val="BodyText"/>
        <w:spacing w:line="360" w:lineRule="auto" w:before="141"/>
        <w:ind w:left="102" w:right="116"/>
        <w:jc w:val="both"/>
      </w:pPr>
      <w:r>
        <w:rPr/>
        <w:t>Con la ejecución de los planes reguladores del crecimiento urbano no impulsaban un proyecto urbanístico o visión de la ciudad, por lo que muchas de las propuestas, por lo menos en los países europeos tuvieron que impulsar una propuesta urbanística adicional al funcionalismo propuesto por la planeación. Sobre este vacío se establecerían las bases para el surgimiento de nuevos desarrollos conceptuales y metodológicos en la planificación urbana. “Esta aparente dicotomía entre plan – proyecto parece ser el punto de partida de una nueva corriente de pensamiento en el urbanismo, que comienza a desarrollarse en los ochenta en Estados Unidos y Canadá para elogiar en los noventa el concepto de Nuevo Urbanismo”  (Cárdenas,</w:t>
      </w:r>
      <w:r>
        <w:rPr>
          <w:spacing w:val="-13"/>
        </w:rPr>
        <w:t> </w:t>
      </w:r>
      <w:r>
        <w:rPr/>
        <w:t>2005:36).</w:t>
      </w:r>
    </w:p>
    <w:p>
      <w:pPr>
        <w:pStyle w:val="BodyText"/>
        <w:spacing w:before="5"/>
        <w:rPr>
          <w:sz w:val="33"/>
        </w:rPr>
      </w:pPr>
    </w:p>
    <w:p>
      <w:pPr>
        <w:pStyle w:val="BodyText"/>
        <w:spacing w:line="360" w:lineRule="auto"/>
        <w:ind w:left="102" w:right="117"/>
        <w:jc w:val="both"/>
      </w:pPr>
      <w:r>
        <w:rPr/>
        <w:t>El Nuevo Urbanismo, según Cárdenas 2005, es definido como un enfoque que pretende dar organicidad, identidad comunitaria y estructura espacial unitaria a los planos de nuevas urbanizaciones que se ubican en la periferia, por lo que la unidad vecinal surge como un elemento central para la consolidación de vínculos sociales.</w:t>
      </w:r>
    </w:p>
    <w:p>
      <w:pPr>
        <w:pStyle w:val="BodyText"/>
      </w:pPr>
    </w:p>
    <w:p>
      <w:pPr>
        <w:pStyle w:val="BodyText"/>
        <w:spacing w:line="360" w:lineRule="auto" w:before="142"/>
        <w:ind w:left="102" w:right="118"/>
        <w:jc w:val="both"/>
      </w:pPr>
      <w:r>
        <w:rPr/>
        <w:t>En este contexto, para el caso de Latinoamérica, la planeación urbana se generó con el propósito funcionalista de modernizar los territorios para lograr el desarrollo económico; dentro de un marco de planificación económica, existió un conjunto de políticas territoriales entre las que destacan la creación de la Comisión de la Cuenca del río Papaloapan en México (1947) y la administración de la cuenca del río Sao Francisco en Brasil (1948).</w:t>
      </w:r>
    </w:p>
    <w:p>
      <w:pPr>
        <w:pStyle w:val="BodyText"/>
      </w:pPr>
    </w:p>
    <w:p>
      <w:pPr>
        <w:pStyle w:val="BodyText"/>
        <w:spacing w:line="360" w:lineRule="auto" w:before="142"/>
        <w:ind w:left="102" w:right="116"/>
        <w:jc w:val="both"/>
      </w:pPr>
      <w:r>
        <w:rPr/>
        <w:t>Según Cárdenas (2005), a pesar de las diferencias de “interpretación” que se dieron en cada una de estas formas de planificación, existen algunos aspectos  de</w:t>
      </w:r>
    </w:p>
    <w:p>
      <w:pPr>
        <w:spacing w:after="0" w:line="360" w:lineRule="auto"/>
        <w:jc w:val="both"/>
        <w:sectPr>
          <w:pgSz w:w="12240" w:h="15840"/>
          <w:pgMar w:header="0" w:footer="629" w:top="1360" w:bottom="880" w:left="1600" w:right="1580"/>
        </w:sectPr>
      </w:pPr>
    </w:p>
    <w:p>
      <w:pPr>
        <w:pStyle w:val="BodyText"/>
        <w:spacing w:line="360" w:lineRule="auto" w:before="54"/>
        <w:ind w:left="102" w:right="116"/>
        <w:jc w:val="both"/>
      </w:pPr>
      <w:r>
        <w:rPr/>
        <w:t>referencia: el primero relacionado con la definición de “desarrollo” como elemento contextual en la solución de problemáticas económicas y sociales.</w:t>
      </w:r>
    </w:p>
    <w:p>
      <w:pPr>
        <w:pStyle w:val="BodyText"/>
      </w:pPr>
    </w:p>
    <w:p>
      <w:pPr>
        <w:pStyle w:val="BodyText"/>
        <w:spacing w:line="360" w:lineRule="auto" w:before="142"/>
        <w:ind w:left="102" w:right="118"/>
        <w:jc w:val="both"/>
      </w:pPr>
      <w:r>
        <w:rPr/>
        <w:t>El segundo, la intervención del Estado que, a través de sus estructuras burocráticas, se constituía como el medio para concretizar las propuestas para la transformación de una “realidad” socioeconómica de un espacio en concreto: la nación o, en el mejor de los casos, las regiones internas.</w:t>
      </w:r>
    </w:p>
    <w:p>
      <w:pPr>
        <w:pStyle w:val="BodyText"/>
      </w:pPr>
    </w:p>
    <w:p>
      <w:pPr>
        <w:pStyle w:val="BodyText"/>
        <w:spacing w:line="360" w:lineRule="auto" w:before="142"/>
        <w:ind w:left="102" w:right="119"/>
        <w:jc w:val="both"/>
      </w:pPr>
      <w:r>
        <w:rPr/>
        <w:t>Tercero, la planeación urbana como instrumento del Estado proponía una regulación del crecimiento urbano desde un enfoque social o en cierta forma político, la planeación urbana fue propuesta como una forma de regular las desigualdades económicas sociales.</w:t>
      </w:r>
    </w:p>
    <w:p>
      <w:pPr>
        <w:pStyle w:val="BodyText"/>
      </w:pPr>
    </w:p>
    <w:p>
      <w:pPr>
        <w:pStyle w:val="BodyText"/>
        <w:spacing w:line="360" w:lineRule="auto" w:before="142"/>
        <w:ind w:left="102" w:right="116"/>
        <w:jc w:val="both"/>
      </w:pPr>
      <w:r>
        <w:rPr/>
        <w:t>Por ello, hasta la década de los ochenta, antes de la consolidación de una economía mundial de libre mercado, la planificación urbana era definida como un medio de control social del orden urbano, como ejemplo citamos a Castells (1976), quien la definía como una disciplina normativa de las buenas formas urbanas </w:t>
      </w:r>
      <w:r>
        <w:rPr>
          <w:spacing w:val="-2"/>
        </w:rPr>
        <w:t>que </w:t>
      </w:r>
      <w:r>
        <w:rPr/>
        <w:t>trata de intervenciones dependientes de instituciones administrativas y políticas,  es decir, de instituciones investidas de</w:t>
      </w:r>
      <w:r>
        <w:rPr>
          <w:spacing w:val="-16"/>
        </w:rPr>
        <w:t> </w:t>
      </w:r>
      <w:r>
        <w:rPr/>
        <w:t>autoridad.</w:t>
      </w:r>
    </w:p>
    <w:p>
      <w:pPr>
        <w:pStyle w:val="BodyText"/>
      </w:pPr>
    </w:p>
    <w:p>
      <w:pPr>
        <w:pStyle w:val="BodyText"/>
        <w:spacing w:line="360" w:lineRule="auto" w:before="142"/>
        <w:ind w:left="102" w:right="115"/>
        <w:jc w:val="both"/>
      </w:pPr>
      <w:r>
        <w:rPr/>
        <w:t>A partir de la década de los años noventa del siglo XX la planeación urbana tuvo importantes cuestionamientos sobre su estructura metodológica que se centraba en la parte funcional de la ciudad pero desde un enfoque estatal, si bien se consideraban aspectos sociales no se habían impulsado algunos enfoques que permitieran la incorporación de la sociedad en los estudios de planeación urbana.</w:t>
      </w:r>
    </w:p>
    <w:p>
      <w:pPr>
        <w:pStyle w:val="BodyText"/>
      </w:pPr>
    </w:p>
    <w:p>
      <w:pPr>
        <w:pStyle w:val="BodyText"/>
        <w:spacing w:line="360" w:lineRule="auto" w:before="142"/>
        <w:ind w:left="102" w:right="115"/>
        <w:jc w:val="both"/>
      </w:pPr>
      <w:r>
        <w:rPr/>
        <w:t>De esta forma, a la par de la planeación urbana se impulsaron a los estudios urbanos como una propuesta de investigación científica en torno a la ciudad, no se habló de ellos como una disciplina, sino se consideró como el área impulsada por la sociología urbana en la que convergían varias disciplinas y cuyos antecedentes remontaban de la década de los años setenta.</w:t>
      </w:r>
    </w:p>
    <w:p>
      <w:pPr>
        <w:spacing w:after="0" w:line="360" w:lineRule="auto"/>
        <w:jc w:val="both"/>
        <w:sectPr>
          <w:pgSz w:w="12240" w:h="15840"/>
          <w:pgMar w:header="0" w:footer="629" w:top="1360" w:bottom="880" w:left="1600" w:right="1580"/>
        </w:sectPr>
      </w:pPr>
    </w:p>
    <w:p>
      <w:pPr>
        <w:pStyle w:val="BodyText"/>
        <w:spacing w:before="4"/>
        <w:rPr>
          <w:sz w:val="22"/>
        </w:rPr>
      </w:pPr>
    </w:p>
    <w:p>
      <w:pPr>
        <w:pStyle w:val="BodyText"/>
        <w:spacing w:before="70"/>
        <w:ind w:left="911" w:right="928"/>
        <w:jc w:val="both"/>
      </w:pPr>
      <w:r>
        <w:rPr/>
        <w:t>“en un estudio sobre la generación de nuevos sociólogos urbanos, se documenta como varios de sus integrantes, principalmente europeos, pugnaron por espacios de representación dentro de la </w:t>
      </w:r>
      <w:r>
        <w:rPr>
          <w:i/>
        </w:rPr>
        <w:t>International Sociological Association (ISA</w:t>
      </w:r>
      <w:r>
        <w:rPr/>
        <w:t>) y en los Congresos Mundiales de Sociología. Se logró crear así un Comité de Investigación sobre Estudios Urbanos y Regionales, y se promovieron varios coloquios entre 1975 y 1994 (Milicevic, 2001 citado en Bassols 2006:232).</w:t>
      </w:r>
    </w:p>
    <w:p>
      <w:pPr>
        <w:pStyle w:val="BodyText"/>
      </w:pPr>
    </w:p>
    <w:p>
      <w:pPr>
        <w:pStyle w:val="BodyText"/>
        <w:spacing w:line="360" w:lineRule="auto" w:before="139"/>
        <w:ind w:left="122" w:right="116"/>
        <w:jc w:val="both"/>
      </w:pPr>
      <w:r>
        <w:rPr/>
        <w:t>Así, los estudios urbanos “han seguido varias líneas de trabajo, lo cual ha dado lugar a puntos de vista híbridos sobre la realidad urbana, cabe señalar en particular, los patrones sociales y el desarrollo urbano, la estructura socioeconómica regional y urbana, el análisis político y la gobernabilidad de ciudades, la historia del desarrollo urbano, el funcionamiento de la estructura espacial y de la economía urbana, y la conformación de la estructura político- urbana” (Méndez, 2006:18).</w:t>
      </w:r>
    </w:p>
    <w:p>
      <w:pPr>
        <w:pStyle w:val="BodyText"/>
      </w:pPr>
    </w:p>
    <w:p>
      <w:pPr>
        <w:pStyle w:val="BodyText"/>
        <w:spacing w:line="360" w:lineRule="auto" w:before="142"/>
        <w:ind w:left="122" w:right="119"/>
        <w:jc w:val="both"/>
      </w:pPr>
      <w:r>
        <w:rPr/>
        <w:t>De esta forma, en este apartado hemos señalado que el urbanismo fue origen de una de las disciplinas que conforman la IUL, si bien su origen se genera a partir de la práctica, esto llevo a que tuviera un disciplinamiento a partir de la década de los años cincuenta del siglo pasado. Con el paso del tiempo la planeación urbana tuvo un vínculo con la sociología urbana, la cual tuvo un acercamiento a la ciudad a través de esquemas teóricos a diferencia de la planeación.</w:t>
      </w:r>
    </w:p>
    <w:p>
      <w:pPr>
        <w:pStyle w:val="BodyText"/>
      </w:pPr>
    </w:p>
    <w:p>
      <w:pPr>
        <w:pStyle w:val="BodyText"/>
        <w:spacing w:line="352" w:lineRule="auto" w:before="142"/>
        <w:ind w:left="122" w:right="117"/>
        <w:jc w:val="both"/>
      </w:pPr>
      <w:r>
        <w:rPr/>
        <w:t>Una revisión relativamente amplia sobre la literatura concerniente a procesos económicos y sociales que se dan en la ciudad,</w:t>
      </w:r>
      <w:r>
        <w:rPr>
          <w:position w:val="11"/>
          <w:sz w:val="16"/>
        </w:rPr>
        <w:t>10 </w:t>
      </w:r>
      <w:r>
        <w:rPr/>
        <w:t>que influyen en su configuración espacial, permite reconocer que la explicación de ella se ha hecho desde diferentes perspectivas teóricas; situación por demás enriquecedora porque nos ubica en un marco teórico donde convergen diferentes puntos de vista, tanto de</w:t>
      </w:r>
    </w:p>
    <w:p>
      <w:pPr>
        <w:pStyle w:val="BodyText"/>
        <w:spacing w:before="2"/>
        <w:rPr>
          <w:sz w:val="14"/>
        </w:rPr>
      </w:pPr>
      <w:r>
        <w:rPr/>
        <w:pict>
          <v:line style="position:absolute;mso-position-horizontal-relative:page;mso-position-vertical-relative:paragraph;z-index:2032;mso-wrap-distance-left:0;mso-wrap-distance-right:0" from="85.103996pt,10.416102pt" to="229.123996pt,10.416102pt" stroked="true" strokeweight=".599980pt" strokecolor="#000000">
            <w10:wrap type="topAndBottom"/>
          </v:line>
        </w:pict>
      </w:r>
    </w:p>
    <w:p>
      <w:pPr>
        <w:spacing w:before="44"/>
        <w:ind w:left="122" w:right="121" w:firstLine="0"/>
        <w:jc w:val="both"/>
        <w:rPr>
          <w:sz w:val="20"/>
        </w:rPr>
      </w:pPr>
      <w:r>
        <w:rPr>
          <w:position w:val="10"/>
          <w:sz w:val="13"/>
        </w:rPr>
        <w:t>10 </w:t>
      </w:r>
      <w:r>
        <w:rPr>
          <w:sz w:val="20"/>
        </w:rPr>
        <w:t>La producción de conocimiento sistemático de la ciudad comienza con los precursores de la llamada sociología urbana: Lewis Munford, Louis Wirth, Max Weber y otros. Los sociólogos de la ciudad caracterizaron la urbe moderna como un lugar de predominio de las relaciones secundarias, de emergencia de los estratos medios, con instituciones y organizaciones formales, con especialización funcional de las actividades económicas, pérdida de identidad, anomia, aglomeración y hacinamiento.</w:t>
      </w:r>
    </w:p>
    <w:p>
      <w:pPr>
        <w:spacing w:after="0"/>
        <w:jc w:val="both"/>
        <w:rPr>
          <w:sz w:val="20"/>
        </w:rPr>
        <w:sectPr>
          <w:pgSz w:w="12240" w:h="15840"/>
          <w:pgMar w:header="0" w:footer="629" w:top="1500" w:bottom="880" w:left="1580" w:right="1580"/>
        </w:sectPr>
      </w:pPr>
    </w:p>
    <w:p>
      <w:pPr>
        <w:pStyle w:val="BodyText"/>
        <w:spacing w:line="360" w:lineRule="auto" w:before="54"/>
        <w:ind w:left="102" w:right="127"/>
        <w:jc w:val="both"/>
      </w:pPr>
      <w:r>
        <w:rPr/>
        <w:t>disciplinas como de corrientes de pensamiento, que dan origen a una multiplicidad de interpretaciones que permite ampliar nuestra frontera de conocimiento.</w:t>
      </w:r>
    </w:p>
    <w:p>
      <w:pPr>
        <w:pStyle w:val="BodyText"/>
      </w:pPr>
    </w:p>
    <w:p>
      <w:pPr>
        <w:pStyle w:val="BodyText"/>
        <w:spacing w:line="360" w:lineRule="auto" w:before="142"/>
        <w:ind w:left="102" w:right="117"/>
        <w:jc w:val="both"/>
      </w:pPr>
      <w:r>
        <w:rPr/>
        <w:t>Si bien la convergencia entre perspectivas teóricas deja más o menos claro que existen </w:t>
      </w:r>
      <w:r>
        <w:rPr>
          <w:i/>
        </w:rPr>
        <w:t>desplazamientos conceptuales </w:t>
      </w:r>
      <w:r>
        <w:rPr/>
        <w:t>en torno a la ciudad —por lo que algunos temas que tradicionalmente habían sido </w:t>
      </w:r>
      <w:r>
        <w:rPr>
          <w:i/>
        </w:rPr>
        <w:t>demarcados </w:t>
      </w:r>
      <w:r>
        <w:rPr/>
        <w:t>en disciplinas como la economía, sociología y el urbanismo son abordados más allá de sus fronteras disciplinarias a partir de estudios de la economía urbana, geografía económica, sociología urbana, geografía urbana entre otras disciplinas—, también podemos advertir que la diversidad de enfoques se reproduce al interior de cada disciplina a través del posicionamiento que alcanzan algunas corrientes teóricas. Es decir, existe una multiplicidad de formas de entender la organización de algunos fenómenos sociales y de la propia forma de teorizarlo, lo cual es un claro ejemplo de la complejidad que existe en la explicación de la ciudad.</w:t>
      </w:r>
    </w:p>
    <w:p>
      <w:pPr>
        <w:pStyle w:val="BodyText"/>
      </w:pPr>
    </w:p>
    <w:p>
      <w:pPr>
        <w:spacing w:line="360" w:lineRule="auto" w:before="139"/>
        <w:ind w:left="102" w:right="112" w:firstLine="0"/>
        <w:jc w:val="both"/>
        <w:rPr>
          <w:sz w:val="24"/>
        </w:rPr>
      </w:pPr>
      <w:r>
        <w:rPr>
          <w:sz w:val="24"/>
        </w:rPr>
        <w:t>Para el caso de la delimitación teórica contemporánea de la </w:t>
      </w:r>
      <w:r>
        <w:rPr>
          <w:i/>
          <w:sz w:val="24"/>
        </w:rPr>
        <w:t>ciudad, </w:t>
      </w:r>
      <w:r>
        <w:rPr>
          <w:sz w:val="24"/>
        </w:rPr>
        <w:t>según Borja </w:t>
      </w:r>
      <w:r>
        <w:rPr>
          <w:i/>
          <w:sz w:val="24"/>
        </w:rPr>
        <w:t>(2007) </w:t>
      </w:r>
      <w:r>
        <w:rPr>
          <w:sz w:val="24"/>
        </w:rPr>
        <w:t>ubicamos como principales trabajos de referencia las propuestas de Saskia Sassen (1991) sobre la </w:t>
      </w:r>
      <w:r>
        <w:rPr>
          <w:i/>
          <w:sz w:val="24"/>
        </w:rPr>
        <w:t>ciudad global</w:t>
      </w:r>
      <w:r>
        <w:rPr>
          <w:sz w:val="24"/>
        </w:rPr>
        <w:t>; Tom Angotti (1993); Peter Marcuse (1995) que conceptualiza a la </w:t>
      </w:r>
      <w:r>
        <w:rPr>
          <w:i/>
          <w:sz w:val="24"/>
        </w:rPr>
        <w:t>ciudad dual </w:t>
      </w:r>
      <w:r>
        <w:rPr>
          <w:sz w:val="24"/>
        </w:rPr>
        <w:t>y el </w:t>
      </w:r>
      <w:r>
        <w:rPr>
          <w:i/>
          <w:sz w:val="24"/>
        </w:rPr>
        <w:t>nuevo orden espacial</w:t>
      </w:r>
      <w:r>
        <w:rPr>
          <w:sz w:val="24"/>
        </w:rPr>
        <w:t>; Neil Smith (1996) que habla sobre </w:t>
      </w:r>
      <w:r>
        <w:rPr>
          <w:i/>
          <w:sz w:val="24"/>
        </w:rPr>
        <w:t>la nueva frontera urbana</w:t>
      </w:r>
      <w:r>
        <w:rPr>
          <w:sz w:val="24"/>
        </w:rPr>
        <w:t>; Richard Ingersoll (1996); Michael Cohen y otros (1996); Jordi Borja (1999) y su contribución a la relación entre lo </w:t>
      </w:r>
      <w:r>
        <w:rPr>
          <w:i/>
          <w:sz w:val="24"/>
        </w:rPr>
        <w:t>local y </w:t>
      </w:r>
      <w:r>
        <w:rPr>
          <w:i/>
          <w:sz w:val="24"/>
        </w:rPr>
        <w:t>global</w:t>
      </w:r>
      <w:r>
        <w:rPr>
          <w:sz w:val="24"/>
        </w:rPr>
        <w:t>, Edward Soja (2000) que conceptualiza a la </w:t>
      </w:r>
      <w:r>
        <w:rPr>
          <w:i/>
          <w:sz w:val="24"/>
        </w:rPr>
        <w:t>postmetropolis </w:t>
      </w:r>
      <w:r>
        <w:rPr>
          <w:sz w:val="24"/>
        </w:rPr>
        <w:t>y a la </w:t>
      </w:r>
      <w:r>
        <w:rPr>
          <w:i/>
          <w:sz w:val="24"/>
        </w:rPr>
        <w:t>geografía </w:t>
      </w:r>
      <w:r>
        <w:rPr>
          <w:i/>
          <w:sz w:val="24"/>
        </w:rPr>
        <w:t>postmoderna</w:t>
      </w:r>
      <w:r>
        <w:rPr>
          <w:sz w:val="24"/>
        </w:rPr>
        <w:t>; Mike Dear (2002) sobre la </w:t>
      </w:r>
      <w:r>
        <w:rPr>
          <w:i/>
          <w:sz w:val="24"/>
        </w:rPr>
        <w:t>condición urbana postmoderna </w:t>
      </w:r>
      <w:r>
        <w:rPr>
          <w:sz w:val="24"/>
        </w:rPr>
        <w:t>y </w:t>
      </w:r>
      <w:r>
        <w:rPr>
          <w:i/>
          <w:sz w:val="24"/>
        </w:rPr>
        <w:t>urbanismo postmoderno</w:t>
      </w:r>
      <w:r>
        <w:rPr>
          <w:sz w:val="24"/>
        </w:rPr>
        <w:t>; Richard Sennett (2003); Michael Sorkin (2005) que escribe sobre </w:t>
      </w:r>
      <w:r>
        <w:rPr>
          <w:i/>
          <w:sz w:val="24"/>
        </w:rPr>
        <w:t>la nueva ciudad de América</w:t>
      </w:r>
      <w:r>
        <w:rPr>
          <w:sz w:val="24"/>
        </w:rPr>
        <w:t>; David Harvey (2005) que delimita a la </w:t>
      </w:r>
      <w:r>
        <w:rPr>
          <w:i/>
          <w:sz w:val="24"/>
        </w:rPr>
        <w:t>geografía de la diferencia </w:t>
      </w:r>
      <w:r>
        <w:rPr>
          <w:sz w:val="24"/>
        </w:rPr>
        <w:t>y </w:t>
      </w:r>
      <w:r>
        <w:rPr>
          <w:i/>
          <w:sz w:val="24"/>
        </w:rPr>
        <w:t>la condición postmoderna</w:t>
      </w:r>
      <w:r>
        <w:rPr>
          <w:sz w:val="24"/>
        </w:rPr>
        <w:t>; Mike Davis (2006); Mongin que conceptualiza a la </w:t>
      </w:r>
      <w:r>
        <w:rPr>
          <w:i/>
          <w:sz w:val="24"/>
        </w:rPr>
        <w:t>Postciudad </w:t>
      </w:r>
      <w:r>
        <w:rPr>
          <w:sz w:val="24"/>
        </w:rPr>
        <w:t>(2006) y, Arjun Appadurai (2007). Quienes proponen un marco explicativo de la ciudad a partir de elementos clave generados por el proceso de </w:t>
      </w:r>
      <w:r>
        <w:rPr>
          <w:i/>
          <w:sz w:val="24"/>
        </w:rPr>
        <w:t>globalización económica </w:t>
      </w:r>
      <w:r>
        <w:rPr>
          <w:sz w:val="24"/>
        </w:rPr>
        <w:t>en las estructuras económicas socio- laborales e institucionales y que tienen un impacto en el territorio.</w:t>
      </w:r>
    </w:p>
    <w:p>
      <w:pPr>
        <w:spacing w:after="0" w:line="360" w:lineRule="auto"/>
        <w:jc w:val="both"/>
        <w:rPr>
          <w:sz w:val="24"/>
        </w:rPr>
        <w:sectPr>
          <w:pgSz w:w="12240" w:h="15840"/>
          <w:pgMar w:header="0" w:footer="629" w:top="1360" w:bottom="880" w:left="1600" w:right="1580"/>
        </w:sectPr>
      </w:pPr>
    </w:p>
    <w:p>
      <w:pPr>
        <w:pStyle w:val="BodyText"/>
        <w:spacing w:line="355" w:lineRule="auto" w:before="54"/>
        <w:ind w:left="122" w:right="118"/>
        <w:jc w:val="both"/>
      </w:pPr>
      <w:r>
        <w:rPr/>
        <w:t>De esta forma, continuando con Borja (2007), la coincidencia entre autores marcadamente </w:t>
      </w:r>
      <w:r>
        <w:rPr>
          <w:i/>
        </w:rPr>
        <w:t>radicales </w:t>
      </w:r>
      <w:r>
        <w:rPr/>
        <w:t>o </w:t>
      </w:r>
      <w:r>
        <w:rPr>
          <w:i/>
        </w:rPr>
        <w:t>marxistas </w:t>
      </w:r>
      <w:r>
        <w:rPr/>
        <w:t>como Harvey, Smith, Angotti o Davis con otros más </w:t>
      </w:r>
      <w:r>
        <w:rPr>
          <w:i/>
        </w:rPr>
        <w:t>liberales </w:t>
      </w:r>
      <w:r>
        <w:rPr/>
        <w:t>como Cohen, Sassen, Dear o Sorkin se da en el reconocimiento de un replanteamiento de la razón de ser de la ciudad, donde una de sus principales particularidades son las fuertes dinámicas disgregadoras y las incertidumbres sobre su futuro.</w:t>
      </w:r>
      <w:r>
        <w:rPr>
          <w:position w:val="11"/>
          <w:sz w:val="16"/>
        </w:rPr>
        <w:t>11  </w:t>
      </w:r>
      <w:r>
        <w:rPr/>
        <w:t>De igual forma, en la relación entre globalización</w:t>
      </w:r>
    </w:p>
    <w:p>
      <w:pPr>
        <w:pStyle w:val="BodyText"/>
        <w:spacing w:line="360" w:lineRule="auto"/>
        <w:ind w:left="122" w:right="122"/>
        <w:jc w:val="both"/>
      </w:pPr>
      <w:r>
        <w:rPr/>
        <w:t>y ciudad se pueden identificar dos tipos de literatura especializada: por una parte están los estudios antropológicos y culturales sobre transnacionalidad, globalización y formación de identidad, y por otra los estudios de los geógrafos económicos regionales sobre economía global que también se enfocaron hacia las ciudades (Sassen, 1999).</w:t>
      </w:r>
    </w:p>
    <w:p>
      <w:pPr>
        <w:pStyle w:val="BodyText"/>
        <w:spacing w:before="1"/>
        <w:rPr>
          <w:sz w:val="33"/>
        </w:rPr>
      </w:pPr>
    </w:p>
    <w:p>
      <w:pPr>
        <w:pStyle w:val="BodyText"/>
        <w:spacing w:line="360" w:lineRule="auto"/>
        <w:ind w:left="122" w:right="116"/>
        <w:jc w:val="both"/>
      </w:pPr>
      <w:r>
        <w:rPr/>
        <w:t>Según Janoschka (2002) con relación a la delimitación de la ciudad postmoderna</w:t>
      </w:r>
      <w:r>
        <w:rPr>
          <w:i/>
          <w:position w:val="11"/>
          <w:sz w:val="16"/>
        </w:rPr>
        <w:t>12 </w:t>
      </w:r>
      <w:r>
        <w:rPr/>
        <w:t>es necesario hacer referencia a los trabajos de Dear (1988), Soja (1989), Davis (1990), y Ellin (1996); quienes a partir del ejemplo de la fragmentación espacial y social del espacio urbano en la metrópolis californiana crearon los conceptos de</w:t>
      </w:r>
    </w:p>
    <w:p>
      <w:pPr>
        <w:spacing w:line="277" w:lineRule="exact" w:before="0"/>
        <w:ind w:left="122" w:right="0" w:firstLine="0"/>
        <w:jc w:val="both"/>
        <w:rPr>
          <w:sz w:val="24"/>
        </w:rPr>
      </w:pPr>
      <w:r>
        <w:rPr>
          <w:i/>
          <w:sz w:val="24"/>
        </w:rPr>
        <w:t>geografía posmoderna</w:t>
      </w:r>
      <w:r>
        <w:rPr>
          <w:sz w:val="24"/>
        </w:rPr>
        <w:t>, </w:t>
      </w:r>
      <w:r>
        <w:rPr>
          <w:i/>
          <w:sz w:val="24"/>
        </w:rPr>
        <w:t>urbanismo posmoderno </w:t>
      </w:r>
      <w:r>
        <w:rPr>
          <w:sz w:val="24"/>
        </w:rPr>
        <w:t>y </w:t>
      </w:r>
      <w:r>
        <w:rPr>
          <w:i/>
          <w:sz w:val="24"/>
        </w:rPr>
        <w:t>ciudad posmoderna</w:t>
      </w:r>
      <w:r>
        <w:rPr>
          <w:sz w:val="24"/>
        </w:rPr>
        <w:t>.</w:t>
      </w:r>
      <w:r>
        <w:rPr>
          <w:position w:val="11"/>
          <w:sz w:val="16"/>
        </w:rPr>
        <w:t>13  </w:t>
      </w:r>
      <w:r>
        <w:rPr>
          <w:sz w:val="24"/>
        </w:rPr>
        <w:t>Ya que el</w:t>
      </w:r>
    </w:p>
    <w:p>
      <w:pPr>
        <w:pStyle w:val="BodyText"/>
        <w:spacing w:line="360" w:lineRule="auto" w:before="141"/>
        <w:ind w:left="122" w:right="124"/>
        <w:jc w:val="both"/>
      </w:pPr>
      <w:r>
        <w:rPr/>
        <w:t>crecimiento desmesurado llevó a que el antiguo centro sea sustituido por subcentros y que la funcionalidad de los lugares se multiplique y diversifique.</w:t>
      </w:r>
    </w:p>
    <w:p>
      <w:pPr>
        <w:pStyle w:val="BodyText"/>
      </w:pPr>
    </w:p>
    <w:p>
      <w:pPr>
        <w:pStyle w:val="BodyText"/>
        <w:spacing w:before="139"/>
        <w:ind w:left="1631" w:right="2008"/>
        <w:jc w:val="both"/>
      </w:pPr>
      <w:r>
        <w:rPr/>
        <w:t>… nunca la segregación social en el espacio había sido tan grande, crecen las desigualdades de ingresos</w:t>
      </w:r>
      <w:r>
        <w:rPr>
          <w:spacing w:val="50"/>
        </w:rPr>
        <w:t> </w:t>
      </w:r>
      <w:r>
        <w:rPr/>
        <w:t>y de</w:t>
      </w:r>
      <w:r>
        <w:rPr>
          <w:spacing w:val="50"/>
        </w:rPr>
        <w:t> </w:t>
      </w:r>
      <w:r>
        <w:rPr/>
        <w:t>acceso</w:t>
      </w:r>
      <w:r>
        <w:rPr>
          <w:spacing w:val="50"/>
        </w:rPr>
        <w:t> </w:t>
      </w:r>
      <w:r>
        <w:rPr/>
        <w:t>real a</w:t>
      </w:r>
      <w:r>
        <w:rPr>
          <w:spacing w:val="50"/>
        </w:rPr>
        <w:t> </w:t>
      </w:r>
      <w:r>
        <w:rPr/>
        <w:t>las</w:t>
      </w:r>
      <w:r>
        <w:rPr>
          <w:spacing w:val="50"/>
        </w:rPr>
        <w:t> </w:t>
      </w:r>
      <w:r>
        <w:rPr/>
        <w:t>ofertas urbanas</w:t>
      </w:r>
    </w:p>
    <w:p>
      <w:pPr>
        <w:pStyle w:val="BodyText"/>
        <w:spacing w:before="4"/>
        <w:rPr>
          <w:sz w:val="25"/>
        </w:rPr>
      </w:pPr>
      <w:r>
        <w:rPr/>
        <w:pict>
          <v:line style="position:absolute;mso-position-horizontal-relative:page;mso-position-vertical-relative:paragraph;z-index:2056;mso-wrap-distance-left:0;mso-wrap-distance-right:0" from="85.103996pt,16.837002pt" to="229.123996pt,16.837002pt" stroked="true" strokeweight=".60004pt" strokecolor="#000000">
            <w10:wrap type="topAndBottom"/>
          </v:line>
        </w:pict>
      </w:r>
    </w:p>
    <w:p>
      <w:pPr>
        <w:spacing w:before="45"/>
        <w:ind w:left="122" w:right="118" w:firstLine="0"/>
        <w:jc w:val="both"/>
        <w:rPr>
          <w:sz w:val="20"/>
        </w:rPr>
      </w:pPr>
      <w:r>
        <w:rPr>
          <w:position w:val="10"/>
          <w:sz w:val="13"/>
        </w:rPr>
        <w:t>11 </w:t>
      </w:r>
      <w:r>
        <w:rPr>
          <w:sz w:val="20"/>
        </w:rPr>
        <w:t>Los primeros estudios urbanos, realizados por las Escuelas de Manchester y Chicago durante el siglo XX, destaca la aparición de la crisis urbana de la década de los años 60 como desencadenante de un profundo replanteamiento de las teorías acerca de la ciudad que daría lugar a una nueva escuela neo-marxista. Así, las obras de Henri Lefevbre, Manuel Castells y David Harvey llamarían la atención nuevamente sobre las desigualdades socio-económicas que el capitalismo crea en la ciudad (Soja, 2000).</w:t>
      </w:r>
    </w:p>
    <w:p>
      <w:pPr>
        <w:spacing w:line="230" w:lineRule="exact" w:before="4"/>
        <w:ind w:left="122" w:right="116" w:firstLine="0"/>
        <w:jc w:val="both"/>
        <w:rPr>
          <w:sz w:val="20"/>
        </w:rPr>
      </w:pPr>
      <w:r>
        <w:rPr>
          <w:position w:val="10"/>
          <w:sz w:val="13"/>
        </w:rPr>
        <w:t>12 </w:t>
      </w:r>
      <w:r>
        <w:rPr>
          <w:sz w:val="20"/>
        </w:rPr>
        <w:t>Si bien el concepto puede aplicarse a la ciudad, a partir de sus características físicas, en cuanto  a la convergencia de estilos arquitectónicos (por ejemplo Barcelona) o de innovación tecnológica  (el  caso  de  Seattle);  para  el  trabajo  que  nos  ocupa,  existe  un  mayor  interés  </w:t>
      </w:r>
      <w:r>
        <w:rPr>
          <w:spacing w:val="3"/>
          <w:sz w:val="20"/>
        </w:rPr>
        <w:t>por  </w:t>
      </w:r>
      <w:r>
        <w:rPr>
          <w:sz w:val="20"/>
        </w:rPr>
        <w:t>retomar</w:t>
      </w:r>
      <w:r>
        <w:rPr>
          <w:spacing w:val="12"/>
          <w:sz w:val="20"/>
        </w:rPr>
        <w:t> </w:t>
      </w:r>
      <w:r>
        <w:rPr>
          <w:sz w:val="20"/>
        </w:rPr>
        <w:t>la</w:t>
      </w:r>
    </w:p>
    <w:p>
      <w:pPr>
        <w:spacing w:line="240" w:lineRule="auto" w:before="0"/>
        <w:ind w:left="122" w:right="124" w:firstLine="0"/>
        <w:jc w:val="both"/>
        <w:rPr>
          <w:sz w:val="20"/>
        </w:rPr>
      </w:pPr>
      <w:r>
        <w:rPr>
          <w:sz w:val="20"/>
        </w:rPr>
        <w:t>propuesta sobre el recorte o estructura analítica de la ciudad, de esta manera la ciudad como entidad física y lo urbano como proceso social constituyendo una dimensión de la realidad (Boisier, 2005).</w:t>
      </w:r>
    </w:p>
    <w:p>
      <w:pPr>
        <w:spacing w:line="228" w:lineRule="exact" w:before="0"/>
        <w:ind w:left="122" w:right="0" w:firstLine="0"/>
        <w:jc w:val="both"/>
        <w:rPr>
          <w:sz w:val="20"/>
        </w:rPr>
      </w:pPr>
      <w:r>
        <w:rPr>
          <w:position w:val="10"/>
          <w:sz w:val="13"/>
        </w:rPr>
        <w:t>13  </w:t>
      </w:r>
      <w:r>
        <w:rPr>
          <w:sz w:val="20"/>
        </w:rPr>
        <w:t>Con respecto al ámbito urbano, los </w:t>
      </w:r>
      <w:r>
        <w:rPr>
          <w:i/>
          <w:sz w:val="20"/>
        </w:rPr>
        <w:t>autores posmodernos </w:t>
      </w:r>
      <w:r>
        <w:rPr>
          <w:sz w:val="20"/>
        </w:rPr>
        <w:t>hacen hincapié en la transformación</w:t>
      </w:r>
    </w:p>
    <w:p>
      <w:pPr>
        <w:spacing w:before="3"/>
        <w:ind w:left="122" w:right="129" w:firstLine="0"/>
        <w:jc w:val="both"/>
        <w:rPr>
          <w:sz w:val="20"/>
        </w:rPr>
      </w:pPr>
      <w:r>
        <w:rPr>
          <w:sz w:val="20"/>
        </w:rPr>
        <w:t>de las ciudades, al cambio en su morfología que fue acelerado por el impacto de los avances tecnológicos y el tamaño de las megalópolis.</w:t>
      </w:r>
    </w:p>
    <w:p>
      <w:pPr>
        <w:spacing w:after="0"/>
        <w:jc w:val="both"/>
        <w:rPr>
          <w:sz w:val="20"/>
        </w:rPr>
        <w:sectPr>
          <w:pgSz w:w="12240" w:h="15840"/>
          <w:pgMar w:header="0" w:footer="629" w:top="1360" w:bottom="880" w:left="1580" w:right="1580"/>
        </w:sectPr>
      </w:pPr>
    </w:p>
    <w:p>
      <w:pPr>
        <w:pStyle w:val="BodyText"/>
        <w:spacing w:before="52"/>
        <w:ind w:left="1611" w:right="2006"/>
        <w:jc w:val="both"/>
      </w:pPr>
      <w:r>
        <w:rPr/>
        <w:t>entre la población, colectivos vulnerables o más débiles pueden vivir en la marginación de guetos o periferias (ancianos, niños, inmigrantes, etc.), los tiempos sumados de trabajo y transporte aumentan, la autonomía individual puede derivar en soledad e insolidaridad, la incertidumbre sobre el futuro genera ansiedad, se pierden o debilitan identidades y referencias, hay crisis de representación política y opacidad de las instituciones que actúan en el territorio ... (Borja, 2007:41).</w:t>
      </w:r>
    </w:p>
    <w:p>
      <w:pPr>
        <w:pStyle w:val="BodyText"/>
      </w:pPr>
    </w:p>
    <w:p>
      <w:pPr>
        <w:pStyle w:val="BodyText"/>
        <w:spacing w:line="360" w:lineRule="auto" w:before="142"/>
        <w:ind w:left="102" w:right="117"/>
        <w:jc w:val="both"/>
      </w:pPr>
      <w:r>
        <w:rPr/>
        <w:t>Estas reestructuraciones tienen su concreción particular en el territorio que, en diferentes niveles (local, nacional e internacional), dan como resultado regiones ganadoras y perdedoras. Estas últimas participan de un espacio no privilegiado en las dinámicas globales imposibilitándoles un escenario de inserción que parta de  la diversidad y desde sus propias especificidades y fortalezas</w:t>
      </w:r>
      <w:r>
        <w:rPr>
          <w:spacing w:val="-23"/>
        </w:rPr>
        <w:t> </w:t>
      </w:r>
      <w:r>
        <w:rPr/>
        <w:t>(Boisier,2005).</w:t>
      </w:r>
    </w:p>
    <w:p>
      <w:pPr>
        <w:pStyle w:val="BodyText"/>
      </w:pPr>
    </w:p>
    <w:p>
      <w:pPr>
        <w:pStyle w:val="BodyText"/>
        <w:spacing w:line="360" w:lineRule="auto" w:before="142"/>
        <w:ind w:left="102" w:right="117"/>
        <w:jc w:val="both"/>
      </w:pPr>
      <w:r>
        <w:rPr/>
        <w:t>La fragmentación al interior de la ciudad puede ser argumentada a partir de la crisis del espacio público que, según Borja (2007), es causada principalmente</w:t>
      </w:r>
      <w:r>
        <w:rPr>
          <w:spacing w:val="44"/>
        </w:rPr>
        <w:t> </w:t>
      </w:r>
      <w:r>
        <w:rPr/>
        <w:t>por:</w:t>
      </w:r>
    </w:p>
    <w:p>
      <w:pPr>
        <w:pStyle w:val="BodyText"/>
        <w:spacing w:line="360" w:lineRule="auto" w:before="5"/>
        <w:ind w:left="102" w:right="115"/>
        <w:jc w:val="both"/>
      </w:pPr>
      <w:r>
        <w:rPr/>
        <w:t>a) la dinámica de la propiedad privada, b) la prioridad pública y privada a los programas inmobiliarios, c) la ocupación exclusiva de las vías circulatorias por parte del automóvil, d) la oferta comercial cerrada y d) la inseguridad ciudadana. Un territorio donde no hay espacios creados por una comunidad, sino itinerarios individuales, imprevisibles y aleatorios, trazados por el </w:t>
      </w:r>
      <w:r>
        <w:rPr>
          <w:i/>
        </w:rPr>
        <w:t>hiperconsumo </w:t>
      </w:r>
      <w:r>
        <w:rPr/>
        <w:t>que son prioridad del individuo y no de la sociedad. Sin embargo, para identificar la relación entre la teoría de la geografía posmoderna y el estudio de los clústeres comerciales es necesario indagar a mayor detalle en cada una de estas categorías de análisis en sus principales postulados teóricos.</w:t>
      </w:r>
    </w:p>
    <w:p>
      <w:pPr>
        <w:pStyle w:val="BodyText"/>
      </w:pPr>
    </w:p>
    <w:p>
      <w:pPr>
        <w:pStyle w:val="BodyText"/>
        <w:spacing w:line="360" w:lineRule="auto" w:before="142"/>
        <w:ind w:left="102" w:right="119"/>
        <w:jc w:val="both"/>
      </w:pPr>
      <w:r>
        <w:rPr/>
        <w:t>La expansión de las ciudades produjo una lista supuestamente interminable de problemas urbanos: masificación, contaminación, etc. Con lo que “la naturaleza de la vida urbana y sus problemas atrajo la atención de muchos sociólogos clásicos, especialmente  la  de  Max  Weber  y  George  Simmel.  De  hecho,  la  primera   y</w:t>
      </w:r>
    </w:p>
    <w:p>
      <w:pPr>
        <w:spacing w:after="0" w:line="360" w:lineRule="auto"/>
        <w:jc w:val="both"/>
        <w:sectPr>
          <w:pgSz w:w="12240" w:h="15840"/>
          <w:pgMar w:header="0" w:footer="629" w:top="1360" w:bottom="880" w:left="1600" w:right="1580"/>
        </w:sectPr>
      </w:pPr>
    </w:p>
    <w:p>
      <w:pPr>
        <w:pStyle w:val="BodyText"/>
        <w:spacing w:line="360" w:lineRule="auto" w:before="59"/>
        <w:ind w:left="122" w:right="117"/>
        <w:jc w:val="both"/>
      </w:pPr>
      <w:r>
        <w:rPr/>
        <w:t>principal escuela de sociología estadounidense, la escuela de Chicago</w:t>
      </w:r>
      <w:r>
        <w:rPr>
          <w:position w:val="11"/>
          <w:sz w:val="16"/>
        </w:rPr>
        <w:t>14</w:t>
      </w:r>
      <w:r>
        <w:rPr/>
        <w:t>, se define en parte por su preocupación por la ciudad y sus intereses en la utilización de Chicago como laboratorio para la urbanización y sus problemas” (Ritzer, 1993:51).</w:t>
      </w:r>
    </w:p>
    <w:p>
      <w:pPr>
        <w:pStyle w:val="BodyText"/>
      </w:pPr>
    </w:p>
    <w:p>
      <w:pPr>
        <w:pStyle w:val="BodyText"/>
        <w:spacing w:line="360" w:lineRule="auto" w:before="142"/>
        <w:ind w:left="122" w:right="115"/>
        <w:jc w:val="both"/>
      </w:pPr>
      <w:r>
        <w:rPr/>
        <w:t>Por ello, durante la década de los cincuenta “se produce una evolución que va desde la concepción de planificación como arquitectura hacia la planificación como ciencia aplicada introducida por la Escuela de Chicago” (Cárdenas, 2005:5). Así, si pudiéramos hacer una especie de cronograma sobre la fecha en que surgieron las teorías que incluían “temas” relacionados con la planificación urbana, necesariamente tendríamos que apoyarnos en trabajos que han hecho un seguimiento de ellas. Por lo que a partir de Benko (1998) podemos mencionar  que:</w:t>
      </w:r>
    </w:p>
    <w:p>
      <w:pPr>
        <w:pStyle w:val="BodyText"/>
      </w:pPr>
    </w:p>
    <w:p>
      <w:pPr>
        <w:pStyle w:val="ListParagraph"/>
        <w:numPr>
          <w:ilvl w:val="0"/>
          <w:numId w:val="10"/>
        </w:numPr>
        <w:tabs>
          <w:tab w:pos="482" w:val="left" w:leader="none"/>
        </w:tabs>
        <w:spacing w:line="352" w:lineRule="auto" w:before="140" w:after="0"/>
        <w:ind w:left="122" w:right="118" w:firstLine="0"/>
        <w:jc w:val="both"/>
        <w:rPr>
          <w:sz w:val="24"/>
        </w:rPr>
      </w:pPr>
      <w:r>
        <w:rPr>
          <w:sz w:val="24"/>
        </w:rPr>
        <w:t>1950 – Se establece la </w:t>
      </w:r>
      <w:r>
        <w:rPr>
          <w:i/>
          <w:sz w:val="24"/>
        </w:rPr>
        <w:t>Teoría de la localización </w:t>
      </w:r>
      <w:r>
        <w:rPr>
          <w:sz w:val="24"/>
        </w:rPr>
        <w:t>cuyos principales impulsores fueron Isard, Greenhut, Hoover, Samuelson, Alonso, Webber, entre</w:t>
      </w:r>
      <w:r>
        <w:rPr>
          <w:spacing w:val="-26"/>
          <w:sz w:val="24"/>
        </w:rPr>
        <w:t> </w:t>
      </w:r>
      <w:r>
        <w:rPr>
          <w:sz w:val="24"/>
        </w:rPr>
        <w:t>otros.</w:t>
      </w:r>
    </w:p>
    <w:p>
      <w:pPr>
        <w:pStyle w:val="ListParagraph"/>
        <w:numPr>
          <w:ilvl w:val="0"/>
          <w:numId w:val="10"/>
        </w:numPr>
        <w:tabs>
          <w:tab w:pos="482" w:val="left" w:leader="none"/>
        </w:tabs>
        <w:spacing w:line="357" w:lineRule="auto" w:before="11" w:after="0"/>
        <w:ind w:left="122" w:right="116" w:firstLine="0"/>
        <w:jc w:val="both"/>
        <w:rPr>
          <w:sz w:val="24"/>
        </w:rPr>
      </w:pPr>
      <w:r>
        <w:rPr>
          <w:sz w:val="24"/>
        </w:rPr>
        <w:t>Finales de la década de los cincuenta – Existen cuatro temas principales: </w:t>
      </w:r>
      <w:r>
        <w:rPr>
          <w:i/>
          <w:sz w:val="24"/>
        </w:rPr>
        <w:t>Ciudad y Economía </w:t>
      </w:r>
      <w:r>
        <w:rPr>
          <w:sz w:val="24"/>
        </w:rPr>
        <w:t>(Alonso, Berry, Castells, Remy, Claval y Saint- Julien); </w:t>
      </w:r>
      <w:r>
        <w:rPr>
          <w:i/>
          <w:sz w:val="24"/>
        </w:rPr>
        <w:t>Teoría </w:t>
      </w:r>
      <w:r>
        <w:rPr>
          <w:i/>
          <w:sz w:val="24"/>
        </w:rPr>
        <w:t>del polo de desarrollo </w:t>
      </w:r>
      <w:r>
        <w:rPr>
          <w:sz w:val="24"/>
        </w:rPr>
        <w:t>(Perroux, Boudeville, Richardson y Friedman); </w:t>
      </w:r>
      <w:r>
        <w:rPr>
          <w:i/>
          <w:sz w:val="24"/>
        </w:rPr>
        <w:t>Desarrollo </w:t>
      </w:r>
      <w:r>
        <w:rPr>
          <w:i/>
          <w:sz w:val="24"/>
        </w:rPr>
        <w:t>desigual y economía del Desarrollo </w:t>
      </w:r>
      <w:r>
        <w:rPr>
          <w:sz w:val="24"/>
        </w:rPr>
        <w:t>(Nurkse, Myrdal, Friedman, Emmanuel,  Santos, Hirschmann y Holland); y por último, </w:t>
      </w:r>
      <w:r>
        <w:rPr>
          <w:i/>
          <w:sz w:val="24"/>
        </w:rPr>
        <w:t>Modelos regionales y técnicos de </w:t>
      </w:r>
      <w:r>
        <w:rPr>
          <w:i/>
          <w:sz w:val="24"/>
        </w:rPr>
        <w:t>análisis </w:t>
      </w:r>
      <w:r>
        <w:rPr>
          <w:sz w:val="24"/>
        </w:rPr>
        <w:t>(Isard, Leontief, Courbis, Haggett, Pumain, entre</w:t>
      </w:r>
      <w:r>
        <w:rPr>
          <w:spacing w:val="-21"/>
          <w:sz w:val="24"/>
        </w:rPr>
        <w:t> </w:t>
      </w:r>
      <w:r>
        <w:rPr>
          <w:sz w:val="24"/>
        </w:rPr>
        <w:t>otros).</w:t>
      </w:r>
    </w:p>
    <w:p>
      <w:pPr>
        <w:pStyle w:val="ListParagraph"/>
        <w:numPr>
          <w:ilvl w:val="0"/>
          <w:numId w:val="10"/>
        </w:numPr>
        <w:tabs>
          <w:tab w:pos="482" w:val="left" w:leader="none"/>
        </w:tabs>
        <w:spacing w:line="355" w:lineRule="auto" w:before="6" w:after="0"/>
        <w:ind w:left="122" w:right="116" w:firstLine="0"/>
        <w:jc w:val="both"/>
        <w:rPr>
          <w:sz w:val="24"/>
        </w:rPr>
      </w:pPr>
      <w:r>
        <w:rPr>
          <w:sz w:val="24"/>
        </w:rPr>
        <w:t>Durante la década de los sesenta – Se ubican dos temas principalmente: </w:t>
      </w:r>
      <w:r>
        <w:rPr>
          <w:i/>
          <w:sz w:val="24"/>
        </w:rPr>
        <w:t>La </w:t>
      </w:r>
      <w:r>
        <w:rPr>
          <w:i/>
          <w:sz w:val="24"/>
        </w:rPr>
        <w:t>Nueva Geografía </w:t>
      </w:r>
      <w:r>
        <w:rPr>
          <w:sz w:val="24"/>
        </w:rPr>
        <w:t>(Berry, Garrison, Haggett, Marchand, Gould y Harvey) y </w:t>
      </w:r>
      <w:r>
        <w:rPr>
          <w:i/>
          <w:sz w:val="24"/>
        </w:rPr>
        <w:t>Estudios </w:t>
      </w:r>
      <w:r>
        <w:rPr>
          <w:i/>
          <w:sz w:val="24"/>
        </w:rPr>
        <w:t>impositivos inmobiliarios </w:t>
      </w:r>
      <w:r>
        <w:rPr>
          <w:sz w:val="24"/>
        </w:rPr>
        <w:t>(Guigou, Topalov, Lipietz,</w:t>
      </w:r>
      <w:r>
        <w:rPr>
          <w:spacing w:val="-14"/>
          <w:sz w:val="24"/>
        </w:rPr>
        <w:t> </w:t>
      </w:r>
      <w:r>
        <w:rPr>
          <w:sz w:val="24"/>
        </w:rPr>
        <w:t>Renard).</w:t>
      </w:r>
    </w:p>
    <w:p>
      <w:pPr>
        <w:pStyle w:val="BodyText"/>
        <w:rPr>
          <w:sz w:val="20"/>
        </w:rPr>
      </w:pPr>
    </w:p>
    <w:p>
      <w:pPr>
        <w:pStyle w:val="BodyText"/>
        <w:rPr>
          <w:sz w:val="20"/>
        </w:rPr>
      </w:pPr>
    </w:p>
    <w:p>
      <w:pPr>
        <w:pStyle w:val="BodyText"/>
        <w:rPr>
          <w:sz w:val="20"/>
        </w:rPr>
      </w:pPr>
    </w:p>
    <w:p>
      <w:pPr>
        <w:pStyle w:val="BodyText"/>
        <w:spacing w:before="10"/>
        <w:rPr>
          <w:sz w:val="29"/>
        </w:rPr>
      </w:pPr>
      <w:r>
        <w:rPr/>
        <w:pict>
          <v:line style="position:absolute;mso-position-horizontal-relative:page;mso-position-vertical-relative:paragraph;z-index:2080;mso-wrap-distance-left:0;mso-wrap-distance-right:0" from="85.103996pt,19.464941pt" to="229.123996pt,19.464941pt" stroked="true" strokeweight=".60004pt" strokecolor="#000000">
            <w10:wrap type="topAndBottom"/>
          </v:line>
        </w:pict>
      </w:r>
    </w:p>
    <w:p>
      <w:pPr>
        <w:spacing w:line="360" w:lineRule="auto" w:before="44"/>
        <w:ind w:left="122" w:right="123" w:firstLine="0"/>
        <w:jc w:val="both"/>
        <w:rPr>
          <w:i/>
          <w:sz w:val="20"/>
        </w:rPr>
      </w:pPr>
      <w:r>
        <w:rPr>
          <w:position w:val="10"/>
          <w:sz w:val="13"/>
        </w:rPr>
        <w:t>14 </w:t>
      </w:r>
      <w:r>
        <w:rPr>
          <w:sz w:val="20"/>
        </w:rPr>
        <w:t>Aquí es importante resaltar que se hace referencia a la institución y no a la corriente de pensamiento. Si se desea conocer más a fondo la historia de las teorías de la planificación urbana recomiendo la siguiente bibliografía </w:t>
      </w:r>
      <w:r>
        <w:rPr>
          <w:i/>
          <w:sz w:val="20"/>
        </w:rPr>
        <w:t>Taylor , Nigel (2001) “Urban Planning Theory since 1945”. </w:t>
      </w:r>
      <w:r>
        <w:rPr>
          <w:i/>
          <w:sz w:val="20"/>
        </w:rPr>
        <w:t>SAGE Publications, Second reprint. London.</w:t>
      </w:r>
    </w:p>
    <w:p>
      <w:pPr>
        <w:spacing w:after="0" w:line="360" w:lineRule="auto"/>
        <w:jc w:val="both"/>
        <w:rPr>
          <w:sz w:val="20"/>
        </w:rPr>
        <w:sectPr>
          <w:pgSz w:w="12240" w:h="15840"/>
          <w:pgMar w:header="0" w:footer="629" w:top="1320" w:bottom="880" w:left="1580" w:right="1580"/>
        </w:sectPr>
      </w:pPr>
    </w:p>
    <w:p>
      <w:pPr>
        <w:pStyle w:val="ListParagraph"/>
        <w:numPr>
          <w:ilvl w:val="0"/>
          <w:numId w:val="10"/>
        </w:numPr>
        <w:tabs>
          <w:tab w:pos="462" w:val="left" w:leader="none"/>
        </w:tabs>
        <w:spacing w:line="355" w:lineRule="auto" w:before="32" w:after="0"/>
        <w:ind w:left="102" w:right="122" w:firstLine="0"/>
        <w:jc w:val="both"/>
        <w:rPr>
          <w:sz w:val="24"/>
        </w:rPr>
      </w:pPr>
      <w:r>
        <w:rPr>
          <w:sz w:val="24"/>
        </w:rPr>
        <w:t>Década de los setenta – </w:t>
      </w:r>
      <w:r>
        <w:rPr>
          <w:i/>
          <w:sz w:val="24"/>
        </w:rPr>
        <w:t>Política Regional, Ordenamiento del Territorio e </w:t>
      </w:r>
      <w:r>
        <w:rPr>
          <w:i/>
          <w:sz w:val="24"/>
        </w:rPr>
        <w:t>Integración Regional </w:t>
      </w:r>
      <w:r>
        <w:rPr>
          <w:sz w:val="24"/>
        </w:rPr>
        <w:t>(Von Bonventer, Pred, Richardson, Weaver, Soja, Hall) y </w:t>
      </w:r>
      <w:r>
        <w:rPr>
          <w:i/>
          <w:sz w:val="24"/>
        </w:rPr>
        <w:t>Desarrollo Local </w:t>
      </w:r>
      <w:r>
        <w:rPr>
          <w:sz w:val="24"/>
        </w:rPr>
        <w:t>(Friedman, Scott,</w:t>
      </w:r>
      <w:r>
        <w:rPr>
          <w:spacing w:val="-15"/>
          <w:sz w:val="24"/>
        </w:rPr>
        <w:t> </w:t>
      </w:r>
      <w:r>
        <w:rPr>
          <w:sz w:val="24"/>
        </w:rPr>
        <w:t>Polese)</w:t>
      </w:r>
    </w:p>
    <w:p>
      <w:pPr>
        <w:pStyle w:val="ListParagraph"/>
        <w:numPr>
          <w:ilvl w:val="0"/>
          <w:numId w:val="10"/>
        </w:numPr>
        <w:tabs>
          <w:tab w:pos="462" w:val="left" w:leader="none"/>
        </w:tabs>
        <w:spacing w:line="352" w:lineRule="auto" w:before="11" w:after="0"/>
        <w:ind w:left="102" w:right="118" w:firstLine="0"/>
        <w:jc w:val="both"/>
        <w:rPr>
          <w:sz w:val="24"/>
        </w:rPr>
      </w:pPr>
      <w:r>
        <w:rPr>
          <w:sz w:val="24"/>
        </w:rPr>
        <w:t>Década de los ochenta – </w:t>
      </w:r>
      <w:r>
        <w:rPr>
          <w:i/>
          <w:sz w:val="24"/>
        </w:rPr>
        <w:t>Metropolización </w:t>
      </w:r>
      <w:r>
        <w:rPr>
          <w:sz w:val="24"/>
        </w:rPr>
        <w:t>(Friedman, Sassen, Castells, Scott, Lacour).</w:t>
      </w:r>
    </w:p>
    <w:p>
      <w:pPr>
        <w:pStyle w:val="BodyText"/>
        <w:spacing w:before="10"/>
      </w:pPr>
    </w:p>
    <w:p>
      <w:pPr>
        <w:pStyle w:val="BodyText"/>
        <w:spacing w:line="360" w:lineRule="auto" w:before="1"/>
        <w:ind w:left="102" w:right="118"/>
        <w:jc w:val="both"/>
      </w:pPr>
      <w:r>
        <w:rPr/>
        <w:t>Si bien la sociología ha sido un importante impulsor de la investigación urbana es necesario señalar que también han sido primordiales las aportaciones de la planeación urbana, estás disciplinas fueron hegemónicas hasta la década de los años ochenta del siglo XX, sin embargo esa hegemonía no es tan clara a partir de la década de los años noventa a partir de las propuestas ambientales, gestión social y desigualdad social.</w:t>
      </w:r>
    </w:p>
    <w:p>
      <w:pPr>
        <w:pStyle w:val="BodyText"/>
      </w:pPr>
    </w:p>
    <w:p>
      <w:pPr>
        <w:pStyle w:val="BodyText"/>
        <w:spacing w:line="360" w:lineRule="auto" w:before="142"/>
        <w:ind w:left="102" w:right="117"/>
        <w:jc w:val="both"/>
      </w:pPr>
      <w:r>
        <w:rPr/>
        <w:t>De esta forma, a manera de conclusión del capítulo, podemos señalar que el urbanismo, la planeación urbana y la sociología urbana tuvieron un punto de convergencia posterior a la segunda guerra mundial que estableció las bases para el área que integraría los estudios de varias disciplinas y que en la actualidad nombramos como IUL.</w:t>
      </w:r>
    </w:p>
    <w:p>
      <w:pPr>
        <w:pStyle w:val="BodyText"/>
      </w:pPr>
    </w:p>
    <w:p>
      <w:pPr>
        <w:pStyle w:val="BodyText"/>
        <w:spacing w:line="360" w:lineRule="auto" w:before="142"/>
        <w:ind w:left="102" w:right="118"/>
        <w:jc w:val="both"/>
      </w:pPr>
      <w:r>
        <w:rPr/>
        <w:t>Este primer acercamiento nos permite establecer las disciplinas que son centrales en la IUL, para definir todas las disciplinas que confluyen en el área será a partir del vínculo que se dé a través de las publicaciones científicas, ya que éstas son el principal medio por el cual se hace difusión del conocimiento pero además donde hay un vínculo entre disciplinas. Así pasamos al siguiente apartado donde analizamos a las publicaciones para que en el último capítulo identifiquemos a las disciplinas de la IUL.</w:t>
      </w:r>
    </w:p>
    <w:p>
      <w:pPr>
        <w:spacing w:after="0" w:line="360" w:lineRule="auto"/>
        <w:jc w:val="both"/>
        <w:sectPr>
          <w:pgSz w:w="12240" w:h="15840"/>
          <w:pgMar w:header="0" w:footer="629" w:top="1380" w:bottom="8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2"/>
        <w:ind w:left="0" w:right="119"/>
        <w:jc w:val="right"/>
      </w:pPr>
      <w:r>
        <w:rPr/>
        <w:t>CAPÍTULO IV</w:t>
      </w:r>
    </w:p>
    <w:p>
      <w:pPr>
        <w:spacing w:before="137"/>
        <w:ind w:left="0" w:right="118" w:firstLine="0"/>
        <w:jc w:val="right"/>
        <w:rPr>
          <w:b/>
          <w:sz w:val="24"/>
        </w:rPr>
      </w:pPr>
      <w:r>
        <w:rPr>
          <w:b/>
          <w:sz w:val="24"/>
        </w:rPr>
        <w:t>Difusión de la ciencia</w:t>
      </w:r>
    </w:p>
    <w:p>
      <w:pPr>
        <w:pStyle w:val="BodyText"/>
        <w:rPr>
          <w:b/>
        </w:rPr>
      </w:pPr>
    </w:p>
    <w:p>
      <w:pPr>
        <w:pStyle w:val="BodyText"/>
        <w:rPr>
          <w:b/>
        </w:rPr>
      </w:pPr>
    </w:p>
    <w:p>
      <w:pPr>
        <w:pStyle w:val="BodyText"/>
        <w:rPr>
          <w:b/>
        </w:rPr>
      </w:pPr>
    </w:p>
    <w:p>
      <w:pPr>
        <w:spacing w:before="139"/>
        <w:ind w:left="0" w:right="114" w:firstLine="0"/>
        <w:jc w:val="right"/>
        <w:rPr>
          <w:b/>
          <w:sz w:val="24"/>
        </w:rPr>
      </w:pPr>
      <w:r>
        <w:rPr>
          <w:b/>
          <w:sz w:val="24"/>
        </w:rPr>
        <w:t>Introducción de capítulo</w:t>
      </w:r>
    </w:p>
    <w:p>
      <w:pPr>
        <w:pStyle w:val="BodyText"/>
        <w:rPr>
          <w:b/>
        </w:rPr>
      </w:pPr>
    </w:p>
    <w:p>
      <w:pPr>
        <w:pStyle w:val="BodyText"/>
        <w:rPr>
          <w:b/>
        </w:rPr>
      </w:pPr>
    </w:p>
    <w:p>
      <w:pPr>
        <w:pStyle w:val="BodyText"/>
        <w:spacing w:line="360" w:lineRule="auto"/>
        <w:ind w:left="102" w:right="114"/>
        <w:jc w:val="both"/>
      </w:pPr>
      <w:r>
        <w:rPr/>
        <w:t>En este capítulo se considera a Suárez (2003) para hacer referencia a las características de las teorías y a las prácticas científicas, donde una práctica es el tipo de actividades que define a las comunidades y campos de investigación. Mientras que Foucault (1973) y Lvotard (1991) resaltan el papel de la tecnología sobre el discurso; la relación entre conocimiento científico y comunicación es sustancial en el proceso de significación del discurso.</w:t>
      </w:r>
    </w:p>
    <w:p>
      <w:pPr>
        <w:spacing w:after="0" w:line="360" w:lineRule="auto"/>
        <w:jc w:val="both"/>
        <w:sectPr>
          <w:pgSz w:w="12240" w:h="15840"/>
          <w:pgMar w:header="0" w:footer="629" w:top="1500" w:bottom="880" w:left="1600" w:right="1580"/>
        </w:sectPr>
      </w:pPr>
    </w:p>
    <w:p>
      <w:pPr>
        <w:pStyle w:val="BodyText"/>
        <w:spacing w:line="360" w:lineRule="auto" w:before="54"/>
        <w:ind w:left="102" w:right="118"/>
        <w:jc w:val="both"/>
      </w:pPr>
      <w:r>
        <w:rPr/>
        <w:t>La producción del conocimiento es indispensable para la consolidación de las ciencias (natural y social) pero sobre todo para delimitar una disciplina científica, la producción de artículos es sin duda el principal medio para que la comunidad científica pueda interactuar y discutir sobre un objeto de estudio.</w:t>
      </w:r>
    </w:p>
    <w:p>
      <w:pPr>
        <w:pStyle w:val="BodyText"/>
      </w:pPr>
    </w:p>
    <w:p>
      <w:pPr>
        <w:pStyle w:val="BodyText"/>
        <w:spacing w:line="360" w:lineRule="auto" w:before="142"/>
        <w:ind w:left="102" w:right="115"/>
        <w:jc w:val="both"/>
      </w:pPr>
      <w:r>
        <w:rPr/>
        <w:t>En el proceso de difusión de la ciencia los medios tecnológicos que utilizan las bases de datos han generado una dinámica de mercantilización del conocimiento que ha provocado una atomización de las disciplinas, se hacen tan exclusivas que esto podría generar problemas de permanencia de algunas disciplinas. Esta característica de la difusión de la ciencia se retoma en este capítulo para advertir la problemática propia de la IUL. Este contexto debe ser visto de las prácticas científicas en las que se impulsa la productividad</w:t>
      </w:r>
      <w:r>
        <w:rPr>
          <w:spacing w:val="-14"/>
        </w:rPr>
        <w:t> </w:t>
      </w:r>
      <w:r>
        <w:rPr/>
        <w:t>científica.</w:t>
      </w:r>
    </w:p>
    <w:p>
      <w:pPr>
        <w:pStyle w:val="BodyText"/>
      </w:pPr>
    </w:p>
    <w:p>
      <w:pPr>
        <w:pStyle w:val="Heading1"/>
        <w:spacing w:before="142"/>
        <w:jc w:val="both"/>
      </w:pPr>
      <w:r>
        <w:rPr/>
        <w:t>4.1. Prácticas científicas</w:t>
      </w:r>
    </w:p>
    <w:p>
      <w:pPr>
        <w:pStyle w:val="BodyText"/>
        <w:spacing w:line="360" w:lineRule="auto" w:before="137"/>
        <w:ind w:left="102" w:right="114"/>
        <w:jc w:val="both"/>
      </w:pPr>
      <w:r>
        <w:rPr/>
        <w:t>Una de las versiones más comunes sobre la ciencia es aquella que la considera como un conocimiento articulado en teorías que explican diferentes aspectos del mundo; según Suárez y Martínez (2008:39), de esta visión surge la tesis de la unidad de la ciencia que sostiene que es una actividad homogénea en la que se reconoce la observación, experimentación y la organización de los científicos pero al final todo se resume a la elaboración, corroboración y extensión de teorías científicas. Esta visión ha sido fuertemente cuestionada en las últimas tres décadas ya que, como los propios Suárez y Martínez (2008) han establecido, la ciencia no es homogénea en la forma en que se realiza y hay patrones a cumplir en el proceso de la actividad</w:t>
      </w:r>
      <w:r>
        <w:rPr>
          <w:spacing w:val="-13"/>
        </w:rPr>
        <w:t> </w:t>
      </w:r>
      <w:r>
        <w:rPr/>
        <w:t>científica.</w:t>
      </w:r>
    </w:p>
    <w:p>
      <w:pPr>
        <w:pStyle w:val="BodyText"/>
      </w:pPr>
    </w:p>
    <w:p>
      <w:pPr>
        <w:pStyle w:val="BodyText"/>
        <w:spacing w:line="360" w:lineRule="auto" w:before="142"/>
        <w:ind w:left="102" w:right="114"/>
        <w:jc w:val="both"/>
      </w:pPr>
      <w:r>
        <w:rPr/>
        <w:t>El grupo de propuestas que consideran a la ciencia más allá de la contrastación y fortalecimiento de teorías es amplio, de ellas destacamos la impulsada por el filósofo Ian Hacking que a partir de su libro </w:t>
      </w:r>
      <w:r>
        <w:rPr>
          <w:i/>
        </w:rPr>
        <w:t>Representing and Intervening </w:t>
      </w:r>
      <w:r>
        <w:rPr/>
        <w:t>(1983)  ha sido referencia obligada para reintroducir la intervención material en la elaboración del conocimiento científico. Con Hacking se tiene la concepción   </w:t>
      </w:r>
      <w:r>
        <w:rPr>
          <w:spacing w:val="21"/>
        </w:rPr>
        <w:t> </w:t>
      </w:r>
      <w:r>
        <w:rPr/>
        <w:t>más</w:t>
      </w:r>
    </w:p>
    <w:p>
      <w:pPr>
        <w:spacing w:after="0" w:line="360" w:lineRule="auto"/>
        <w:jc w:val="both"/>
        <w:sectPr>
          <w:pgSz w:w="12240" w:h="15840"/>
          <w:pgMar w:header="0" w:footer="629" w:top="1360" w:bottom="880" w:left="1600" w:right="1580"/>
        </w:sectPr>
      </w:pPr>
    </w:p>
    <w:p>
      <w:pPr>
        <w:spacing w:line="360" w:lineRule="auto" w:before="52"/>
        <w:ind w:left="102" w:right="117" w:firstLine="0"/>
        <w:jc w:val="both"/>
        <w:rPr>
          <w:sz w:val="24"/>
        </w:rPr>
      </w:pPr>
      <w:r>
        <w:rPr>
          <w:sz w:val="24"/>
        </w:rPr>
        <w:t>actual de la práctica científica a partir del nuevo experimentalismo (</w:t>
      </w:r>
      <w:r>
        <w:rPr>
          <w:i/>
          <w:sz w:val="24"/>
        </w:rPr>
        <w:t>new </w:t>
      </w:r>
      <w:r>
        <w:rPr>
          <w:i/>
          <w:sz w:val="24"/>
        </w:rPr>
        <w:t>experimentalism</w:t>
      </w:r>
      <w:r>
        <w:rPr>
          <w:sz w:val="24"/>
        </w:rPr>
        <w:t>).</w:t>
      </w:r>
    </w:p>
    <w:p>
      <w:pPr>
        <w:pStyle w:val="BodyText"/>
      </w:pPr>
    </w:p>
    <w:p>
      <w:pPr>
        <w:pStyle w:val="BodyText"/>
        <w:spacing w:line="360" w:lineRule="auto" w:before="144"/>
        <w:ind w:left="102" w:right="113"/>
        <w:jc w:val="both"/>
      </w:pPr>
      <w:r>
        <w:rPr/>
        <w:t>La estructura del conocimiento científico, según la propuesta del nuevo experimentalismo, consta de tres niveles; en el primero se encuentra la teoría, en el segundo los modelos de los fenómenos y en el tercero los datos; de esta forma los modelos son los mediadores entre teoría y datos. Los modelos, según Suárez (2003: 275), son propiedades generales de las entidades del mundo social y natural que se infieren de los datos, los fenómenos rara vez son observados y no necesitan ser</w:t>
      </w:r>
      <w:r>
        <w:rPr>
          <w:spacing w:val="-12"/>
        </w:rPr>
        <w:t> </w:t>
      </w:r>
      <w:r>
        <w:rPr/>
        <w:t>observables.</w:t>
      </w:r>
    </w:p>
    <w:p>
      <w:pPr>
        <w:pStyle w:val="BodyText"/>
      </w:pPr>
    </w:p>
    <w:p>
      <w:pPr>
        <w:pStyle w:val="BodyText"/>
        <w:spacing w:line="360" w:lineRule="auto" w:before="142"/>
        <w:ind w:left="102" w:right="116"/>
        <w:jc w:val="both"/>
      </w:pPr>
      <w:r>
        <w:rPr/>
        <w:t>Cabe aclarar que no debe confundirse un modelo de un fenómeno con una teoría sobre el fenómeno, esto debido a que el modelo no es generalizable y por lo tanto no tiene el carácter explicativo de una teoría. La estructura del conocimiento científico según el nuevo experimentalismo se ejemplifica en el  siguiente esquema:</w:t>
      </w:r>
    </w:p>
    <w:p>
      <w:pPr>
        <w:pStyle w:val="BodyText"/>
      </w:pPr>
    </w:p>
    <w:p>
      <w:pPr>
        <w:pStyle w:val="Heading1"/>
        <w:ind w:left="100" w:right="117"/>
      </w:pPr>
      <w:r>
        <w:rPr/>
        <w:t>Figura 11</w:t>
      </w:r>
    </w:p>
    <w:p>
      <w:pPr>
        <w:spacing w:before="0"/>
        <w:ind w:left="2300" w:right="2316" w:firstLine="0"/>
        <w:jc w:val="center"/>
        <w:rPr>
          <w:b/>
          <w:sz w:val="24"/>
        </w:rPr>
      </w:pPr>
      <w:r>
        <w:rPr>
          <w:b/>
          <w:sz w:val="24"/>
        </w:rPr>
        <w:t>Estructura del Conocimiento Científico Nuevo Experimentalismo</w:t>
      </w:r>
    </w:p>
    <w:p>
      <w:pPr>
        <w:pStyle w:val="BodyText"/>
        <w:spacing w:before="10"/>
        <w:rPr>
          <w:b/>
          <w:sz w:val="20"/>
        </w:rPr>
      </w:pPr>
      <w:r>
        <w:rPr/>
        <w:drawing>
          <wp:anchor distT="0" distB="0" distL="0" distR="0" allowOverlap="1" layoutInCell="1" locked="0" behindDoc="0" simplePos="0" relativeHeight="2104">
            <wp:simplePos x="0" y="0"/>
            <wp:positionH relativeFrom="page">
              <wp:posOffset>1932685</wp:posOffset>
            </wp:positionH>
            <wp:positionV relativeFrom="paragraph">
              <wp:posOffset>177381</wp:posOffset>
            </wp:positionV>
            <wp:extent cx="3850608" cy="1560195"/>
            <wp:effectExtent l="0" t="0" r="0" b="0"/>
            <wp:wrapTopAndBottom/>
            <wp:docPr id="23" name="image15.png" descr=""/>
            <wp:cNvGraphicFramePr>
              <a:graphicFrameLocks noChangeAspect="1"/>
            </wp:cNvGraphicFramePr>
            <a:graphic>
              <a:graphicData uri="http://schemas.openxmlformats.org/drawingml/2006/picture">
                <pic:pic>
                  <pic:nvPicPr>
                    <pic:cNvPr id="24" name="image15.png"/>
                    <pic:cNvPicPr/>
                  </pic:nvPicPr>
                  <pic:blipFill>
                    <a:blip r:embed="rId26" cstate="print"/>
                    <a:stretch>
                      <a:fillRect/>
                    </a:stretch>
                  </pic:blipFill>
                  <pic:spPr>
                    <a:xfrm>
                      <a:off x="0" y="0"/>
                      <a:ext cx="3850608" cy="1560195"/>
                    </a:xfrm>
                    <a:prstGeom prst="rect">
                      <a:avLst/>
                    </a:prstGeom>
                  </pic:spPr>
                </pic:pic>
              </a:graphicData>
            </a:graphic>
          </wp:anchor>
        </w:drawing>
      </w:r>
    </w:p>
    <w:p>
      <w:pPr>
        <w:pStyle w:val="BodyText"/>
        <w:spacing w:before="5"/>
        <w:ind w:left="99" w:right="117"/>
        <w:jc w:val="center"/>
      </w:pPr>
      <w:r>
        <w:rPr/>
        <w:t>Fuente: Suárez (2003)</w:t>
      </w:r>
    </w:p>
    <w:p>
      <w:pPr>
        <w:pStyle w:val="BodyText"/>
      </w:pPr>
    </w:p>
    <w:p>
      <w:pPr>
        <w:pStyle w:val="BodyText"/>
      </w:pPr>
    </w:p>
    <w:p>
      <w:pPr>
        <w:pStyle w:val="BodyText"/>
        <w:ind w:left="102"/>
        <w:jc w:val="both"/>
      </w:pPr>
      <w:r>
        <w:rPr/>
        <w:t>Según esta concepción,</w:t>
      </w:r>
    </w:p>
    <w:p>
      <w:pPr>
        <w:pStyle w:val="BodyText"/>
      </w:pPr>
    </w:p>
    <w:p>
      <w:pPr>
        <w:pStyle w:val="BodyText"/>
        <w:ind w:left="891" w:right="928"/>
        <w:jc w:val="both"/>
      </w:pPr>
      <w:r>
        <w:rPr/>
        <w:t>“…no es posible que el significado de un enunciado teórico venga dado por sus relaciones lógicas con los enunciados  observacionales de la teoría, y tampoco es posible que la evidencia a favor de un enunciado teórico venga dada como una función de</w:t>
      </w:r>
      <w:r>
        <w:rPr>
          <w:spacing w:val="-24"/>
        </w:rPr>
        <w:t> </w:t>
      </w:r>
      <w:r>
        <w:rPr/>
        <w:t>la</w:t>
      </w:r>
    </w:p>
    <w:p>
      <w:pPr>
        <w:spacing w:after="0"/>
        <w:jc w:val="both"/>
        <w:sectPr>
          <w:pgSz w:w="12240" w:h="15840"/>
          <w:pgMar w:header="0" w:footer="629" w:top="1360" w:bottom="880" w:left="1600" w:right="1580"/>
        </w:sectPr>
      </w:pPr>
    </w:p>
    <w:p>
      <w:pPr>
        <w:pStyle w:val="BodyText"/>
        <w:spacing w:before="52"/>
        <w:ind w:left="891" w:right="923"/>
        <w:jc w:val="both"/>
      </w:pPr>
      <w:r>
        <w:rPr/>
        <w:t>evidencia específica a favor de cada uno de esos enunciados observacionales. Los enunciados teóricos sólo están conectados  de manera muy indirecta con los datos observacionales a través de los modelos de fenómenos, y no existe en general una relación lógica directa entre datos y teorías” (Suárez, 2003:</w:t>
      </w:r>
      <w:r>
        <w:rPr>
          <w:spacing w:val="-19"/>
        </w:rPr>
        <w:t> </w:t>
      </w:r>
      <w:r>
        <w:rPr/>
        <w:t>276).</w:t>
      </w:r>
    </w:p>
    <w:p>
      <w:pPr>
        <w:pStyle w:val="BodyText"/>
      </w:pPr>
    </w:p>
    <w:p>
      <w:pPr>
        <w:pStyle w:val="BodyText"/>
        <w:spacing w:line="360" w:lineRule="auto" w:before="141"/>
        <w:ind w:left="102" w:right="118"/>
        <w:jc w:val="both"/>
      </w:pPr>
      <w:r>
        <w:rPr/>
        <w:t>El modelo fenomenológico da sustento a la teoría, además, la evidencia empírica no viene directamente de los datos observacionales sino de los enunciados fenomenológicos. El papel de la práctica experimental y el conocimiento fenomenológico del mundo son considerados independientes del conocimiento teórico; en este sentido los experimentos de la ciencia no se reducen a instrumentos para verificar una teoría, la mayoría fueron diseñados para establecer enunciados fenomenológicos y modelos de los</w:t>
      </w:r>
      <w:r>
        <w:rPr>
          <w:spacing w:val="-31"/>
        </w:rPr>
        <w:t> </w:t>
      </w:r>
      <w:r>
        <w:rPr/>
        <w:t>fenómenos.</w:t>
      </w:r>
    </w:p>
    <w:p>
      <w:pPr>
        <w:pStyle w:val="BodyText"/>
      </w:pPr>
    </w:p>
    <w:p>
      <w:pPr>
        <w:pStyle w:val="BodyText"/>
        <w:spacing w:line="360" w:lineRule="auto" w:before="142"/>
        <w:ind w:left="102" w:right="117"/>
        <w:jc w:val="both"/>
      </w:pPr>
      <w:r>
        <w:rPr/>
        <w:t>Aquí cabe hacer la distinción entre datos y fenómenos, según Suárez (2003), los datos son observaciones precisas de los instrumentos de medición, son efímeros porque existen conforme a las condiciones del experimento, mientras los fenómenos son patrones generales y estables del comportamiento del mundo.</w:t>
      </w:r>
    </w:p>
    <w:p>
      <w:pPr>
        <w:pStyle w:val="BodyText"/>
      </w:pPr>
    </w:p>
    <w:p>
      <w:pPr>
        <w:pStyle w:val="BodyText"/>
        <w:spacing w:line="360" w:lineRule="auto" w:before="142"/>
        <w:ind w:left="102" w:right="120"/>
        <w:jc w:val="both"/>
      </w:pPr>
      <w:r>
        <w:rPr/>
        <w:t>Se advierte que el conocimiento también conlleva normas sobre las prácticas realizadas por los científicos. “Una práctica no es todo aquello que hacen los científicos para crear conocimiento o artefactos. Es más bien el tipo de actividades que define a las comunidades y campos de investigación, que los distingue de otros y marca alianzas cruciales” (Suárez y Martínez, 2008, 47); por lo cual, las características de las prácticas tienen implicaciones en la forma en que se establecen instituciones y organizaciones.</w:t>
      </w:r>
    </w:p>
    <w:p>
      <w:pPr>
        <w:pStyle w:val="BodyText"/>
      </w:pPr>
    </w:p>
    <w:p>
      <w:pPr>
        <w:pStyle w:val="BodyText"/>
        <w:spacing w:before="139"/>
        <w:ind w:left="891" w:right="929"/>
        <w:jc w:val="both"/>
      </w:pPr>
      <w:r>
        <w:rPr/>
        <w:t>“Es decir, dicha estructura constituye el despliegue de nuestras capacidades cognitivas en un ámbito social. Las prácticas científicas, a través de su dimensión normativa, buscan adaptarse a otras prácticas en el contexto de ciertos valores o normas de mayor jerarquía” (Suárez y Martínez, 2008, 48).</w:t>
      </w:r>
    </w:p>
    <w:p>
      <w:pPr>
        <w:pStyle w:val="BodyText"/>
        <w:spacing w:before="2"/>
      </w:pPr>
    </w:p>
    <w:p>
      <w:pPr>
        <w:pStyle w:val="BodyText"/>
        <w:spacing w:line="360" w:lineRule="auto"/>
        <w:ind w:left="102" w:right="125"/>
        <w:jc w:val="both"/>
      </w:pPr>
      <w:r>
        <w:rPr/>
        <w:t>El estudio de las prácticas científicas, según Echeverría (2010:32), se realiza desde  la  praxiología  y  en  los  últimos  años  se  han  propuesto  cuatro grandes</w:t>
      </w:r>
    </w:p>
    <w:p>
      <w:pPr>
        <w:spacing w:after="0" w:line="360" w:lineRule="auto"/>
        <w:jc w:val="both"/>
        <w:sectPr>
          <w:pgSz w:w="12240" w:h="15840"/>
          <w:pgMar w:header="0" w:footer="629" w:top="1360" w:bottom="880" w:left="1600" w:right="1580"/>
        </w:sectPr>
      </w:pPr>
    </w:p>
    <w:p>
      <w:pPr>
        <w:pStyle w:val="BodyText"/>
        <w:spacing w:line="360" w:lineRule="auto" w:before="54"/>
        <w:ind w:left="102" w:right="120"/>
        <w:jc w:val="both"/>
      </w:pPr>
      <w:r>
        <w:rPr/>
        <w:t>contextos: a) Educación, b) Investigación, c) Evaluación y d) Aplicación. Si bien no existe una teoría de la acción consolidada, los marcos de análisis que busquen conformarla deberán considerar, según Echeverría (2008:130), los siguientes componentes  de  una  acción:  1)  Agente,  2)  Hacer,  3)  Acción,  4)  Objeto,    5)</w:t>
      </w:r>
    </w:p>
    <w:p>
      <w:pPr>
        <w:pStyle w:val="BodyText"/>
        <w:spacing w:before="2"/>
        <w:ind w:left="102"/>
        <w:jc w:val="both"/>
      </w:pPr>
      <w:r>
        <w:rPr/>
        <w:t>Instrumentos, 6) Reglas, 7) Objetivos, 8) Situación, 9 ) Condiciones iniciales y    de</w:t>
      </w:r>
    </w:p>
    <w:p>
      <w:pPr>
        <w:pStyle w:val="BodyText"/>
        <w:spacing w:before="139"/>
        <w:ind w:left="102"/>
        <w:jc w:val="both"/>
      </w:pPr>
      <w:r>
        <w:rPr/>
        <w:t>contorno, 10) Resultados, 11) Consecuencias y 12) Riesgos.</w:t>
      </w:r>
    </w:p>
    <w:p>
      <w:pPr>
        <w:pStyle w:val="BodyText"/>
      </w:pPr>
    </w:p>
    <w:p>
      <w:pPr>
        <w:pStyle w:val="BodyText"/>
      </w:pPr>
    </w:p>
    <w:p>
      <w:pPr>
        <w:pStyle w:val="BodyText"/>
        <w:spacing w:line="360" w:lineRule="auto"/>
        <w:ind w:left="102" w:right="116"/>
        <w:jc w:val="both"/>
      </w:pPr>
      <w:r>
        <w:rPr/>
        <w:t>Otro aspecto central en las prácticas científicas, según Martínez (2008), son los recursos que fluyen para la investigación, que la mayoría de las veces provienen de instituciones específicas. Es así que se pueden distinguir principalmente cuatro clases de recursos que componen una práctica: 1) Habilidades para el aprendizaje de diferentes tipos de prácticas, 2) Estructuras cognitivas mejoradas del aprendizaje y mantenimiento de los estándares de una práctica, 3) Medios materiales que median la integración de capacidades, 4) Valores y normas para estabilizar e integrar la práctica en un contexto normativo más amplio. De esta forma,</w:t>
      </w:r>
    </w:p>
    <w:p>
      <w:pPr>
        <w:pStyle w:val="BodyText"/>
      </w:pPr>
    </w:p>
    <w:p>
      <w:pPr>
        <w:pStyle w:val="BodyText"/>
        <w:ind w:left="891" w:right="923"/>
        <w:jc w:val="both"/>
      </w:pPr>
      <w:r>
        <w:rPr/>
        <w:t>“Una práctica consiste en el alineamiento de diferentes tipos de recursos en un patrón de actividad estable con una cierta estructura normativa que tiene la capacidad de propagarse como una relativa unidad a través de diferentes grupos de agentes. La estructura normativa en cuestión integra valores de diferente naturaleza — morales y epistémicos entre otros—, mediante el despliegue de normas y estándares propios de una práctica o compartidos por toda una tradición” (Martínez, 2008:160).</w:t>
      </w:r>
    </w:p>
    <w:p>
      <w:pPr>
        <w:pStyle w:val="BodyText"/>
      </w:pPr>
    </w:p>
    <w:p>
      <w:pPr>
        <w:pStyle w:val="BodyText"/>
        <w:spacing w:line="360" w:lineRule="auto" w:before="142"/>
        <w:ind w:left="102" w:right="116"/>
        <w:jc w:val="both"/>
      </w:pPr>
      <w:r>
        <w:rPr/>
        <w:t>En este sentido, a partir de los recursos involucrados, el quehacer científico no se realiza de forma espontánea sino de manera planificada con objetivos a cumplir por parte de los científicos a partir de los valores, prácticas y conocimientos previamente compartidos; para que este conocimiento sea aceptado por la comunidad científica deberá poderse repetir paso a paso por otros integrantes de la comunidad. En este</w:t>
      </w:r>
      <w:r>
        <w:rPr>
          <w:spacing w:val="-13"/>
        </w:rPr>
        <w:t> </w:t>
      </w:r>
      <w:r>
        <w:rPr/>
        <w:t>sentido,</w:t>
      </w:r>
    </w:p>
    <w:p>
      <w:pPr>
        <w:pStyle w:val="BodyText"/>
      </w:pPr>
    </w:p>
    <w:p>
      <w:pPr>
        <w:pStyle w:val="BodyText"/>
        <w:spacing w:before="139"/>
        <w:ind w:left="891" w:right="931"/>
        <w:jc w:val="both"/>
      </w:pPr>
      <w:r>
        <w:rPr/>
        <w:t>“La ciencia la hacen grupos de personas (comunidades científicas) que  se  comunican  entre  sí,  compiten  y  cooperan.  Además   de</w:t>
      </w:r>
    </w:p>
    <w:p>
      <w:pPr>
        <w:spacing w:after="0"/>
        <w:jc w:val="both"/>
        <w:sectPr>
          <w:pgSz w:w="12240" w:h="15840"/>
          <w:pgMar w:header="0" w:footer="629" w:top="1360" w:bottom="880" w:left="1600" w:right="1580"/>
        </w:sectPr>
      </w:pPr>
    </w:p>
    <w:p>
      <w:pPr>
        <w:spacing w:line="240" w:lineRule="auto" w:before="49"/>
        <w:ind w:left="891" w:right="926" w:firstLine="0"/>
        <w:jc w:val="both"/>
        <w:rPr>
          <w:sz w:val="24"/>
        </w:rPr>
      </w:pPr>
      <w:r>
        <w:rPr>
          <w:sz w:val="24"/>
        </w:rPr>
        <w:t>conocimiento, </w:t>
      </w:r>
      <w:r>
        <w:rPr>
          <w:i/>
          <w:sz w:val="24"/>
        </w:rPr>
        <w:t>los científicos comparten acciones, hábitos, </w:t>
      </w:r>
      <w:r>
        <w:rPr>
          <w:i/>
          <w:sz w:val="24"/>
        </w:rPr>
        <w:t>actitudes, valores y objetivos</w:t>
      </w:r>
      <w:r>
        <w:rPr>
          <w:sz w:val="24"/>
        </w:rPr>
        <w:t>. En último término, otros han de poder hacer lo que uno hace, e incluso exactamente igual, como en las ciencias formales” (Echeverría,</w:t>
      </w:r>
      <w:r>
        <w:rPr>
          <w:spacing w:val="-13"/>
          <w:sz w:val="24"/>
        </w:rPr>
        <w:t> </w:t>
      </w:r>
      <w:r>
        <w:rPr>
          <w:sz w:val="24"/>
        </w:rPr>
        <w:t>2008:137).</w:t>
      </w:r>
    </w:p>
    <w:p>
      <w:pPr>
        <w:pStyle w:val="BodyText"/>
      </w:pPr>
    </w:p>
    <w:p>
      <w:pPr>
        <w:pStyle w:val="BodyText"/>
        <w:spacing w:line="360" w:lineRule="auto" w:before="141"/>
        <w:ind w:left="102" w:right="121"/>
        <w:jc w:val="both"/>
      </w:pPr>
      <w:r>
        <w:rPr/>
        <w:t>La verificación práctica del quehacer científico se obtiene a partir de la repetición, corrección y mejoramiento realizado por otros científicos; esta replicabilidad, como condición necesaria de la cientificidad de una acción, conlleva a que el quehacer científico esté en contaste evaluación. La evaluación es otra de las características de la actividad científica que se aplica en hipótesis, experimentos, observaciones y publicaciones como principales productos de la actividad científica. De esta forma “el contexto de evaluación es uno de los ámbitos más específicos de la práctica científica, puesto que no hay ciencia sin evaluación de las acciones y de sus resultados” (Echeverría, 2008:134).</w:t>
      </w:r>
    </w:p>
    <w:p>
      <w:pPr>
        <w:pStyle w:val="BodyText"/>
      </w:pPr>
    </w:p>
    <w:p>
      <w:pPr>
        <w:pStyle w:val="BodyText"/>
        <w:spacing w:line="360" w:lineRule="auto" w:before="142"/>
        <w:ind w:left="102" w:right="123"/>
        <w:jc w:val="both"/>
      </w:pPr>
      <w:r>
        <w:rPr/>
        <w:t>La evaluación se realiza tanto por las comunidades científicas como por agencias científicas. Las comunidades científicas están integradas por científicos o académicos que comparten el conocimiento, mientras que las agencias se concentran en la forma en que se aplica este conocimiento; las agencias pueden estar conformadas por individuos, instituciones o empresas.</w:t>
      </w:r>
    </w:p>
    <w:p>
      <w:pPr>
        <w:pStyle w:val="BodyText"/>
      </w:pPr>
    </w:p>
    <w:p>
      <w:pPr>
        <w:pStyle w:val="BodyText"/>
        <w:spacing w:line="360" w:lineRule="auto" w:before="142"/>
        <w:ind w:left="102" w:right="117"/>
        <w:jc w:val="both"/>
      </w:pPr>
      <w:r>
        <w:rPr/>
        <w:t>Según Echeverría (2008) hay cuatro tipos de agencias: “1) Educativas (escuelas, institutos y universidades); 2) Investigadoras (laboratorios, departamentos, institutos, centros de investigación y direcciones de política científica); 3) De aplicación (escuelas universitarias, departamentos de I + D en las empresas públicas o privadas) y 4) Evaluadoras (de la enseñanza, de la investigación, de las tecnologías, de los científicos, de las instituciones)” (Echeverría, 2008:140). De estos cuatro tipos de agencias se tienen como actores o agentes a: 1)  </w:t>
      </w:r>
      <w:r>
        <w:rPr>
          <w:spacing w:val="65"/>
        </w:rPr>
        <w:t> </w:t>
      </w:r>
      <w:r>
        <w:rPr/>
        <w:t>Docentes,</w:t>
      </w:r>
    </w:p>
    <w:p>
      <w:pPr>
        <w:pStyle w:val="ListParagraph"/>
        <w:numPr>
          <w:ilvl w:val="0"/>
          <w:numId w:val="11"/>
        </w:numPr>
        <w:tabs>
          <w:tab w:pos="383" w:val="left" w:leader="none"/>
        </w:tabs>
        <w:spacing w:line="240" w:lineRule="auto" w:before="2" w:after="0"/>
        <w:ind w:left="122" w:right="0" w:hanging="20"/>
        <w:jc w:val="both"/>
        <w:rPr>
          <w:sz w:val="24"/>
        </w:rPr>
      </w:pPr>
      <w:r>
        <w:rPr>
          <w:sz w:val="24"/>
        </w:rPr>
        <w:t>Investigadores, 3) Profesionales y 4)</w:t>
      </w:r>
      <w:r>
        <w:rPr>
          <w:spacing w:val="-12"/>
          <w:sz w:val="24"/>
        </w:rPr>
        <w:t> </w:t>
      </w:r>
      <w:r>
        <w:rPr>
          <w:sz w:val="24"/>
        </w:rPr>
        <w:t>Evaluadores.</w:t>
      </w:r>
    </w:p>
    <w:p>
      <w:pPr>
        <w:pStyle w:val="BodyText"/>
      </w:pPr>
    </w:p>
    <w:p>
      <w:pPr>
        <w:pStyle w:val="BodyText"/>
      </w:pPr>
    </w:p>
    <w:p>
      <w:pPr>
        <w:pStyle w:val="BodyText"/>
        <w:spacing w:line="360" w:lineRule="auto"/>
        <w:ind w:left="102" w:right="119"/>
        <w:jc w:val="both"/>
      </w:pPr>
      <w:r>
        <w:rPr/>
        <w:t>Si bien “en ciencia, las decisiones sobre lo que debe aceptarse o rechazarse en cuanto propuesta científica las toman varias personas, cuyas funciones de utilidad subjetivas   son   diferentes“(Echeverría,   2008:138);   entonces,   la   racionalidad</w:t>
      </w:r>
    </w:p>
    <w:p>
      <w:pPr>
        <w:spacing w:after="0" w:line="360" w:lineRule="auto"/>
        <w:jc w:val="both"/>
        <w:sectPr>
          <w:pgSz w:w="12240" w:h="15840"/>
          <w:pgMar w:header="0" w:footer="629" w:top="1360" w:bottom="880" w:left="1600" w:right="1580"/>
        </w:sectPr>
      </w:pPr>
    </w:p>
    <w:p>
      <w:pPr>
        <w:pStyle w:val="BodyText"/>
        <w:spacing w:line="360" w:lineRule="auto" w:before="54"/>
        <w:ind w:left="102" w:right="116"/>
        <w:jc w:val="both"/>
      </w:pPr>
      <w:r>
        <w:rPr/>
        <w:t>científica no se genera por una utilidad individual sino por los intereses encontrados. Si esto fuero cierto, entonces sería preciso aclarar ¿Qué o quién funge como mediador en estas discusiones? y ¿Cómo se llega a un consenso si  es que</w:t>
      </w:r>
      <w:r>
        <w:rPr>
          <w:spacing w:val="-4"/>
        </w:rPr>
        <w:t> </w:t>
      </w:r>
      <w:r>
        <w:rPr/>
        <w:t>existe?</w:t>
      </w:r>
    </w:p>
    <w:p>
      <w:pPr>
        <w:pStyle w:val="BodyText"/>
      </w:pPr>
    </w:p>
    <w:p>
      <w:pPr>
        <w:pStyle w:val="BodyText"/>
        <w:spacing w:line="360" w:lineRule="auto" w:before="142"/>
        <w:ind w:left="102" w:right="118"/>
        <w:jc w:val="both"/>
      </w:pPr>
      <w:r>
        <w:rPr/>
        <w:t>Entonces la validez del conocimiento alcanzado a través de la replicabilidad no se cuestionaría, sino por lo contrario, estaría en tela de juicio la directriz que  establece cuáles teorías o modelos deben ser verificados y cuáles no, de esta forma entraríamos no sólo al terreno de un paradigma científico sino además al de las agendas de</w:t>
      </w:r>
      <w:r>
        <w:rPr>
          <w:spacing w:val="-10"/>
        </w:rPr>
        <w:t> </w:t>
      </w:r>
      <w:r>
        <w:rPr/>
        <w:t>investigación.</w:t>
      </w:r>
    </w:p>
    <w:p>
      <w:pPr>
        <w:pStyle w:val="BodyText"/>
      </w:pPr>
    </w:p>
    <w:p>
      <w:pPr>
        <w:pStyle w:val="BodyText"/>
        <w:spacing w:before="139"/>
        <w:ind w:left="891" w:right="924"/>
        <w:jc w:val="both"/>
      </w:pPr>
      <w:r>
        <w:rPr/>
        <w:t>“En cada momento histórico, la práctica científica se organiza en torno a unas cuantas agendas científicas, de mayor o menor tamaño y complejidad. Simplificando mucho, cabe decir que la práctica científica es el conjunto de agendas científicas en una etapa histórica determinada” (Echeverría,</w:t>
      </w:r>
      <w:r>
        <w:rPr>
          <w:spacing w:val="-14"/>
        </w:rPr>
        <w:t> </w:t>
      </w:r>
      <w:r>
        <w:rPr/>
        <w:t>2008:146)</w:t>
      </w:r>
    </w:p>
    <w:p>
      <w:pPr>
        <w:pStyle w:val="BodyText"/>
      </w:pPr>
    </w:p>
    <w:p>
      <w:pPr>
        <w:pStyle w:val="BodyText"/>
        <w:spacing w:line="360" w:lineRule="auto" w:before="139"/>
        <w:ind w:left="102" w:right="122"/>
        <w:jc w:val="both"/>
      </w:pPr>
      <w:r>
        <w:rPr/>
        <w:t>Las agendas de investigación corresponden a los temas y programas de ciencia y tecnología que son prioritarios para instituciones de investigación de gobierno y privadas; con estas agendas se producen nuevos desarrollos técnicos, los cuales se han convertido en los parámetros para recibir financiamiento con lo que se ha transformado la cultura científica y tecnológica. De esta forma,</w:t>
      </w:r>
    </w:p>
    <w:p>
      <w:pPr>
        <w:pStyle w:val="BodyText"/>
      </w:pPr>
    </w:p>
    <w:p>
      <w:pPr>
        <w:pStyle w:val="BodyText"/>
        <w:spacing w:before="139"/>
        <w:ind w:left="891" w:right="928"/>
        <w:jc w:val="both"/>
      </w:pPr>
      <w:r>
        <w:rPr/>
        <w:t>“Las comunidades científicas ya no marcan las agendas, sino que deben adaptarse a las líneas de investigación decididas por quienes los financian. Aunque los científicos sigan siendo autónomos en lo que atañe a las acciones, las secuencias y los cursos de acción, sus actividades y grandes agendas dependen estrictamente de las decisiones que toman agencias no científicas” (Echeverría,</w:t>
      </w:r>
      <w:r>
        <w:rPr>
          <w:spacing w:val="-10"/>
        </w:rPr>
        <w:t> </w:t>
      </w:r>
      <w:r>
        <w:rPr/>
        <w:t>2008:147)</w:t>
      </w:r>
    </w:p>
    <w:p>
      <w:pPr>
        <w:pStyle w:val="BodyText"/>
      </w:pPr>
    </w:p>
    <w:p>
      <w:pPr>
        <w:pStyle w:val="BodyText"/>
        <w:spacing w:line="360" w:lineRule="auto" w:before="141"/>
        <w:ind w:left="102" w:right="122"/>
        <w:jc w:val="both"/>
      </w:pPr>
      <w:r>
        <w:rPr/>
        <w:t>De esta forma, el financiamiento público o privado tiene un papel preponderante  en el desarrollo del quehacer científico a nivel micro (desde la obtención de becas, recursos por proyecto, asistentes y estancias) y a nivel macro (participación en comunidades  internacionales,  publicación  en  revistas  de  la  corriente</w:t>
      </w:r>
      <w:r>
        <w:rPr>
          <w:spacing w:val="58"/>
        </w:rPr>
        <w:t> </w:t>
      </w:r>
      <w:r>
        <w:rPr/>
        <w:t>principal,</w:t>
      </w:r>
    </w:p>
    <w:p>
      <w:pPr>
        <w:spacing w:after="0" w:line="360" w:lineRule="auto"/>
        <w:jc w:val="both"/>
        <w:sectPr>
          <w:pgSz w:w="12240" w:h="15840"/>
          <w:pgMar w:header="0" w:footer="629" w:top="1360" w:bottom="880" w:left="1600" w:right="1580"/>
        </w:sectPr>
      </w:pPr>
    </w:p>
    <w:p>
      <w:pPr>
        <w:pStyle w:val="BodyText"/>
        <w:spacing w:line="360" w:lineRule="auto" w:before="54"/>
        <w:ind w:left="102" w:right="116"/>
        <w:jc w:val="both"/>
      </w:pPr>
      <w:r>
        <w:rPr/>
        <w:t>patentes, desarrollos tecnológicos). Por lo cual, no sólo está en juego la permanencia del científico — que depende de su adecuación a las reglas del financiamiento y formas de operación de la corriente principal de la ciencia—, sino también está en juego la permanencia de las propias disciplinas que se mantienen de las prácticas de los investigadores.</w:t>
      </w:r>
    </w:p>
    <w:p>
      <w:pPr>
        <w:pStyle w:val="BodyText"/>
      </w:pPr>
    </w:p>
    <w:p>
      <w:pPr>
        <w:pStyle w:val="BodyText"/>
        <w:spacing w:line="360" w:lineRule="auto" w:before="142"/>
        <w:ind w:left="102" w:right="125"/>
        <w:jc w:val="both"/>
      </w:pPr>
      <w:r>
        <w:rPr/>
        <w:t>A manera de resumen, podemos destacar que las prácticas científicas conforman un sistema complejo de actividades que provienen de una tradición cultural sobre el quehacer científico, en donde para ser científico se debe ser parte de  esa cultura en la que debe haber transmisión del conocimiento y educación práctica (habilidades y competencias).</w:t>
      </w:r>
    </w:p>
    <w:p>
      <w:pPr>
        <w:pStyle w:val="BodyText"/>
      </w:pPr>
    </w:p>
    <w:p>
      <w:pPr>
        <w:pStyle w:val="Heading1"/>
        <w:numPr>
          <w:ilvl w:val="1"/>
          <w:numId w:val="12"/>
        </w:numPr>
        <w:tabs>
          <w:tab w:pos="506" w:val="left" w:leader="none"/>
        </w:tabs>
        <w:spacing w:line="240" w:lineRule="auto" w:before="142" w:after="0"/>
        <w:ind w:left="505" w:right="0" w:hanging="403"/>
        <w:jc w:val="both"/>
      </w:pPr>
      <w:r>
        <w:rPr/>
        <w:t>Conocimiento científico y construcción de su</w:t>
      </w:r>
      <w:r>
        <w:rPr>
          <w:spacing w:val="-10"/>
        </w:rPr>
        <w:t> </w:t>
      </w:r>
      <w:r>
        <w:rPr/>
        <w:t>discurso</w:t>
      </w:r>
    </w:p>
    <w:p>
      <w:pPr>
        <w:pStyle w:val="BodyText"/>
        <w:spacing w:line="360" w:lineRule="auto" w:before="139"/>
        <w:ind w:left="102" w:right="116"/>
        <w:jc w:val="both"/>
      </w:pPr>
      <w:r>
        <w:rPr/>
        <w:t>Para Foucault (1973:14) en toda sociedad la producción del discurso está a la vez controlada, seleccionada y redistribuida a partir de la voluntad de </w:t>
      </w:r>
      <w:r>
        <w:rPr>
          <w:i/>
        </w:rPr>
        <w:t>verdad </w:t>
      </w:r>
      <w:r>
        <w:rPr/>
        <w:t>y de las significaciones o sentidos que ésta pudiera tener, se trata de una demarcación entre lo verdadero y lo falso.</w:t>
      </w:r>
    </w:p>
    <w:p>
      <w:pPr>
        <w:pStyle w:val="BodyText"/>
      </w:pPr>
    </w:p>
    <w:p>
      <w:pPr>
        <w:pStyle w:val="BodyText"/>
        <w:spacing w:line="360" w:lineRule="auto" w:before="142"/>
        <w:ind w:left="102" w:right="115"/>
        <w:jc w:val="both"/>
      </w:pPr>
      <w:r>
        <w:rPr/>
        <w:t>Al interior del discurso, en la lógica de los argumentos, la demarcación verdad y falsedad radica en los supuestos que sustentan las proposiciones; la delimitación del discurso consta de procedimientos internos “que juegan un tanto en calidad de principios de clasificación, de ordenación, de distribución, como si se tratase en este caso de dominar otra dimensión del discurso: aquella de </w:t>
      </w:r>
      <w:r>
        <w:rPr>
          <w:spacing w:val="4"/>
        </w:rPr>
        <w:t>lo </w:t>
      </w:r>
      <w:r>
        <w:rPr/>
        <w:t>que acontece y del azar” (Foucault, 1973:16). Sin embargo aquí es importante resaltar que la demarcación se ubica en un contexto histórico</w:t>
      </w:r>
      <w:r>
        <w:rPr>
          <w:spacing w:val="-12"/>
        </w:rPr>
        <w:t> </w:t>
      </w:r>
      <w:r>
        <w:rPr/>
        <w:t>social.</w:t>
      </w:r>
    </w:p>
    <w:p>
      <w:pPr>
        <w:pStyle w:val="BodyText"/>
      </w:pPr>
    </w:p>
    <w:p>
      <w:pPr>
        <w:pStyle w:val="BodyText"/>
        <w:spacing w:before="139"/>
        <w:ind w:left="1611" w:right="2002"/>
        <w:jc w:val="both"/>
      </w:pPr>
      <w:r>
        <w:rPr/>
        <w:t>Si uno se sitúa en el nivel de una proposición, en el interior de un discurso, la separación entre lo verdadero y lo falso no es arbitraria, ni modificable, ni institucional, ni violenta. Pero si uno se sitúa en otra escala, si se plantea la cuestión de saber cuál ha sido y cuál es constantemente esa voluntad de verdad que ha atravesado tantos siglos de nuestra historia, es entonces cuando se ve dibujarse  </w:t>
      </w:r>
      <w:r>
        <w:rPr>
          <w:spacing w:val="29"/>
        </w:rPr>
        <w:t> </w:t>
      </w:r>
      <w:r>
        <w:rPr/>
        <w:t>algo</w:t>
      </w:r>
    </w:p>
    <w:p>
      <w:pPr>
        <w:spacing w:after="0"/>
        <w:jc w:val="both"/>
        <w:sectPr>
          <w:pgSz w:w="12240" w:h="15840"/>
          <w:pgMar w:header="0" w:footer="629" w:top="1360" w:bottom="880" w:left="1600" w:right="1580"/>
        </w:sectPr>
      </w:pPr>
    </w:p>
    <w:p>
      <w:pPr>
        <w:pStyle w:val="BodyText"/>
        <w:spacing w:before="52"/>
        <w:ind w:left="1611" w:right="2008"/>
        <w:jc w:val="both"/>
      </w:pPr>
      <w:r>
        <w:rPr/>
        <w:t>así como un sistema de exclusión (sistema histórico. modificable, institucional, coactivo) (</w:t>
      </w:r>
      <w:r>
        <w:rPr>
          <w:sz w:val="22"/>
        </w:rPr>
        <w:t>Foucault</w:t>
      </w:r>
      <w:r>
        <w:rPr/>
        <w:t>, 1973:19).</w:t>
      </w:r>
    </w:p>
    <w:p>
      <w:pPr>
        <w:pStyle w:val="BodyText"/>
      </w:pPr>
    </w:p>
    <w:p>
      <w:pPr>
        <w:pStyle w:val="BodyText"/>
        <w:spacing w:line="360" w:lineRule="auto" w:before="141"/>
        <w:ind w:left="102" w:right="116"/>
        <w:jc w:val="both"/>
      </w:pPr>
      <w:r>
        <w:rPr/>
        <w:t>La voluntad de verdad se constituye como un sistema de exclusión porque su aceptación, en contrapeso a otras formas de verdad, está impulsada por instituciones que para Foucault son las escuelas, grupos de sabios, bibliotecas, libros —a los cuales podemos agregar, en el actual contexto global, a instituciones internacionales—; sin embargo, aún más importante en este sistema de exclusión es “la forma que tiene el saber de ponerse en práctica en una sociedad, en la que es valorado, distribuido, repartido y en cierta forma atribuido” (Foucault, 1973:22)</w:t>
      </w:r>
    </w:p>
    <w:p>
      <w:pPr>
        <w:pStyle w:val="BodyText"/>
      </w:pPr>
    </w:p>
    <w:p>
      <w:pPr>
        <w:pStyle w:val="BodyText"/>
        <w:spacing w:line="360" w:lineRule="auto" w:before="142"/>
        <w:ind w:left="102" w:right="117"/>
        <w:jc w:val="both"/>
      </w:pPr>
      <w:r>
        <w:rPr/>
        <w:t>Si “el saber es y será producido para ser vendido y es y será consumido para ser valorado en una nueva producción: en los dos casos, para ser cambiado; [entonces] deja de ser en sí mismo su propio fin, pierde su «valor de uso»” (Lyotard, 1991:6), entonces nos encontramos ante un nuevo escenario en el sistema de exclusión de Foucault, en el que de manera explícita el conocimiento científico refuerza la voluntad de verdad de una sociedad en un contexto histórico y cultural. Ya que “para que las palabras sean atinadas, para que sean  redituables, para que produzcan el efecto deseado, hay que decir no sólo las palabras que son gramaticalmente correctas, sino las que son socialmente aceptables” (Bourdieu,</w:t>
      </w:r>
      <w:r>
        <w:rPr>
          <w:spacing w:val="-12"/>
        </w:rPr>
        <w:t> </w:t>
      </w:r>
      <w:r>
        <w:rPr/>
        <w:t>1984:144).</w:t>
      </w:r>
    </w:p>
    <w:p>
      <w:pPr>
        <w:pStyle w:val="BodyText"/>
      </w:pPr>
    </w:p>
    <w:p>
      <w:pPr>
        <w:pStyle w:val="BodyText"/>
        <w:spacing w:line="360" w:lineRule="auto" w:before="142"/>
        <w:ind w:left="102" w:right="118"/>
        <w:jc w:val="both"/>
      </w:pPr>
      <w:r>
        <w:rPr/>
        <w:t>Pero recordemos que el conocimiento científico es producto de individuos, es producto de científicos y tecnólogos quienes son los autores de las aportaciones vertidas a una disciplina. Para Foucault (1973:32) el autor es el principio de “agrupación del discurso porque no sólo es el individuo que ha escrito un texto, sino además, él es el origen de las significaciones del texto”. Para el caso de la filosofía y la ciencia este principio de significación es indispensable.</w:t>
      </w:r>
    </w:p>
    <w:p>
      <w:pPr>
        <w:pStyle w:val="BodyText"/>
      </w:pPr>
    </w:p>
    <w:p>
      <w:pPr>
        <w:pStyle w:val="BodyText"/>
        <w:spacing w:line="360" w:lineRule="auto" w:before="139"/>
        <w:ind w:left="102" w:right="121"/>
        <w:jc w:val="both"/>
      </w:pPr>
      <w:r>
        <w:rPr/>
        <w:t>En este sentido la significación a la que hace referencia Foucault se realiza principalmente en dos momentos, primero a la coherencia que el autor da a sus</w:t>
      </w:r>
    </w:p>
    <w:p>
      <w:pPr>
        <w:spacing w:after="0" w:line="360" w:lineRule="auto"/>
        <w:jc w:val="both"/>
        <w:sectPr>
          <w:pgSz w:w="12240" w:h="15840"/>
          <w:pgMar w:header="0" w:footer="629" w:top="1360" w:bottom="880" w:left="1600" w:right="1580"/>
        </w:sectPr>
      </w:pPr>
    </w:p>
    <w:p>
      <w:pPr>
        <w:pStyle w:val="BodyText"/>
        <w:spacing w:line="360" w:lineRule="auto" w:before="54"/>
        <w:ind w:left="102" w:right="118"/>
        <w:jc w:val="both"/>
      </w:pPr>
      <w:r>
        <w:rPr/>
        <w:t>proposiciones. a sus construcciones lógicas; segundo a la significación que la comunidad científica otorga a esas proposiciones, una tercera podría darse por la interpretación de otros autores al momento de referirse a las obras citadas.</w:t>
      </w:r>
    </w:p>
    <w:p>
      <w:pPr>
        <w:pStyle w:val="BodyText"/>
      </w:pPr>
    </w:p>
    <w:p>
      <w:pPr>
        <w:pStyle w:val="BodyText"/>
        <w:spacing w:line="360" w:lineRule="auto" w:before="142"/>
        <w:ind w:left="102" w:right="122"/>
        <w:jc w:val="both"/>
      </w:pPr>
      <w:r>
        <w:rPr/>
        <w:t>La significación del texto sólo puede darse cuando hay una legitimación del discurso en cuanto a los requerimientos de cientificidad, después de esta legitimización “el sentido o validez del conocimiento están ligados a aquel que ha dado en ser el inventor” (Foucault, 1973:36).</w:t>
      </w:r>
    </w:p>
    <w:p>
      <w:pPr>
        <w:pStyle w:val="BodyText"/>
      </w:pPr>
    </w:p>
    <w:p>
      <w:pPr>
        <w:pStyle w:val="BodyText"/>
        <w:spacing w:before="140"/>
        <w:ind w:left="1611" w:right="2003"/>
        <w:jc w:val="both"/>
      </w:pPr>
      <w:r>
        <w:rPr/>
        <w:t>[…] la legitimación es el proceso en el que un legislador, que se ocupa del discurso científico, está autorizado a prescribir las condicioncs convcnidas (en general, condiciones de consistencia interna y de verificación  experunental) para que un enunciado forme parte de ese discurso, y pueda ser tenido en cuenta por la comunidad científica Lvotard,</w:t>
      </w:r>
      <w:r>
        <w:rPr>
          <w:spacing w:val="-13"/>
        </w:rPr>
        <w:t> </w:t>
      </w:r>
      <w:r>
        <w:rPr/>
        <w:t>1991:10).</w:t>
      </w:r>
    </w:p>
    <w:p>
      <w:pPr>
        <w:pStyle w:val="BodyText"/>
      </w:pPr>
    </w:p>
    <w:p>
      <w:pPr>
        <w:pStyle w:val="BodyText"/>
        <w:spacing w:line="360" w:lineRule="auto" w:before="139"/>
        <w:ind w:left="102" w:right="118"/>
        <w:jc w:val="both"/>
      </w:pPr>
      <w:r>
        <w:rPr/>
        <w:t>La organización de las disciplinas, según Foucault (1973), se opone al principio del autor que otorga validez al conocimiento, porque “una disciplina se define por un ámbito de objetos, un conjunto de métodos, un corpus de proposiciones consideradas verdaderas, un juego de reglas y de definiciones, de técnicas y de instrumentos” (Foucault, 1973:36). En este marco la disciplina consiste en un proceso constante de formular proposiciones, “una proposición debe cumplir complejas y graves exigencias para poder pertenecer al conjunto de una  disciplina, antes de poder ser llamada verdadera o falsa, debe estar como diría Canguilhen «en la verdad»” (Foucault,</w:t>
      </w:r>
      <w:r>
        <w:rPr>
          <w:spacing w:val="-16"/>
        </w:rPr>
        <w:t> </w:t>
      </w:r>
      <w:r>
        <w:rPr/>
        <w:t>1973:36).</w:t>
      </w:r>
    </w:p>
    <w:p>
      <w:pPr>
        <w:pStyle w:val="BodyText"/>
      </w:pPr>
    </w:p>
    <w:p>
      <w:pPr>
        <w:pStyle w:val="BodyText"/>
        <w:spacing w:line="360" w:lineRule="auto" w:before="142"/>
        <w:ind w:left="102" w:right="120"/>
        <w:jc w:val="both"/>
      </w:pPr>
      <w:r>
        <w:rPr/>
        <w:t>Foucault (1973) establece que otro control del discurso es el enrarecimiento de los sujetos que hablan “nadie entrará en el orden del discurso si no satisface ciertas exigencias o si no está de entrada, cualificado para hacerlo. Para ser más  precisos: no todas las partes del discurso son igualmente accesibles e inteligibles” (Foucault, 1973:39). En términos generales Foucault (1973) da un  panorama sobre las formas de control que sobre el discurso, sin duda sus aportaciones  </w:t>
      </w:r>
      <w:r>
        <w:rPr>
          <w:spacing w:val="52"/>
        </w:rPr>
        <w:t> </w:t>
      </w:r>
      <w:r>
        <w:rPr/>
        <w:t>son</w:t>
      </w:r>
    </w:p>
    <w:p>
      <w:pPr>
        <w:spacing w:after="0" w:line="360" w:lineRule="auto"/>
        <w:jc w:val="both"/>
        <w:sectPr>
          <w:pgSz w:w="12240" w:h="15840"/>
          <w:pgMar w:header="0" w:footer="629" w:top="1360" w:bottom="880" w:left="1600" w:right="1580"/>
        </w:sectPr>
      </w:pPr>
    </w:p>
    <w:p>
      <w:pPr>
        <w:pStyle w:val="BodyText"/>
        <w:spacing w:line="360" w:lineRule="auto" w:before="54"/>
        <w:ind w:left="102" w:right="124"/>
        <w:jc w:val="both"/>
      </w:pPr>
      <w:r>
        <w:rPr/>
        <w:t>visionarias porque señala la relación entre conocimiento y poder, así como del papel de las instituciones en la subordinación del discurso.</w:t>
      </w:r>
    </w:p>
    <w:p>
      <w:pPr>
        <w:pStyle w:val="BodyText"/>
      </w:pPr>
    </w:p>
    <w:p>
      <w:pPr>
        <w:pStyle w:val="BodyText"/>
        <w:spacing w:line="360" w:lineRule="auto" w:before="142"/>
        <w:ind w:left="102" w:right="124"/>
        <w:jc w:val="both"/>
      </w:pPr>
      <w:r>
        <w:rPr/>
        <w:t>Al igual que Foucault, tanto Lyotard como Bourdieu hacen un estudio del discurso, sin embargo estos últimos resaltan el papel de la tecnología sobre el  discurso; para ambos la relación entre conocimiento científico y comunicación es sustancial en el proceso de significación del discurso; un ejemplo de esta relación la encontramos en la relativa importancia que han adquirido los sistemas de investigación científica como medios de difusión y divulgación del conocimiento científico.</w:t>
      </w:r>
    </w:p>
    <w:p>
      <w:pPr>
        <w:pStyle w:val="BodyText"/>
      </w:pPr>
    </w:p>
    <w:p>
      <w:pPr>
        <w:pStyle w:val="BodyText"/>
        <w:spacing w:before="139"/>
        <w:ind w:left="1611" w:right="2005"/>
        <w:jc w:val="both"/>
      </w:pPr>
      <w:r>
        <w:rPr/>
        <w:t>En esta transformación general, la naturaleza del saber no queda intacta. No puede pasar por los nuevos canales, y convertirse en operativa, a no ser que el conocimiento pueda ser traducido en cantidades de información. Se puede, pues, establecer la previsión de que todo lo que en el saber constituido no es traducible de ese modo será dejado de lado, y que la orientación de las nuevas investigaciones se subordinará a la condición de traducibilidad de los eventuales resultados a un lenguaje de máquina. Con la hegemonía de la informática, se impone una cierta lógica, y, por tanto, un conjunto de prescripciones que se refieran a los enunciados aceptados como de &lt;&lt;saber&gt;&gt; (Lvotard, 1991:6).</w:t>
      </w:r>
    </w:p>
    <w:p>
      <w:pPr>
        <w:pStyle w:val="BodyText"/>
      </w:pPr>
    </w:p>
    <w:p>
      <w:pPr>
        <w:pStyle w:val="BodyText"/>
        <w:spacing w:line="360" w:lineRule="auto" w:before="139"/>
        <w:ind w:left="102" w:right="115"/>
        <w:jc w:val="both"/>
      </w:pPr>
      <w:r>
        <w:rPr/>
        <w:t>Para Bourdieu (1984) el “discurso que producimos es una “resultante” de la competencia del locutor y del mercado en el cual se encuentra su discurso, el discurso depende en parte de las condiciones de recepción” (Bourdieu. 1984:122). Por tal motivo “un lenguaje legítimo es un lenguaje con formas fonológicas y sintácticas legítimas, es decir, un lenguaje que responde a los criterios acostumbrados de gramaticalidad y que dice constantemente, además de lo que dice, que lo dice bien” (Bourdieu, 1984:127).</w:t>
      </w:r>
    </w:p>
    <w:p>
      <w:pPr>
        <w:spacing w:after="0" w:line="360" w:lineRule="auto"/>
        <w:jc w:val="both"/>
        <w:sectPr>
          <w:pgSz w:w="12240" w:h="15840"/>
          <w:pgMar w:header="0" w:footer="629" w:top="1360" w:bottom="880" w:left="1600" w:right="1580"/>
        </w:sectPr>
      </w:pPr>
    </w:p>
    <w:p>
      <w:pPr>
        <w:pStyle w:val="BodyText"/>
        <w:spacing w:before="7"/>
        <w:rPr>
          <w:sz w:val="22"/>
        </w:rPr>
      </w:pPr>
    </w:p>
    <w:p>
      <w:pPr>
        <w:pStyle w:val="BodyText"/>
        <w:spacing w:line="360" w:lineRule="auto" w:before="69"/>
        <w:ind w:left="102" w:right="115"/>
        <w:jc w:val="both"/>
      </w:pPr>
      <w:r>
        <w:rPr/>
        <w:t>El discurso entendido como una “expresión lingüística está constituido de la integración entre el </w:t>
      </w:r>
      <w:r>
        <w:rPr>
          <w:i/>
        </w:rPr>
        <w:t>Habitus </w:t>
      </w:r>
      <w:r>
        <w:rPr/>
        <w:t>lingüístico y mercado lingüístico” (Bourdieu,  1984:144). El </w:t>
      </w:r>
      <w:r>
        <w:rPr>
          <w:i/>
        </w:rPr>
        <w:t>habitus </w:t>
      </w:r>
      <w:r>
        <w:rPr/>
        <w:t>lingüístico es producto de las condiciones sociales porque  no es simple producción del discurso sino producción de un discurso que se ajusta a una “situación”, o más bien a un mercado o campo” (Bourdieu, 1984:144). El “mercado lingüístico es una situación social determinada, más o menos oficial y ritualizada, un conjunto de interlocutores que se sitúan en un nivel más o menos elevado de la jerarquía social; todas éstas son propiedades que se perciben y juzgan de manera infraconsciente y que orientan inconscientemente la producción lingüística” (Bourdieu,</w:t>
      </w:r>
      <w:r>
        <w:rPr>
          <w:spacing w:val="-9"/>
        </w:rPr>
        <w:t> </w:t>
      </w:r>
      <w:r>
        <w:rPr/>
        <w:t>1984:145).</w:t>
      </w:r>
    </w:p>
    <w:p>
      <w:pPr>
        <w:pStyle w:val="BodyText"/>
      </w:pPr>
    </w:p>
    <w:p>
      <w:pPr>
        <w:pStyle w:val="BodyText"/>
        <w:spacing w:line="360" w:lineRule="auto" w:before="142"/>
        <w:ind w:left="102" w:right="117"/>
        <w:jc w:val="both"/>
      </w:pPr>
      <w:r>
        <w:rPr/>
        <w:t>Sobre la propuesta de Bourdieu (1984) podemos identificar la dependencia del discurso con relación al locutor y el destinatario; el discurso al estar constituido por proposiciones “genera un grupo de tensiones, esas «tensiones» son una especie de prescripciones que regulan la aceptabilidad del enunciado en tanto que «de ciencia»” (Lyotard, 1991:22). Es decir, la voluntad de verdad a la que hacía referencia Foucault está definida por la aceptabilidad de un conocimiento en el mercado lingüístico de Bourdieu. En este sentido Lyotard (1991) propone  que “todo consenso no es indicio de verdad; pero se supone que la verdad de un enunciado no puede dejar de suscitar el consenso” (Lyotard, 1991:23).</w:t>
      </w:r>
    </w:p>
    <w:p>
      <w:pPr>
        <w:pStyle w:val="BodyText"/>
      </w:pPr>
    </w:p>
    <w:p>
      <w:pPr>
        <w:pStyle w:val="BodyText"/>
        <w:spacing w:line="362" w:lineRule="auto" w:before="142"/>
        <w:ind w:left="102" w:right="122"/>
        <w:jc w:val="both"/>
      </w:pPr>
      <w:r>
        <w:rPr/>
        <w:t>De esta forma, según Lyotard (1991:24) el conocimiento científico obtiene las siguientes características:</w:t>
      </w:r>
    </w:p>
    <w:p>
      <w:pPr>
        <w:pStyle w:val="BodyText"/>
      </w:pPr>
    </w:p>
    <w:p>
      <w:pPr>
        <w:pStyle w:val="ListParagraph"/>
        <w:numPr>
          <w:ilvl w:val="0"/>
          <w:numId w:val="13"/>
        </w:numPr>
        <w:tabs>
          <w:tab w:pos="380" w:val="left" w:leader="none"/>
        </w:tabs>
        <w:spacing w:line="360" w:lineRule="auto" w:before="139" w:after="0"/>
        <w:ind w:left="102" w:right="118" w:firstLine="0"/>
        <w:jc w:val="both"/>
        <w:rPr>
          <w:sz w:val="24"/>
        </w:rPr>
      </w:pPr>
      <w:r>
        <w:rPr>
          <w:sz w:val="24"/>
        </w:rPr>
        <w:t>El saber científico exige el aislamiento de un juego de lenguaje, el denotativo; y la exclusión de los demás. El criterio de aceptabilidad de un enunciado es su valor de</w:t>
      </w:r>
      <w:r>
        <w:rPr>
          <w:spacing w:val="-3"/>
          <w:sz w:val="24"/>
        </w:rPr>
        <w:t> </w:t>
      </w:r>
      <w:r>
        <w:rPr>
          <w:sz w:val="24"/>
        </w:rPr>
        <w:t>verdad.</w:t>
      </w:r>
    </w:p>
    <w:p>
      <w:pPr>
        <w:pStyle w:val="BodyText"/>
      </w:pPr>
    </w:p>
    <w:p>
      <w:pPr>
        <w:pStyle w:val="ListParagraph"/>
        <w:numPr>
          <w:ilvl w:val="0"/>
          <w:numId w:val="13"/>
        </w:numPr>
        <w:tabs>
          <w:tab w:pos="421" w:val="left" w:leader="none"/>
        </w:tabs>
        <w:spacing w:line="360" w:lineRule="auto" w:before="139" w:after="0"/>
        <w:ind w:left="102" w:right="117" w:firstLine="0"/>
        <w:jc w:val="both"/>
        <w:rPr>
          <w:sz w:val="24"/>
        </w:rPr>
      </w:pPr>
      <w:r>
        <w:rPr>
          <w:sz w:val="24"/>
        </w:rPr>
        <w:t>Ese saber se encuentra así aislado de los demás juegos de lenguaje cuya combinación forma el lazo social. La relación entre el saber </w:t>
      </w:r>
      <w:r>
        <w:rPr>
          <w:i/>
          <w:sz w:val="24"/>
        </w:rPr>
        <w:t>y </w:t>
      </w:r>
      <w:r>
        <w:rPr>
          <w:sz w:val="24"/>
        </w:rPr>
        <w:t>la sociedad (es</w:t>
      </w:r>
      <w:r>
        <w:rPr>
          <w:spacing w:val="-20"/>
          <w:sz w:val="24"/>
        </w:rPr>
        <w:t> </w:t>
      </w:r>
      <w:r>
        <w:rPr>
          <w:sz w:val="24"/>
        </w:rPr>
        <w:t>decir,</w:t>
      </w:r>
    </w:p>
    <w:p>
      <w:pPr>
        <w:spacing w:after="0" w:line="360" w:lineRule="auto"/>
        <w:jc w:val="both"/>
        <w:rPr>
          <w:sz w:val="24"/>
        </w:rPr>
        <w:sectPr>
          <w:pgSz w:w="12240" w:h="15840"/>
          <w:pgMar w:header="0" w:footer="629" w:top="1500" w:bottom="880" w:left="1600" w:right="1580"/>
        </w:sectPr>
      </w:pPr>
    </w:p>
    <w:p>
      <w:pPr>
        <w:pStyle w:val="BodyText"/>
        <w:spacing w:line="360" w:lineRule="auto" w:before="54"/>
        <w:ind w:left="102" w:right="127"/>
        <w:jc w:val="both"/>
      </w:pPr>
      <w:r>
        <w:rPr/>
        <w:t>el conjunto de «compañeros» en la agonística general, en tanto que no son profesionales de la ciencia) se exterioriza. Aparece un nuevo problema, el de la relación de la institución científica con la sociedad.</w:t>
      </w:r>
    </w:p>
    <w:p>
      <w:pPr>
        <w:pStyle w:val="BodyText"/>
      </w:pPr>
    </w:p>
    <w:p>
      <w:pPr>
        <w:pStyle w:val="ListParagraph"/>
        <w:numPr>
          <w:ilvl w:val="0"/>
          <w:numId w:val="13"/>
        </w:numPr>
        <w:tabs>
          <w:tab w:pos="407" w:val="left" w:leader="none"/>
        </w:tabs>
        <w:spacing w:line="360" w:lineRule="auto" w:before="142" w:after="0"/>
        <w:ind w:left="102" w:right="119" w:firstLine="0"/>
        <w:jc w:val="both"/>
        <w:rPr>
          <w:sz w:val="24"/>
        </w:rPr>
      </w:pPr>
      <w:r>
        <w:rPr>
          <w:sz w:val="24"/>
        </w:rPr>
        <w:t>En el seno del juego de la investigación, la competencia requerida se refiere sólo al puesto del enunciador. Éste no tiene competencia particular en cuanto destinatario (no se exige más que en la didáctica: el estudiante debe ser inteligente). Y tampoco tiene competencia como referente: incluso cuando se trata de ciencias humanas, el referente, que es entonces un determinado aspecto de la conducta  humana,  está  en  principio  situado  exteriormente  con  relación  a </w:t>
      </w:r>
      <w:r>
        <w:rPr>
          <w:spacing w:val="42"/>
          <w:sz w:val="24"/>
        </w:rPr>
        <w:t> </w:t>
      </w:r>
      <w:r>
        <w:rPr>
          <w:sz w:val="24"/>
        </w:rPr>
        <w:t>los</w:t>
      </w:r>
    </w:p>
    <w:p>
      <w:pPr>
        <w:pStyle w:val="BodyText"/>
        <w:spacing w:before="2"/>
        <w:ind w:left="102"/>
        <w:jc w:val="both"/>
      </w:pPr>
      <w:r>
        <w:rPr/>
        <w:t>«compañeros» de la dialéctica científica.</w:t>
      </w:r>
    </w:p>
    <w:p>
      <w:pPr>
        <w:pStyle w:val="BodyText"/>
      </w:pPr>
    </w:p>
    <w:p>
      <w:pPr>
        <w:pStyle w:val="BodyText"/>
      </w:pPr>
    </w:p>
    <w:p>
      <w:pPr>
        <w:pStyle w:val="ListParagraph"/>
        <w:numPr>
          <w:ilvl w:val="0"/>
          <w:numId w:val="13"/>
        </w:numPr>
        <w:tabs>
          <w:tab w:pos="373" w:val="left" w:leader="none"/>
        </w:tabs>
        <w:spacing w:line="360" w:lineRule="auto" w:before="0" w:after="0"/>
        <w:ind w:left="102" w:right="124" w:firstLine="0"/>
        <w:jc w:val="both"/>
        <w:rPr>
          <w:sz w:val="24"/>
        </w:rPr>
      </w:pPr>
      <w:r>
        <w:rPr>
          <w:sz w:val="24"/>
        </w:rPr>
        <w:t>Un enunciado de ciencia no consigue ninguna validez de lo que informa. Incluso en materia de pedagogía, no se enseña más que si es verificable por medio de la argumentación y el experimento. En sí, nunca está a salvo de una&lt;&lt;falsificación&gt;&gt;.</w:t>
      </w:r>
    </w:p>
    <w:p>
      <w:pPr>
        <w:pStyle w:val="BodyText"/>
      </w:pPr>
    </w:p>
    <w:p>
      <w:pPr>
        <w:pStyle w:val="ListParagraph"/>
        <w:numPr>
          <w:ilvl w:val="0"/>
          <w:numId w:val="13"/>
        </w:numPr>
        <w:tabs>
          <w:tab w:pos="385" w:val="left" w:leader="none"/>
        </w:tabs>
        <w:spacing w:line="360" w:lineRule="auto" w:before="142" w:after="0"/>
        <w:ind w:left="102" w:right="123" w:firstLine="0"/>
        <w:jc w:val="both"/>
        <w:rPr>
          <w:sz w:val="24"/>
        </w:rPr>
      </w:pPr>
      <w:r>
        <w:rPr>
          <w:sz w:val="24"/>
        </w:rPr>
        <w:t>El juego de la ciencia implica, pues, una temporalidad diacrónica, es decir, una memoria y un proyecto. Esta diacronía que supone la memorización, y La 1nvestigacón del nuevo enunciado designa en principio un proceso</w:t>
      </w:r>
      <w:r>
        <w:rPr>
          <w:spacing w:val="-38"/>
          <w:sz w:val="24"/>
        </w:rPr>
        <w:t> </w:t>
      </w:r>
      <w:r>
        <w:rPr>
          <w:sz w:val="24"/>
        </w:rPr>
        <w:t>acumulativo.</w:t>
      </w:r>
    </w:p>
    <w:p>
      <w:pPr>
        <w:pStyle w:val="BodyText"/>
      </w:pPr>
    </w:p>
    <w:p>
      <w:pPr>
        <w:pStyle w:val="BodyText"/>
        <w:spacing w:line="360" w:lineRule="auto" w:before="142"/>
        <w:ind w:left="102" w:right="116"/>
        <w:jc w:val="both"/>
      </w:pPr>
      <w:r>
        <w:rPr/>
        <w:t>Lyotard (1991:6) establece que en el contexto de la hegemonía de la informática “el saber se encuentra o se encontrará afectado en dos principales funciones: la investigación y la transmisión de conocimientos” (Lyotard, 1991:6) ya que la generación de conocimiento entra en una dinámica de “obtención de créditos de conocimientos con vistas a optimizar las actuaciones de un programa” Lvotard, 1991:8). En este contexto, se reafirma la propuesta de Foucault (1973), que establece que “las grandes mutaciones científicas quizá puedan leerse como consecuencias de un descubrimiento, pero pueden leerse también como la aparición de formas nuevas de la voluntad de verdad” (Foucault,</w:t>
      </w:r>
      <w:r>
        <w:rPr>
          <w:spacing w:val="-24"/>
        </w:rPr>
        <w:t> </w:t>
      </w:r>
      <w:r>
        <w:rPr/>
        <w:t>1973:21).</w:t>
      </w:r>
    </w:p>
    <w:p>
      <w:pPr>
        <w:spacing w:after="0" w:line="360" w:lineRule="auto"/>
        <w:jc w:val="both"/>
        <w:sectPr>
          <w:pgSz w:w="12240" w:h="15840"/>
          <w:pgMar w:header="0" w:footer="629" w:top="1360" w:bottom="880" w:left="1600" w:right="1580"/>
        </w:sectPr>
      </w:pPr>
    </w:p>
    <w:p>
      <w:pPr>
        <w:pStyle w:val="BodyText"/>
        <w:spacing w:before="7"/>
        <w:rPr>
          <w:sz w:val="22"/>
        </w:rPr>
      </w:pPr>
    </w:p>
    <w:p>
      <w:pPr>
        <w:pStyle w:val="Heading1"/>
        <w:numPr>
          <w:ilvl w:val="1"/>
          <w:numId w:val="12"/>
        </w:numPr>
        <w:tabs>
          <w:tab w:pos="506" w:val="left" w:leader="none"/>
        </w:tabs>
        <w:spacing w:line="240" w:lineRule="auto" w:before="69" w:after="0"/>
        <w:ind w:left="505" w:right="0" w:hanging="403"/>
        <w:jc w:val="both"/>
      </w:pPr>
      <w:r>
        <w:rPr/>
        <w:t>Comunicación científica a principios del siglo</w:t>
      </w:r>
      <w:r>
        <w:rPr>
          <w:spacing w:val="-13"/>
        </w:rPr>
        <w:t> </w:t>
      </w:r>
      <w:r>
        <w:rPr/>
        <w:t>XXI</w:t>
      </w:r>
    </w:p>
    <w:p>
      <w:pPr>
        <w:pStyle w:val="BodyText"/>
        <w:rPr>
          <w:b/>
        </w:rPr>
      </w:pPr>
    </w:p>
    <w:p>
      <w:pPr>
        <w:pStyle w:val="BodyText"/>
        <w:rPr>
          <w:b/>
        </w:rPr>
      </w:pPr>
    </w:p>
    <w:p>
      <w:pPr>
        <w:pStyle w:val="BodyText"/>
        <w:spacing w:line="360" w:lineRule="auto"/>
        <w:ind w:left="102" w:right="117"/>
        <w:jc w:val="both"/>
      </w:pPr>
      <w:r>
        <w:rPr/>
        <w:t>Una de las principales características de la sociedad contemporánea es el uso de la tecnología, la cual ha modificado el desarrollo de actividades políticas, económicas y culturales; un caso particular es el uso de las tecnologías de la información y comunicación (TIC‘s). En este marco, la generación de conocimiento científico está inmersa en este proceso, no sólo porque dentro de las actividades científicas se utilizan herramientas digitales (programas computacionales, correo electrónico, video conferencias, sistemas de evaluación académica, comunidades virtuales, blogs), sino además porque la difusión y divulgación del conocimiento científico se ha colocado como una parte central de las TIC’s.</w:t>
      </w:r>
    </w:p>
    <w:p>
      <w:pPr>
        <w:pStyle w:val="BodyText"/>
      </w:pPr>
    </w:p>
    <w:p>
      <w:pPr>
        <w:pStyle w:val="BodyText"/>
        <w:spacing w:before="139"/>
        <w:ind w:left="1611" w:right="2003"/>
        <w:jc w:val="both"/>
      </w:pPr>
      <w:r>
        <w:rPr/>
        <w:t>“… la acumulación de conocimientos fue espectacular desde el inicio de la ciencia moderna, pero en la segunda mitad del siglo XX dicho crecimiento ha sido exponencial: las antiguas bibliotecas nacionales europeas y las revistas científicas han sido minimizadas por las grandes bases de datos y conocimiento, sin las que ningún científico puede investigar competentemente. Además, esta acumulación de conocimiento se ha convertido en una nueva forma de riqueza económica: ISI Thomson, Elsevier, Scopus y otras muchas empresas tecnocientíficas constituyen buenos ejemplos de los actuales negocios basados en ciencia, cuyo crecimiento e influencia ha ido en aumento en los últimos años” (Andoni y Echeverría, 2014:</w:t>
      </w:r>
      <w:r>
        <w:rPr>
          <w:spacing w:val="-12"/>
        </w:rPr>
        <w:t> </w:t>
      </w:r>
      <w:r>
        <w:rPr/>
        <w:t>22).</w:t>
      </w:r>
    </w:p>
    <w:p>
      <w:pPr>
        <w:pStyle w:val="BodyText"/>
      </w:pPr>
    </w:p>
    <w:p>
      <w:pPr>
        <w:pStyle w:val="BodyText"/>
        <w:spacing w:line="360" w:lineRule="auto" w:before="139"/>
        <w:ind w:left="102" w:right="115"/>
        <w:jc w:val="both"/>
      </w:pPr>
      <w:r>
        <w:rPr/>
        <w:t>Si bien la producción del conocimiento ha sido modificada por las herramientas informáticas, también se ha modificado su difusión; en la actualidad “el Internet y los dispositivos informáticos permiten un acceso directo al conocimiento científico  a millones de ciudadanos de todo el mundo. La comprensión pública de la ciencia (</w:t>
      </w:r>
      <w:r>
        <w:rPr>
          <w:i/>
        </w:rPr>
        <w:t>public understanding of science</w:t>
      </w:r>
      <w:r>
        <w:rPr/>
        <w:t>) requiere el acceso libre al conocimiento” (Andoni y Echeverría, 2014: 22).</w:t>
      </w:r>
      <w:r>
        <w:rPr>
          <w:spacing w:val="-13"/>
        </w:rPr>
        <w:t> </w:t>
      </w:r>
      <w:r>
        <w:rPr/>
        <w:t>Además,</w:t>
      </w:r>
    </w:p>
    <w:p>
      <w:pPr>
        <w:spacing w:after="0" w:line="360" w:lineRule="auto"/>
        <w:jc w:val="both"/>
        <w:sectPr>
          <w:pgSz w:w="12240" w:h="15840"/>
          <w:pgMar w:header="0" w:footer="629" w:top="1500" w:bottom="880" w:left="1600" w:right="1580"/>
        </w:sectPr>
      </w:pPr>
    </w:p>
    <w:p>
      <w:pPr>
        <w:pStyle w:val="BodyText"/>
        <w:spacing w:line="276" w:lineRule="auto" w:before="54"/>
        <w:ind w:left="1611" w:right="2002"/>
        <w:jc w:val="both"/>
      </w:pPr>
      <w:r>
        <w:rPr/>
        <w:t>Las comunidades científicas tradicionales  han dado lugar a la emergencia de empresas tecnocientíficas que han aprendido a gestionar el conocimiento como una nueva forma de riqueza económica. Por su parte, los científicos e investigadores se han convertido en trabajadores del conocimiento, lo cual implica un cambio radical en las comunidades científicas, antaño tan elitistas y cortesanas. En suma: la emergente  economía del conocimiento ha transformado por completo a las comunidades científico-tecnológicas, no sólo al conocimiento (Andoni y Echeverría, 2014: 23).</w:t>
      </w:r>
    </w:p>
    <w:p>
      <w:pPr>
        <w:pStyle w:val="BodyText"/>
      </w:pPr>
    </w:p>
    <w:p>
      <w:pPr>
        <w:pStyle w:val="BodyText"/>
        <w:spacing w:line="360" w:lineRule="auto" w:before="140"/>
        <w:ind w:left="102" w:right="124"/>
        <w:jc w:val="both"/>
      </w:pPr>
      <w:r>
        <w:rPr/>
        <w:t>En la difusión y divulgación del conocimiento las revistas científicas y académicas han obtenido un papel primordial y se convierten en el medio académico por excelencia, (Villalobos y Puertas, 2005:594), con diferentes objetivos: a) impulso a la actividad científica, b) difusión de nuevos descubrimientos, c) validación de conocimiento, d) delimitación del vocabulario científico, e) instrumentos de enseñanza </w:t>
      </w:r>
      <w:r>
        <w:rPr>
          <w:i/>
        </w:rPr>
        <w:t>y </w:t>
      </w:r>
      <w:r>
        <w:rPr/>
        <w:t>f reconocimiento de contribuciones en las disciplinas.</w:t>
      </w:r>
    </w:p>
    <w:p>
      <w:pPr>
        <w:pStyle w:val="BodyText"/>
      </w:pPr>
    </w:p>
    <w:p>
      <w:pPr>
        <w:pStyle w:val="BodyText"/>
        <w:spacing w:before="142"/>
        <w:ind w:left="102"/>
        <w:jc w:val="both"/>
        <w:rPr>
          <w:i/>
        </w:rPr>
      </w:pPr>
      <w:r>
        <w:rPr/>
        <w:t>En  cuanto a  la clasificación  de  revistas,  desde  la perspectiva  de Ordorika  </w:t>
      </w:r>
      <w:r>
        <w:rPr>
          <w:i/>
        </w:rPr>
        <w:t>et al</w:t>
      </w:r>
    </w:p>
    <w:p>
      <w:pPr>
        <w:pStyle w:val="BodyText"/>
        <w:spacing w:before="141"/>
        <w:ind w:left="102"/>
        <w:jc w:val="both"/>
      </w:pPr>
      <w:r>
        <w:rPr/>
        <w:t>(2009: 12), podemos mencionar tres tipos:</w:t>
      </w:r>
    </w:p>
    <w:p>
      <w:pPr>
        <w:pStyle w:val="BodyText"/>
      </w:pPr>
    </w:p>
    <w:p>
      <w:pPr>
        <w:pStyle w:val="BodyText"/>
      </w:pPr>
    </w:p>
    <w:p>
      <w:pPr>
        <w:spacing w:line="360" w:lineRule="auto" w:before="0"/>
        <w:ind w:left="102" w:right="117" w:firstLine="0"/>
        <w:jc w:val="both"/>
        <w:rPr>
          <w:sz w:val="24"/>
        </w:rPr>
      </w:pPr>
      <w:r>
        <w:rPr>
          <w:b/>
          <w:sz w:val="24"/>
        </w:rPr>
        <w:t>Revistas de investigación (que también se podrían llamar de divulgación). </w:t>
      </w:r>
      <w:r>
        <w:rPr>
          <w:sz w:val="24"/>
        </w:rPr>
        <w:t>Tienen como propósito divulgar investigaciones originales y los artículos son arbitrados por pares académicos (principalmente a través del </w:t>
      </w:r>
      <w:r>
        <w:rPr>
          <w:i/>
          <w:sz w:val="24"/>
        </w:rPr>
        <w:t>peer review). </w:t>
      </w:r>
      <w:r>
        <w:rPr>
          <w:sz w:val="24"/>
        </w:rPr>
        <w:t>La mayoría de las veces este tipo de revista es especializada porque pertenece a un disciplina específica.</w:t>
      </w:r>
    </w:p>
    <w:p>
      <w:pPr>
        <w:pStyle w:val="BodyText"/>
      </w:pPr>
    </w:p>
    <w:p>
      <w:pPr>
        <w:pStyle w:val="BodyText"/>
        <w:spacing w:line="360" w:lineRule="auto" w:before="142"/>
        <w:ind w:left="102" w:right="123"/>
        <w:jc w:val="both"/>
      </w:pPr>
      <w:r>
        <w:rPr>
          <w:b/>
        </w:rPr>
        <w:t>Revistas de difusión. </w:t>
      </w:r>
      <w:r>
        <w:rPr/>
        <w:t>Su objetivo principal es difundir conocimientos y resultados de investigaciones de un conjunto de campos o disciplinas, la mayoría de los artículos no tienen un proceso estricto de dictaminación porque informan sobre trabajos específicos y su público es más amplio.</w:t>
      </w:r>
    </w:p>
    <w:p>
      <w:pPr>
        <w:spacing w:after="0" w:line="360" w:lineRule="auto"/>
        <w:jc w:val="both"/>
        <w:sectPr>
          <w:pgSz w:w="12240" w:h="15840"/>
          <w:pgMar w:header="0" w:footer="629" w:top="1360" w:bottom="880" w:left="1600" w:right="1580"/>
        </w:sectPr>
      </w:pPr>
    </w:p>
    <w:p>
      <w:pPr>
        <w:pStyle w:val="BodyText"/>
        <w:spacing w:before="7"/>
        <w:rPr>
          <w:sz w:val="22"/>
        </w:rPr>
      </w:pPr>
    </w:p>
    <w:p>
      <w:pPr>
        <w:pStyle w:val="BodyText"/>
        <w:spacing w:line="360" w:lineRule="auto" w:before="69"/>
        <w:ind w:left="102" w:right="118"/>
        <w:jc w:val="both"/>
      </w:pPr>
      <w:r>
        <w:rPr>
          <w:b/>
        </w:rPr>
        <w:t>Revistas profesionales o técnicas. </w:t>
      </w:r>
      <w:r>
        <w:rPr/>
        <w:t>Reportan conocimientos o técnicas de una profesión, en la mayoría de los casos los artículos no son arbitrados y están dirigidas a profesionales en un campo específico.</w:t>
      </w:r>
    </w:p>
    <w:p>
      <w:pPr>
        <w:pStyle w:val="BodyText"/>
      </w:pPr>
    </w:p>
    <w:p>
      <w:pPr>
        <w:pStyle w:val="BodyText"/>
        <w:spacing w:line="360" w:lineRule="auto" w:before="142"/>
        <w:ind w:left="102" w:right="114"/>
        <w:jc w:val="both"/>
      </w:pPr>
      <w:r>
        <w:rPr/>
        <w:t>Sin duda las revistas científicas y académicas han puesto especial interés en la vigilancia de procesos editoriales (formación editorial y corrección de estilo, impresión y distribución) y de dictaminación (uso de estrategias como el </w:t>
      </w:r>
      <w:r>
        <w:rPr>
          <w:i/>
        </w:rPr>
        <w:t>peer </w:t>
      </w:r>
      <w:r>
        <w:rPr>
          <w:i/>
        </w:rPr>
        <w:t>review), </w:t>
      </w:r>
      <w:r>
        <w:rPr/>
        <w:t>esto no es nada nuevo para las revistas; sin embargo, “en la escena contemporánea existe un modelo que combina los procedimientos tradicionales con el uso intensivo de tecnologías informáticas [encaminadas a] la distribución digital y la indexación nacional e internacional” (Ordorika et al, 2009: 8).</w:t>
      </w:r>
    </w:p>
    <w:p>
      <w:pPr>
        <w:pStyle w:val="BodyText"/>
      </w:pPr>
    </w:p>
    <w:p>
      <w:pPr>
        <w:pStyle w:val="BodyText"/>
        <w:spacing w:line="360" w:lineRule="auto" w:before="142"/>
        <w:ind w:left="102" w:right="117"/>
        <w:jc w:val="both"/>
      </w:pPr>
      <w:r>
        <w:rPr/>
        <w:t>El mundo de las publicaciones científicas es complejo y dinámico a partir de la diversidad de las publicaciones a partir de: diferentes niveles de cobertura y operación (local, nacional, regional e internacional); organismos de operación y difusión (universidades, tecnológicos, centros de investigación, instituciones gubernamentales, editoriales privadas), formas de sistematización (categorización de áreas de conocimiento y generación de indicadores bibliométricos). En este sentido Allen (2007), citado en Ordorika et al (2009: 6) menciona que “este modelo de circulación internacional de la información y el conocimiento académico complejo y diverso corresponde a la actividad altamente estructurada del sistema científico contemporáneo”.</w:t>
      </w:r>
    </w:p>
    <w:p>
      <w:pPr>
        <w:pStyle w:val="BodyText"/>
      </w:pPr>
    </w:p>
    <w:p>
      <w:pPr>
        <w:pStyle w:val="BodyText"/>
        <w:spacing w:before="140"/>
        <w:ind w:left="1611" w:right="2006"/>
        <w:jc w:val="both"/>
      </w:pPr>
      <w:r>
        <w:rPr/>
        <w:t>Por un lado está el interés de las revistas y de las instituciones que las promueven por tener una proyección internacional, al estar incluidas en la corriente principal (</w:t>
      </w:r>
      <w:r>
        <w:rPr>
          <w:i/>
        </w:rPr>
        <w:t>mainstream</w:t>
      </w:r>
      <w:r>
        <w:rPr/>
        <w:t>) de distribución de conocimientos a nivel mundial. Por otro, el interés de las comunidades académicas locales de que su trabajo sea reconocido como de impacto internacional (Dahdouh-Guebas et al., 2003). Esta condición repercute en las oportunidades de participar en proyectos y redes internacionales (Elliott, 2005), en los sistemas de estímulos a la</w:t>
      </w:r>
    </w:p>
    <w:p>
      <w:pPr>
        <w:spacing w:after="0"/>
        <w:jc w:val="both"/>
        <w:sectPr>
          <w:pgSz w:w="12240" w:h="15840"/>
          <w:pgMar w:header="0" w:footer="629" w:top="1500" w:bottom="880" w:left="1600" w:right="1580"/>
        </w:sectPr>
      </w:pPr>
    </w:p>
    <w:p>
      <w:pPr>
        <w:pStyle w:val="BodyText"/>
        <w:spacing w:before="52"/>
        <w:ind w:left="1611" w:right="2006"/>
        <w:jc w:val="both"/>
      </w:pPr>
      <w:r>
        <w:rPr/>
        <w:t>productividad, en las promociones para el escalafón laboral y en la movilidad dentro del ámbito académico global, entre otros incentivos (Ordorika et al, 2009: 8)</w:t>
      </w:r>
    </w:p>
    <w:p>
      <w:pPr>
        <w:pStyle w:val="BodyText"/>
      </w:pPr>
    </w:p>
    <w:p>
      <w:pPr>
        <w:pStyle w:val="BodyText"/>
        <w:spacing w:line="360" w:lineRule="auto" w:before="141"/>
        <w:ind w:left="102" w:right="116"/>
        <w:jc w:val="both"/>
      </w:pPr>
      <w:r>
        <w:rPr/>
        <w:t>Por tal motivo, según Saavedra et al, (2002: 152) la publicación en una revista de prestigio se ha vuelto indispensable en la producción de conocimiento científico,  ya que este tipo de publicación no sólo “legitima su actividad o acrecienta el  crédito académico de un científico, [sino además] asegura la prioridad en la producción de un resultado y permite la existencia de sistemas de comunicación científica ligados a procesos activos de persuasión, negociación, refutación y modificación” (Saavedra et al, 2002:</w:t>
      </w:r>
      <w:r>
        <w:rPr>
          <w:spacing w:val="-15"/>
        </w:rPr>
        <w:t> </w:t>
      </w:r>
      <w:r>
        <w:rPr/>
        <w:t>152).</w:t>
      </w:r>
    </w:p>
    <w:p>
      <w:pPr>
        <w:pStyle w:val="BodyText"/>
      </w:pPr>
    </w:p>
    <w:p>
      <w:pPr>
        <w:pStyle w:val="BodyText"/>
        <w:spacing w:before="139"/>
        <w:ind w:left="1611" w:right="2003"/>
        <w:jc w:val="both"/>
      </w:pPr>
      <w:r>
        <w:rPr/>
        <w:t>“Los científicos son los productores de conocimiento, pero hay otras fuentes de  innovación y los procesos que las suscitan no son lineales, sino multidimensionales, porque en dichos procesos intervienen diferentes tipos de agentes. En todo caso, desde que se añadió el objetivo de la innovación a la investigación y el desarrollo tecnológico, se piensa que lo que  genera riqueza es la innovación, siendo la investigación científica y los desarrollos tecnológicos un instrumento o medio para lograrla” (Echeverría,</w:t>
      </w:r>
      <w:r>
        <w:rPr>
          <w:spacing w:val="-14"/>
        </w:rPr>
        <w:t> </w:t>
      </w:r>
      <w:r>
        <w:rPr/>
        <w:t>2008:540).</w:t>
      </w:r>
    </w:p>
    <w:p>
      <w:pPr>
        <w:pStyle w:val="BodyText"/>
      </w:pPr>
    </w:p>
    <w:p>
      <w:pPr>
        <w:pStyle w:val="BodyText"/>
      </w:pPr>
    </w:p>
    <w:p>
      <w:pPr>
        <w:pStyle w:val="BodyText"/>
        <w:spacing w:line="360" w:lineRule="auto"/>
        <w:ind w:left="102" w:right="118"/>
        <w:jc w:val="both"/>
      </w:pPr>
      <w:r>
        <w:rPr/>
        <w:t>El prestigio de una revista sin duda corresponde a diversos factores (procesos editoriales de calidad, reconocimiento de la comunidad científica, rigurosa vigilancia en dictaminación, años sin interrupción de la publicación), pero sin duda la visibilidad es una condición básica para este proceso, a juicio de Villalobos y Puertas (2005) la visibilidad puede verse en dos dimensiones: a) la presencia de la revista y b) el número de citas de los artículos.</w:t>
      </w:r>
    </w:p>
    <w:p>
      <w:pPr>
        <w:pStyle w:val="BodyText"/>
      </w:pPr>
    </w:p>
    <w:p>
      <w:pPr>
        <w:pStyle w:val="BodyText"/>
        <w:spacing w:line="360" w:lineRule="auto" w:before="142"/>
        <w:ind w:left="102" w:right="125"/>
        <w:jc w:val="both"/>
      </w:pPr>
      <w:r>
        <w:rPr/>
        <w:t>Para el primer caso, “la visibilidad directa tiene que ver con las suscripciones, donaciones o canjes, es decir, con la presencia de la revista en las bibliotecas; la indirecta  es  aquella  producto  de  la  difusión  en  directorios  de     publicaciones</w:t>
      </w:r>
    </w:p>
    <w:p>
      <w:pPr>
        <w:spacing w:after="0" w:line="360" w:lineRule="auto"/>
        <w:jc w:val="both"/>
        <w:sectPr>
          <w:pgSz w:w="12240" w:h="15840"/>
          <w:pgMar w:header="0" w:footer="629" w:top="1360" w:bottom="880" w:left="1600" w:right="1580"/>
        </w:sectPr>
      </w:pPr>
    </w:p>
    <w:p>
      <w:pPr>
        <w:pStyle w:val="BodyText"/>
        <w:spacing w:line="360" w:lineRule="auto" w:before="54"/>
        <w:ind w:left="102" w:right="121"/>
        <w:jc w:val="both"/>
      </w:pPr>
      <w:r>
        <w:rPr/>
        <w:t>periódicas que hacen factible la ubicación y selección de la revista en ciertas materias” (Villalobos y Puertas, 2005: 595). En el segundo caso “a más citas, mayor visibilidad y más si estas citas se producen en revistas adscritas a bases de datos donde también están inscritas las mejores revistas científicas del mundo” (Villalobos y Puertas, 2005: 595).</w:t>
      </w:r>
    </w:p>
    <w:p>
      <w:pPr>
        <w:pStyle w:val="BodyText"/>
      </w:pPr>
    </w:p>
    <w:p>
      <w:pPr>
        <w:pStyle w:val="BodyText"/>
        <w:spacing w:line="360" w:lineRule="auto" w:before="142"/>
        <w:ind w:left="102" w:right="116"/>
        <w:jc w:val="both"/>
      </w:pPr>
      <w:r>
        <w:rPr/>
        <w:t>Otro factor primordial son los sistemas de información científica que </w:t>
      </w:r>
      <w:r>
        <w:rPr>
          <w:spacing w:val="2"/>
        </w:rPr>
        <w:t>“es </w:t>
      </w:r>
      <w:r>
        <w:rPr/>
        <w:t>un  sistema que abarca máquinas y/o métodos organizados de recolección de datos, procesamiento, recuperación, transmisión y difusión de información útil para los usuarios (Navarrete y Banqueri, 2008: 72). Los sistemas de información científica deben tener las siguientes</w:t>
      </w:r>
      <w:r>
        <w:rPr>
          <w:spacing w:val="-11"/>
        </w:rPr>
        <w:t> </w:t>
      </w:r>
      <w:r>
        <w:rPr/>
        <w:t>características:</w:t>
      </w:r>
    </w:p>
    <w:p>
      <w:pPr>
        <w:pStyle w:val="BodyText"/>
      </w:pPr>
    </w:p>
    <w:p>
      <w:pPr>
        <w:pStyle w:val="ListParagraph"/>
        <w:numPr>
          <w:ilvl w:val="2"/>
          <w:numId w:val="12"/>
        </w:numPr>
        <w:tabs>
          <w:tab w:pos="962" w:val="left" w:leader="none"/>
        </w:tabs>
        <w:spacing w:line="355" w:lineRule="auto" w:before="142" w:after="0"/>
        <w:ind w:left="961" w:right="125" w:hanging="360"/>
        <w:jc w:val="both"/>
        <w:rPr>
          <w:sz w:val="24"/>
        </w:rPr>
      </w:pPr>
      <w:r>
        <w:rPr>
          <w:sz w:val="24"/>
        </w:rPr>
        <w:t>Deben ser capaces de dar acceso, tanto al investigador como al gestor, a información lo suficientemente elaborada para que les sea útil, en especial en toma de</w:t>
      </w:r>
      <w:r>
        <w:rPr>
          <w:spacing w:val="-10"/>
          <w:sz w:val="24"/>
        </w:rPr>
        <w:t> </w:t>
      </w:r>
      <w:r>
        <w:rPr>
          <w:sz w:val="24"/>
        </w:rPr>
        <w:t>decisiones.</w:t>
      </w:r>
    </w:p>
    <w:p>
      <w:pPr>
        <w:pStyle w:val="ListParagraph"/>
        <w:numPr>
          <w:ilvl w:val="2"/>
          <w:numId w:val="12"/>
        </w:numPr>
        <w:tabs>
          <w:tab w:pos="962" w:val="left" w:leader="none"/>
        </w:tabs>
        <w:spacing w:line="355" w:lineRule="auto" w:before="8" w:after="0"/>
        <w:ind w:left="961" w:right="119" w:hanging="360"/>
        <w:jc w:val="both"/>
        <w:rPr>
          <w:sz w:val="24"/>
        </w:rPr>
      </w:pPr>
      <w:r>
        <w:rPr>
          <w:sz w:val="24"/>
        </w:rPr>
        <w:t>Disponer de información fiable y actualizada, de tal modo que se convierta en la herramienta básica de planificación, gestión y evaluación en las políticas de ciencia y</w:t>
      </w:r>
      <w:r>
        <w:rPr>
          <w:spacing w:val="-13"/>
          <w:sz w:val="24"/>
        </w:rPr>
        <w:t> </w:t>
      </w:r>
      <w:r>
        <w:rPr>
          <w:sz w:val="24"/>
        </w:rPr>
        <w:t>tecnología.</w:t>
      </w:r>
    </w:p>
    <w:p>
      <w:pPr>
        <w:pStyle w:val="ListParagraph"/>
        <w:numPr>
          <w:ilvl w:val="2"/>
          <w:numId w:val="12"/>
        </w:numPr>
        <w:tabs>
          <w:tab w:pos="962" w:val="left" w:leader="none"/>
        </w:tabs>
        <w:spacing w:line="350" w:lineRule="auto" w:before="11" w:after="0"/>
        <w:ind w:left="961" w:right="122" w:hanging="360"/>
        <w:jc w:val="both"/>
        <w:rPr>
          <w:sz w:val="24"/>
        </w:rPr>
      </w:pPr>
      <w:r>
        <w:rPr>
          <w:sz w:val="24"/>
        </w:rPr>
        <w:t>Fomentar la cooperación científico-técnica que permita el aumento de las relaciones entre el sistema público de I+D y el sector</w:t>
      </w:r>
      <w:r>
        <w:rPr>
          <w:spacing w:val="-20"/>
          <w:sz w:val="24"/>
        </w:rPr>
        <w:t> </w:t>
      </w:r>
      <w:r>
        <w:rPr>
          <w:sz w:val="24"/>
        </w:rPr>
        <w:t>privado.</w:t>
      </w:r>
    </w:p>
    <w:p>
      <w:pPr>
        <w:pStyle w:val="ListParagraph"/>
        <w:numPr>
          <w:ilvl w:val="2"/>
          <w:numId w:val="12"/>
        </w:numPr>
        <w:tabs>
          <w:tab w:pos="961" w:val="left" w:leader="none"/>
          <w:tab w:pos="962" w:val="left" w:leader="none"/>
        </w:tabs>
        <w:spacing w:line="240" w:lineRule="auto" w:before="14" w:after="0"/>
        <w:ind w:left="961" w:right="0" w:hanging="360"/>
        <w:jc w:val="left"/>
        <w:rPr>
          <w:sz w:val="24"/>
        </w:rPr>
      </w:pPr>
      <w:r>
        <w:rPr>
          <w:sz w:val="24"/>
        </w:rPr>
        <w:t>Compromiso de la alta dirección (científica y de</w:t>
      </w:r>
      <w:r>
        <w:rPr>
          <w:spacing w:val="-18"/>
          <w:sz w:val="24"/>
        </w:rPr>
        <w:t> </w:t>
      </w:r>
      <w:r>
        <w:rPr>
          <w:sz w:val="24"/>
        </w:rPr>
        <w:t>gestión).</w:t>
      </w:r>
    </w:p>
    <w:p>
      <w:pPr>
        <w:pStyle w:val="BodyText"/>
      </w:pPr>
    </w:p>
    <w:p>
      <w:pPr>
        <w:pStyle w:val="BodyText"/>
        <w:spacing w:before="9"/>
        <w:rPr>
          <w:sz w:val="23"/>
        </w:rPr>
      </w:pPr>
    </w:p>
    <w:p>
      <w:pPr>
        <w:spacing w:line="360" w:lineRule="auto" w:before="0"/>
        <w:ind w:left="102" w:right="115" w:firstLine="0"/>
        <w:jc w:val="both"/>
        <w:rPr>
          <w:sz w:val="24"/>
        </w:rPr>
      </w:pPr>
      <w:r>
        <w:rPr>
          <w:sz w:val="24"/>
        </w:rPr>
        <w:t>En el proceso de visibilidad de las revistas, identificamos como principales actores a las casas editoriales y los conglomerados proveedores de información. En el marco de las casas editoriales, cuya sede se encuentra en países desarrollados, existe un grupo de editoriales académicas y editoriales universitarias con orientación comercial; para el primer caso están “</w:t>
      </w:r>
      <w:r>
        <w:rPr>
          <w:i/>
          <w:sz w:val="24"/>
        </w:rPr>
        <w:t>Kluwer</w:t>
      </w:r>
      <w:r>
        <w:rPr>
          <w:sz w:val="24"/>
        </w:rPr>
        <w:t>, </w:t>
      </w:r>
      <w:r>
        <w:rPr>
          <w:i/>
          <w:sz w:val="24"/>
        </w:rPr>
        <w:t>Taylor </w:t>
      </w:r>
      <w:r>
        <w:rPr>
          <w:sz w:val="24"/>
        </w:rPr>
        <w:t>&amp; </w:t>
      </w:r>
      <w:r>
        <w:rPr>
          <w:i/>
          <w:sz w:val="24"/>
        </w:rPr>
        <w:t>Francis</w:t>
      </w:r>
      <w:r>
        <w:rPr>
          <w:sz w:val="24"/>
        </w:rPr>
        <w:t>, </w:t>
      </w:r>
      <w:r>
        <w:rPr>
          <w:i/>
          <w:sz w:val="24"/>
        </w:rPr>
        <w:t>Wiley </w:t>
      </w:r>
      <w:r>
        <w:rPr>
          <w:sz w:val="24"/>
        </w:rPr>
        <w:t>&amp; </w:t>
      </w:r>
      <w:r>
        <w:rPr>
          <w:i/>
          <w:sz w:val="24"/>
        </w:rPr>
        <w:t>Sons</w:t>
      </w:r>
      <w:r>
        <w:rPr>
          <w:sz w:val="24"/>
        </w:rPr>
        <w:t>, </w:t>
      </w:r>
      <w:r>
        <w:rPr>
          <w:i/>
          <w:sz w:val="24"/>
        </w:rPr>
        <w:t>Macmillan</w:t>
      </w:r>
      <w:r>
        <w:rPr>
          <w:sz w:val="24"/>
        </w:rPr>
        <w:t>/</w:t>
      </w:r>
      <w:r>
        <w:rPr>
          <w:i/>
          <w:sz w:val="24"/>
        </w:rPr>
        <w:t>McGraw-Hill</w:t>
      </w:r>
      <w:r>
        <w:rPr>
          <w:sz w:val="24"/>
        </w:rPr>
        <w:t>, </w:t>
      </w:r>
      <w:r>
        <w:rPr>
          <w:i/>
          <w:sz w:val="24"/>
        </w:rPr>
        <w:t>Pearson</w:t>
      </w:r>
      <w:r>
        <w:rPr>
          <w:sz w:val="24"/>
        </w:rPr>
        <w:t>, </w:t>
      </w:r>
      <w:r>
        <w:rPr>
          <w:i/>
          <w:sz w:val="24"/>
        </w:rPr>
        <w:t>Springer </w:t>
      </w:r>
      <w:r>
        <w:rPr>
          <w:sz w:val="24"/>
        </w:rPr>
        <w:t>y Santillana; [en el segundo caso están] </w:t>
      </w:r>
      <w:r>
        <w:rPr>
          <w:i/>
          <w:sz w:val="24"/>
        </w:rPr>
        <w:t>Stanford University Press </w:t>
      </w:r>
      <w:r>
        <w:rPr>
          <w:sz w:val="24"/>
        </w:rPr>
        <w:t>y </w:t>
      </w:r>
      <w:r>
        <w:rPr>
          <w:i/>
          <w:sz w:val="24"/>
        </w:rPr>
        <w:t>Harvard University Press </w:t>
      </w:r>
      <w:r>
        <w:rPr>
          <w:sz w:val="24"/>
        </w:rPr>
        <w:t>y </w:t>
      </w:r>
      <w:r>
        <w:rPr>
          <w:i/>
          <w:sz w:val="24"/>
        </w:rPr>
        <w:t>Cambridge </w:t>
      </w:r>
      <w:r>
        <w:rPr>
          <w:i/>
          <w:sz w:val="24"/>
        </w:rPr>
        <w:t>University</w:t>
      </w:r>
      <w:r>
        <w:rPr>
          <w:i/>
          <w:spacing w:val="40"/>
          <w:sz w:val="24"/>
        </w:rPr>
        <w:t> </w:t>
      </w:r>
      <w:r>
        <w:rPr>
          <w:i/>
          <w:sz w:val="24"/>
        </w:rPr>
        <w:t>Press</w:t>
      </w:r>
      <w:r>
        <w:rPr>
          <w:sz w:val="24"/>
        </w:rPr>
        <w:t>)”</w:t>
      </w:r>
      <w:r>
        <w:rPr>
          <w:spacing w:val="38"/>
          <w:sz w:val="24"/>
        </w:rPr>
        <w:t> </w:t>
      </w:r>
      <w:r>
        <w:rPr>
          <w:sz w:val="24"/>
        </w:rPr>
        <w:t>(Ordorika</w:t>
      </w:r>
      <w:r>
        <w:rPr>
          <w:spacing w:val="41"/>
          <w:sz w:val="24"/>
        </w:rPr>
        <w:t> </w:t>
      </w:r>
      <w:r>
        <w:rPr>
          <w:sz w:val="24"/>
        </w:rPr>
        <w:t>et</w:t>
      </w:r>
      <w:r>
        <w:rPr>
          <w:spacing w:val="40"/>
          <w:sz w:val="24"/>
        </w:rPr>
        <w:t> </w:t>
      </w:r>
      <w:r>
        <w:rPr>
          <w:sz w:val="24"/>
        </w:rPr>
        <w:t>al,</w:t>
      </w:r>
      <w:r>
        <w:rPr>
          <w:spacing w:val="40"/>
          <w:sz w:val="24"/>
        </w:rPr>
        <w:t> </w:t>
      </w:r>
      <w:r>
        <w:rPr>
          <w:sz w:val="24"/>
        </w:rPr>
        <w:t>2009:</w:t>
      </w:r>
      <w:r>
        <w:rPr>
          <w:spacing w:val="40"/>
          <w:sz w:val="24"/>
        </w:rPr>
        <w:t> </w:t>
      </w:r>
      <w:r>
        <w:rPr>
          <w:sz w:val="24"/>
        </w:rPr>
        <w:t>7).</w:t>
      </w:r>
      <w:r>
        <w:rPr>
          <w:spacing w:val="37"/>
          <w:sz w:val="24"/>
        </w:rPr>
        <w:t> </w:t>
      </w:r>
      <w:r>
        <w:rPr>
          <w:sz w:val="24"/>
        </w:rPr>
        <w:t>Para</w:t>
      </w:r>
      <w:r>
        <w:rPr>
          <w:spacing w:val="40"/>
          <w:sz w:val="24"/>
        </w:rPr>
        <w:t> </w:t>
      </w:r>
      <w:r>
        <w:rPr>
          <w:sz w:val="24"/>
        </w:rPr>
        <w:t>el</w:t>
      </w:r>
      <w:r>
        <w:rPr>
          <w:spacing w:val="39"/>
          <w:sz w:val="24"/>
        </w:rPr>
        <w:t> </w:t>
      </w:r>
      <w:r>
        <w:rPr>
          <w:sz w:val="24"/>
        </w:rPr>
        <w:t>caso</w:t>
      </w:r>
      <w:r>
        <w:rPr>
          <w:spacing w:val="41"/>
          <w:sz w:val="24"/>
        </w:rPr>
        <w:t> </w:t>
      </w:r>
      <w:r>
        <w:rPr>
          <w:sz w:val="24"/>
        </w:rPr>
        <w:t>de</w:t>
      </w:r>
      <w:r>
        <w:rPr>
          <w:spacing w:val="41"/>
          <w:sz w:val="24"/>
        </w:rPr>
        <w:t> </w:t>
      </w:r>
      <w:r>
        <w:rPr>
          <w:sz w:val="24"/>
        </w:rPr>
        <w:t>países</w:t>
      </w:r>
      <w:r>
        <w:rPr>
          <w:spacing w:val="40"/>
          <w:sz w:val="24"/>
        </w:rPr>
        <w:t> </w:t>
      </w:r>
      <w:r>
        <w:rPr>
          <w:sz w:val="24"/>
        </w:rPr>
        <w:t>en</w:t>
      </w:r>
      <w:r>
        <w:rPr>
          <w:spacing w:val="41"/>
          <w:sz w:val="24"/>
        </w:rPr>
        <w:t> </w:t>
      </w:r>
      <w:r>
        <w:rPr>
          <w:sz w:val="24"/>
        </w:rPr>
        <w:t>vías</w:t>
      </w:r>
      <w:r>
        <w:rPr>
          <w:spacing w:val="40"/>
          <w:sz w:val="24"/>
        </w:rPr>
        <w:t> </w:t>
      </w:r>
      <w:r>
        <w:rPr>
          <w:sz w:val="24"/>
        </w:rPr>
        <w:t>de</w:t>
      </w:r>
    </w:p>
    <w:p>
      <w:pPr>
        <w:spacing w:after="0" w:line="360" w:lineRule="auto"/>
        <w:jc w:val="both"/>
        <w:rPr>
          <w:sz w:val="24"/>
        </w:rPr>
        <w:sectPr>
          <w:pgSz w:w="12240" w:h="15840"/>
          <w:pgMar w:header="0" w:footer="629" w:top="1360" w:bottom="880" w:left="1600" w:right="1580"/>
        </w:sectPr>
      </w:pPr>
    </w:p>
    <w:p>
      <w:pPr>
        <w:pStyle w:val="BodyText"/>
        <w:spacing w:line="360" w:lineRule="auto" w:before="54"/>
        <w:ind w:left="102" w:right="115"/>
        <w:jc w:val="both"/>
      </w:pPr>
      <w:r>
        <w:rPr/>
        <w:t>desarrollo, además de las casas editoriales internacionales están las casas editoriales regionales, las universidades públicas y centros de investigación.</w:t>
      </w:r>
    </w:p>
    <w:p>
      <w:pPr>
        <w:pStyle w:val="BodyText"/>
      </w:pPr>
    </w:p>
    <w:p>
      <w:pPr>
        <w:pStyle w:val="BodyText"/>
        <w:spacing w:line="360" w:lineRule="auto" w:before="142"/>
        <w:ind w:left="102" w:right="118"/>
        <w:jc w:val="both"/>
      </w:pPr>
      <w:r>
        <w:rPr/>
        <w:t>En el caso de los conglomerados de información, quienes están estrechamente vinculados con las principales casas editoriales, están “</w:t>
      </w:r>
      <w:r>
        <w:rPr>
          <w:i/>
        </w:rPr>
        <w:t>Thomson Reuters </w:t>
      </w:r>
      <w:r>
        <w:rPr/>
        <w:t>impulsores del (</w:t>
      </w:r>
      <w:r>
        <w:rPr>
          <w:i/>
        </w:rPr>
        <w:t>ISI</w:t>
      </w:r>
      <w:r>
        <w:rPr/>
        <w:t>) y </w:t>
      </w:r>
      <w:r>
        <w:rPr>
          <w:i/>
        </w:rPr>
        <w:t>Elsevier </w:t>
      </w:r>
      <w:r>
        <w:rPr/>
        <w:t>(</w:t>
      </w:r>
      <w:r>
        <w:rPr>
          <w:i/>
        </w:rPr>
        <w:t>SCOPUS</w:t>
      </w:r>
      <w:r>
        <w:rPr/>
        <w:t>). Además se ha desarrollado una diversidad de empresas lucrativas (</w:t>
      </w:r>
      <w:r>
        <w:rPr>
          <w:i/>
        </w:rPr>
        <w:t>MUSE</w:t>
      </w:r>
      <w:r>
        <w:rPr/>
        <w:t>, </w:t>
      </w:r>
      <w:r>
        <w:rPr>
          <w:i/>
        </w:rPr>
        <w:t>JSTORE </w:t>
      </w:r>
      <w:r>
        <w:rPr/>
        <w:t>e </w:t>
      </w:r>
      <w:r>
        <w:rPr>
          <w:i/>
        </w:rPr>
        <w:t>INGENTA</w:t>
      </w:r>
      <w:r>
        <w:rPr/>
        <w:t>) y no lucrativas (</w:t>
      </w:r>
      <w:r>
        <w:rPr>
          <w:i/>
        </w:rPr>
        <w:t>DOAJ </w:t>
      </w:r>
      <w:r>
        <w:rPr/>
        <w:t>y </w:t>
      </w:r>
      <w:r>
        <w:rPr>
          <w:i/>
        </w:rPr>
        <w:t>CrossRef</w:t>
      </w:r>
      <w:r>
        <w:rPr/>
        <w:t>) para la distribución de publicaciones académicas a través de medios electrónicos[…]. En la actualidad han cobrado especial relieve las clasificaciones de publicaciones académicas basadas en arbitrajes de calidad e impacto, como un filtro para proveer el servicio de indexación. Los casos más notables son </w:t>
      </w:r>
      <w:r>
        <w:rPr>
          <w:i/>
        </w:rPr>
        <w:t>ISI </w:t>
      </w:r>
      <w:r>
        <w:rPr/>
        <w:t>y </w:t>
      </w:r>
      <w:r>
        <w:rPr>
          <w:i/>
        </w:rPr>
        <w:t>SCOPUS</w:t>
      </w:r>
      <w:r>
        <w:rPr/>
        <w:t>” (Ordorika et al, 2009: 7).</w:t>
      </w:r>
    </w:p>
    <w:p>
      <w:pPr>
        <w:pStyle w:val="BodyText"/>
      </w:pPr>
    </w:p>
    <w:p>
      <w:pPr>
        <w:pStyle w:val="BodyText"/>
        <w:spacing w:line="360" w:lineRule="auto" w:before="142"/>
        <w:ind w:left="102" w:right="116"/>
        <w:jc w:val="both"/>
      </w:pPr>
      <w:r>
        <w:rPr/>
        <w:t>La empresa internacional </w:t>
      </w:r>
      <w:r>
        <w:rPr>
          <w:i/>
        </w:rPr>
        <w:t>Thomson Reuters </w:t>
      </w:r>
      <w:r>
        <w:rPr/>
        <w:t>ha generado el sistema de información </w:t>
      </w:r>
      <w:r>
        <w:rPr>
          <w:i/>
        </w:rPr>
        <w:t>Web of Science </w:t>
      </w:r>
      <w:r>
        <w:rPr/>
        <w:t>(</w:t>
      </w:r>
      <w:r>
        <w:rPr>
          <w:i/>
        </w:rPr>
        <w:t>ISI</w:t>
      </w:r>
      <w:r>
        <w:rPr/>
        <w:t>), se considera como el índice bibliográfico de mayor impacto en el medio académico. Las revistas indexadas en este medio son previamente sometidas a arbitraje de pares académicos. Como parte de la </w:t>
      </w:r>
      <w:r>
        <w:rPr>
          <w:i/>
        </w:rPr>
        <w:t>Web of </w:t>
      </w:r>
      <w:r>
        <w:rPr>
          <w:i/>
        </w:rPr>
        <w:t>Science </w:t>
      </w:r>
      <w:r>
        <w:rPr/>
        <w:t>se encuentra el </w:t>
      </w:r>
      <w:r>
        <w:rPr>
          <w:i/>
        </w:rPr>
        <w:t>Journal Citation Reports </w:t>
      </w:r>
      <w:r>
        <w:rPr/>
        <w:t>(</w:t>
      </w:r>
      <w:r>
        <w:rPr>
          <w:i/>
        </w:rPr>
        <w:t>JCR</w:t>
      </w:r>
      <w:r>
        <w:rPr/>
        <w:t>) que es una base de datos que ofrece datos estadísticos sobre la importancia de revistas dentro de  categorías temáticas. La información de </w:t>
      </w:r>
      <w:r>
        <w:rPr>
          <w:i/>
        </w:rPr>
        <w:t>JCR </w:t>
      </w:r>
      <w:r>
        <w:rPr/>
        <w:t>incluye el Factor de Impacto, Índice de Inmediatez e información sobre tendencia de citación y datos fuente. Los datos proporcionados por </w:t>
      </w:r>
      <w:r>
        <w:rPr>
          <w:i/>
        </w:rPr>
        <w:t>JCR </w:t>
      </w:r>
      <w:r>
        <w:rPr/>
        <w:t>permiten (Thomson:</w:t>
      </w:r>
      <w:r>
        <w:rPr>
          <w:spacing w:val="-16"/>
        </w:rPr>
        <w:t> </w:t>
      </w:r>
      <w:r>
        <w:rPr/>
        <w:t>2005,4):</w:t>
      </w:r>
    </w:p>
    <w:p>
      <w:pPr>
        <w:pStyle w:val="BodyText"/>
      </w:pPr>
    </w:p>
    <w:p>
      <w:pPr>
        <w:pStyle w:val="ListParagraph"/>
        <w:numPr>
          <w:ilvl w:val="0"/>
          <w:numId w:val="14"/>
        </w:numPr>
        <w:tabs>
          <w:tab w:pos="311" w:val="left" w:leader="none"/>
        </w:tabs>
        <w:spacing w:line="360" w:lineRule="auto" w:before="145" w:after="0"/>
        <w:ind w:left="102" w:right="126" w:firstLine="0"/>
        <w:jc w:val="both"/>
        <w:rPr>
          <w:sz w:val="24"/>
        </w:rPr>
      </w:pPr>
      <w:r>
        <w:rPr>
          <w:sz w:val="24"/>
        </w:rPr>
        <w:t>Que los profesionales de la información pueden manejar las colecciones de revistas, rastrear las tendencias bibliométricas y estudiar los patrones de</w:t>
      </w:r>
      <w:r>
        <w:rPr>
          <w:spacing w:val="-21"/>
          <w:sz w:val="24"/>
        </w:rPr>
        <w:t> </w:t>
      </w:r>
      <w:r>
        <w:rPr>
          <w:sz w:val="24"/>
        </w:rPr>
        <w:t>citación.</w:t>
      </w:r>
    </w:p>
    <w:p>
      <w:pPr>
        <w:pStyle w:val="ListParagraph"/>
        <w:numPr>
          <w:ilvl w:val="0"/>
          <w:numId w:val="14"/>
        </w:numPr>
        <w:tabs>
          <w:tab w:pos="285" w:val="left" w:leader="none"/>
        </w:tabs>
        <w:spacing w:line="360" w:lineRule="auto" w:before="5" w:after="0"/>
        <w:ind w:left="102" w:right="123" w:firstLine="0"/>
        <w:jc w:val="both"/>
        <w:rPr>
          <w:sz w:val="24"/>
        </w:rPr>
      </w:pPr>
      <w:r>
        <w:rPr>
          <w:sz w:val="24"/>
        </w:rPr>
        <w:t>A las editoras les permite determinar la influencia de revistas en el mercado y revisar las decisiones</w:t>
      </w:r>
      <w:r>
        <w:rPr>
          <w:spacing w:val="-8"/>
          <w:sz w:val="24"/>
        </w:rPr>
        <w:t> </w:t>
      </w:r>
      <w:r>
        <w:rPr>
          <w:sz w:val="24"/>
        </w:rPr>
        <w:t>editoriales.</w:t>
      </w:r>
    </w:p>
    <w:p>
      <w:pPr>
        <w:pStyle w:val="ListParagraph"/>
        <w:numPr>
          <w:ilvl w:val="0"/>
          <w:numId w:val="14"/>
        </w:numPr>
        <w:tabs>
          <w:tab w:pos="294" w:val="left" w:leader="none"/>
        </w:tabs>
        <w:spacing w:line="360" w:lineRule="auto" w:before="5" w:after="0"/>
        <w:ind w:left="102" w:right="117" w:firstLine="0"/>
        <w:jc w:val="both"/>
        <w:rPr>
          <w:sz w:val="24"/>
        </w:rPr>
      </w:pPr>
      <w:r>
        <w:rPr>
          <w:sz w:val="24"/>
        </w:rPr>
        <w:t>Los autores pueden identificar las revistas de mayor influencia para decidir la publicación de artículos y confirmar el status de las revistas donde hayan publicado.</w:t>
      </w:r>
    </w:p>
    <w:p>
      <w:pPr>
        <w:spacing w:after="0" w:line="360" w:lineRule="auto"/>
        <w:jc w:val="both"/>
        <w:rPr>
          <w:sz w:val="24"/>
        </w:rPr>
        <w:sectPr>
          <w:pgSz w:w="12240" w:h="15840"/>
          <w:pgMar w:header="0" w:footer="629" w:top="1360" w:bottom="880" w:left="1600" w:right="1580"/>
        </w:sectPr>
      </w:pPr>
    </w:p>
    <w:p>
      <w:pPr>
        <w:pStyle w:val="ListParagraph"/>
        <w:numPr>
          <w:ilvl w:val="0"/>
          <w:numId w:val="14"/>
        </w:numPr>
        <w:tabs>
          <w:tab w:pos="297" w:val="left" w:leader="none"/>
        </w:tabs>
        <w:spacing w:line="360" w:lineRule="auto" w:before="54" w:after="0"/>
        <w:ind w:left="102" w:right="117" w:firstLine="0"/>
        <w:jc w:val="left"/>
        <w:rPr>
          <w:sz w:val="24"/>
        </w:rPr>
      </w:pPr>
      <w:r>
        <w:rPr>
          <w:sz w:val="24"/>
        </w:rPr>
        <w:t>Que profesores y estudiantes pueden encontrar la información actualizada en sus áreas de especialización (Thomson:</w:t>
      </w:r>
      <w:r>
        <w:rPr>
          <w:spacing w:val="-12"/>
          <w:sz w:val="24"/>
        </w:rPr>
        <w:t> </w:t>
      </w:r>
      <w:r>
        <w:rPr>
          <w:sz w:val="24"/>
        </w:rPr>
        <w:t>2005,4).</w:t>
      </w:r>
    </w:p>
    <w:p>
      <w:pPr>
        <w:pStyle w:val="BodyText"/>
      </w:pPr>
    </w:p>
    <w:p>
      <w:pPr>
        <w:pStyle w:val="BodyText"/>
        <w:spacing w:line="360" w:lineRule="auto" w:before="139"/>
        <w:ind w:left="102" w:right="116"/>
        <w:jc w:val="both"/>
      </w:pPr>
      <w:r>
        <w:rPr/>
        <w:t>Un producto importante de </w:t>
      </w:r>
      <w:r>
        <w:rPr>
          <w:i/>
        </w:rPr>
        <w:t>Web of Science </w:t>
      </w:r>
      <w:r>
        <w:rPr/>
        <w:t>(</w:t>
      </w:r>
      <w:r>
        <w:rPr>
          <w:i/>
        </w:rPr>
        <w:t>ISI) es e</w:t>
      </w:r>
      <w:r>
        <w:rPr/>
        <w:t>l Factor de Impacto que mide la frecuencia con la cual ha sido citado el “artículo promedio” de una revista en un año en particular. El factor de impacto </w:t>
      </w:r>
      <w:r>
        <w:rPr>
          <w:i/>
        </w:rPr>
        <w:t>JCR </w:t>
      </w:r>
      <w:r>
        <w:rPr/>
        <w:t>se calcula dividiendo el número de citaciones actuales a </w:t>
      </w:r>
      <w:r>
        <w:rPr>
          <w:i/>
        </w:rPr>
        <w:t>ítems </w:t>
      </w:r>
      <w:r>
        <w:rPr/>
        <w:t>publicados en los dos años anteriores, por el número total de artículos y revisiones publicadas en dicho periodo (Thomson: 2005,10).</w:t>
      </w:r>
    </w:p>
    <w:p>
      <w:pPr>
        <w:pStyle w:val="BodyText"/>
        <w:spacing w:before="3"/>
        <w:ind w:left="102"/>
        <w:jc w:val="both"/>
      </w:pPr>
      <w:r>
        <w:rPr/>
        <w:t>Ejemplo:</w:t>
      </w:r>
    </w:p>
    <w:p>
      <w:pPr>
        <w:pStyle w:val="BodyText"/>
        <w:spacing w:line="820" w:lineRule="atLeast" w:before="8"/>
        <w:ind w:left="102" w:right="3687"/>
      </w:pPr>
      <w:r>
        <w:rPr/>
        <w:t>Citas en 2003 para artículos publicados en: 2002= 34</w:t>
      </w:r>
    </w:p>
    <w:p>
      <w:pPr>
        <w:pStyle w:val="BodyText"/>
        <w:spacing w:before="139"/>
        <w:ind w:left="102"/>
        <w:jc w:val="both"/>
      </w:pPr>
      <w:r>
        <w:rPr/>
        <w:t>2001= 56</w:t>
      </w:r>
    </w:p>
    <w:p>
      <w:pPr>
        <w:pStyle w:val="BodyText"/>
        <w:spacing w:before="137"/>
        <w:ind w:left="102"/>
        <w:jc w:val="both"/>
      </w:pPr>
      <w:r>
        <w:rPr/>
        <w:t>Total citas= 90</w:t>
      </w:r>
    </w:p>
    <w:p>
      <w:pPr>
        <w:pStyle w:val="BodyText"/>
        <w:spacing w:line="820" w:lineRule="atLeast" w:before="8"/>
        <w:ind w:left="102" w:right="5162"/>
      </w:pPr>
      <w:r>
        <w:rPr/>
        <w:t>Número de artículos publicados en: 2002= 27</w:t>
      </w:r>
    </w:p>
    <w:p>
      <w:pPr>
        <w:pStyle w:val="BodyText"/>
        <w:spacing w:before="139"/>
        <w:ind w:left="102"/>
        <w:jc w:val="both"/>
      </w:pPr>
      <w:r>
        <w:rPr/>
        <w:t>2001= 29</w:t>
      </w:r>
    </w:p>
    <w:p>
      <w:pPr>
        <w:pStyle w:val="BodyText"/>
        <w:spacing w:before="137"/>
        <w:ind w:left="102"/>
        <w:jc w:val="both"/>
      </w:pPr>
      <w:r>
        <w:rPr/>
        <w:t>Total artículos= 56</w:t>
      </w:r>
    </w:p>
    <w:p>
      <w:pPr>
        <w:pStyle w:val="BodyText"/>
      </w:pPr>
    </w:p>
    <w:p>
      <w:pPr>
        <w:pStyle w:val="BodyText"/>
      </w:pPr>
    </w:p>
    <w:p>
      <w:pPr>
        <w:pStyle w:val="BodyText"/>
        <w:spacing w:line="362" w:lineRule="auto"/>
        <w:ind w:left="102"/>
      </w:pPr>
      <w:r>
        <w:rPr/>
        <w:t>Cálculo del Factor de Impacto: Citas de los artículos recientes/número de artículos recientes 90/56 = 1.607</w:t>
      </w:r>
    </w:p>
    <w:p>
      <w:pPr>
        <w:pStyle w:val="BodyText"/>
      </w:pPr>
    </w:p>
    <w:p>
      <w:pPr>
        <w:pStyle w:val="BodyText"/>
        <w:spacing w:line="360" w:lineRule="auto" w:before="139"/>
        <w:ind w:left="102" w:right="115"/>
        <w:jc w:val="both"/>
      </w:pPr>
      <w:r>
        <w:rPr/>
        <w:t>Si bien la generación de indicadores y visibilidad de las revistas han sido algunos de los productos más destacados por parte de las agencias como </w:t>
      </w:r>
      <w:r>
        <w:rPr>
          <w:i/>
        </w:rPr>
        <w:t>ISI-Thomson </w:t>
      </w:r>
      <w:r>
        <w:rPr>
          <w:i/>
        </w:rPr>
        <w:t>Reuters </w:t>
      </w:r>
      <w:r>
        <w:rPr/>
        <w:t>y </w:t>
      </w:r>
      <w:r>
        <w:rPr>
          <w:i/>
        </w:rPr>
        <w:t>Scopus</w:t>
      </w:r>
      <w:r>
        <w:rPr/>
        <w:t>, no han faltado algunas críticas que las refieren como un régimen casi monopolístico de las revistas donde “publicar es un </w:t>
      </w:r>
      <w:r>
        <w:rPr>
          <w:i/>
        </w:rPr>
        <w:t>bonus  </w:t>
      </w:r>
      <w:r>
        <w:rPr/>
        <w:t>profesional que no se justifica ni por la calidad ni por la utilidad del conocimiento obtenido” (Andoni y Echeverría, 2014: 23); publicar los resultados de</w:t>
      </w:r>
      <w:r>
        <w:rPr>
          <w:spacing w:val="40"/>
        </w:rPr>
        <w:t> </w:t>
      </w:r>
      <w:r>
        <w:rPr/>
        <w:t>investigación</w:t>
      </w:r>
    </w:p>
    <w:p>
      <w:pPr>
        <w:spacing w:after="0" w:line="360" w:lineRule="auto"/>
        <w:jc w:val="both"/>
        <w:sectPr>
          <w:pgSz w:w="12240" w:h="15840"/>
          <w:pgMar w:header="0" w:footer="629" w:top="1360" w:bottom="880" w:left="1600" w:right="1580"/>
        </w:sectPr>
      </w:pPr>
    </w:p>
    <w:p>
      <w:pPr>
        <w:pStyle w:val="BodyText"/>
        <w:spacing w:line="360" w:lineRule="auto" w:before="54"/>
        <w:ind w:left="102" w:right="119"/>
        <w:jc w:val="both"/>
      </w:pPr>
      <w:r>
        <w:rPr/>
        <w:t>en las revistas de la corriente principal para que estos sirvan más adecuadamente a la ciencia y a la sociedad no es posible por las limitaciones que las bases de datos imponen para su acceso.</w:t>
      </w:r>
    </w:p>
    <w:p>
      <w:pPr>
        <w:pStyle w:val="BodyText"/>
      </w:pPr>
    </w:p>
    <w:p>
      <w:pPr>
        <w:pStyle w:val="BodyText"/>
        <w:spacing w:line="360" w:lineRule="auto" w:before="142"/>
        <w:ind w:left="102" w:right="114"/>
        <w:jc w:val="both"/>
      </w:pPr>
      <w:r>
        <w:rPr/>
        <w:t>Otro argumento para los científicos es que las revistas están dirigiendo la ciencia, “[éstas] se comportan con la ciencia como si fuera una moda y favorecen un tipo de investigación que pueda tener atractivo para legisladores y público” (Andoni y Echeverría, 2014: 30). Sin embargo, las propias tecnologías de la información y  las comunicaciones han abierto la posibilidad de un </w:t>
      </w:r>
      <w:r>
        <w:rPr>
          <w:i/>
        </w:rPr>
        <w:t>acceso libre </w:t>
      </w:r>
      <w:r>
        <w:rPr/>
        <w:t>e, incluso, de una producción ciudadana y conjunta del</w:t>
      </w:r>
      <w:r>
        <w:rPr>
          <w:spacing w:val="-19"/>
        </w:rPr>
        <w:t> </w:t>
      </w:r>
      <w:r>
        <w:rPr/>
        <w:t>conocimiento</w:t>
      </w:r>
    </w:p>
    <w:p>
      <w:pPr>
        <w:pStyle w:val="BodyText"/>
      </w:pPr>
    </w:p>
    <w:p>
      <w:pPr>
        <w:pStyle w:val="BodyText"/>
        <w:spacing w:before="139"/>
        <w:ind w:left="1611" w:right="2005"/>
        <w:jc w:val="both"/>
      </w:pPr>
      <w:r>
        <w:rPr/>
        <w:t>“Se han planteado propuestas de reforma de la política científica de muy diferente naturaleza. La “cultura open” se entiende como “ciencia ciudadana”, “ciencia abierta”, “ciencia colaborativa”; o siguiendo la estela de la moda 2.0. “ciencia 2.0”. Cada una de estas etiquetas tiene sus matices pero quizás la más genérica sea la de ciencia 2.0 que se puede definir simplemente  como “mostrar el trabajo que hace uno en ciencia”. Dos de sus características principales  serían éstas: la publicación se realiza en estándares abiertos y además ofrece no solo resultados, sino también los datos que conducen a éstos con la finalidad de que puedan ser reutilizados por otros investigadores o incluso simples aficionados o amateurs (Lafuente, 2007 citado en Echeverría, 2014:33).</w:t>
      </w:r>
    </w:p>
    <w:p>
      <w:pPr>
        <w:pStyle w:val="BodyText"/>
      </w:pPr>
    </w:p>
    <w:p>
      <w:pPr>
        <w:pStyle w:val="BodyText"/>
        <w:spacing w:line="360" w:lineRule="auto" w:before="140"/>
        <w:ind w:left="102" w:right="118"/>
        <w:jc w:val="both"/>
      </w:pPr>
      <w:r>
        <w:rPr/>
        <w:t>Como conclusión de capítulo podemos señalar que las revistas como medios de difusión y divulgación del conocimiento son piedra angular dentro de las prácticas científicas, sin embargo no podemos perder de vista que las prácticas científicas también corresponden a la aceptación de temas y esquemas de análisis que los investigadores realizan en el marco de evaluaciones. En un contexto donde la difusión de resultados a través de la publicación de artículos genera un beneficio en los procesos de evaluación es sin duda un factor a ser considerado.</w:t>
      </w:r>
    </w:p>
    <w:p>
      <w:pPr>
        <w:spacing w:after="0" w:line="360" w:lineRule="auto"/>
        <w:jc w:val="both"/>
        <w:sectPr>
          <w:pgSz w:w="12240" w:h="15840"/>
          <w:pgMar w:header="0" w:footer="629" w:top="1360" w:bottom="8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6"/>
        </w:rPr>
      </w:pPr>
    </w:p>
    <w:p>
      <w:pPr>
        <w:pStyle w:val="Heading1"/>
        <w:spacing w:before="69"/>
        <w:ind w:left="0" w:right="122"/>
        <w:jc w:val="right"/>
      </w:pPr>
      <w:r>
        <w:rPr/>
        <w:t>CAPÍTULO V</w:t>
      </w:r>
    </w:p>
    <w:p>
      <w:pPr>
        <w:spacing w:before="139"/>
        <w:ind w:left="0" w:right="118" w:firstLine="0"/>
        <w:jc w:val="right"/>
        <w:rPr>
          <w:b/>
          <w:sz w:val="24"/>
        </w:rPr>
      </w:pPr>
      <w:r>
        <w:rPr>
          <w:b/>
          <w:sz w:val="24"/>
        </w:rPr>
        <w:t>Eure como caso de Estudio</w:t>
      </w:r>
    </w:p>
    <w:p>
      <w:pPr>
        <w:spacing w:after="0"/>
        <w:jc w:val="right"/>
        <w:rPr>
          <w:sz w:val="24"/>
        </w:rPr>
        <w:sectPr>
          <w:pgSz w:w="12240" w:h="15840"/>
          <w:pgMar w:header="0" w:footer="629" w:top="1500" w:bottom="880" w:left="1720" w:right="1580"/>
        </w:sectPr>
      </w:pPr>
    </w:p>
    <w:p>
      <w:pPr>
        <w:pStyle w:val="BodyText"/>
        <w:spacing w:line="360" w:lineRule="auto" w:before="54"/>
        <w:ind w:left="122" w:right="117"/>
        <w:jc w:val="both"/>
      </w:pPr>
      <w:r>
        <w:rPr/>
        <w:t>Tal como se mencionó en la introducción de este trabajo para el estudio de la Investigación Urbana Latinoamericana se toma como caso de estudio a la revista Eure, en principio porque es una revista de estudios urbanos y regionales que da apertura a varias disciplinas e impulsa estudios interdisciplinarios desde 1970.</w:t>
      </w:r>
    </w:p>
    <w:p>
      <w:pPr>
        <w:pStyle w:val="BodyText"/>
      </w:pPr>
    </w:p>
    <w:p>
      <w:pPr>
        <w:pStyle w:val="BodyText"/>
        <w:spacing w:line="360" w:lineRule="auto" w:before="139"/>
        <w:ind w:left="122" w:right="115"/>
        <w:jc w:val="both"/>
      </w:pPr>
      <w:r>
        <w:rPr/>
        <w:t>Desde 2001 EURE forma parte del </w:t>
      </w:r>
      <w:r>
        <w:rPr>
          <w:i/>
        </w:rPr>
        <w:t>Web of Science </w:t>
      </w:r>
      <w:r>
        <w:rPr/>
        <w:t>(WoS) del </w:t>
      </w:r>
      <w:r>
        <w:rPr>
          <w:i/>
        </w:rPr>
        <w:t>Institute for </w:t>
      </w:r>
      <w:r>
        <w:rPr>
          <w:i/>
        </w:rPr>
        <w:t>Scientific Information </w:t>
      </w:r>
      <w:r>
        <w:rPr/>
        <w:t>(ISI) y está ubicada en el área de </w:t>
      </w:r>
      <w:r>
        <w:rPr>
          <w:i/>
        </w:rPr>
        <w:t>urban studies,  </w:t>
      </w:r>
      <w:r>
        <w:rPr/>
        <w:t>cabe resaltar que es la única revista latinoamericana incorporada en esta base. En su página oficial de Eure (www.eure.cl) se menciona que desde 2008 forma parte de Scopus y desde 1997 está incorporada en ScIELO que en Chile es administrado por el CONICYT. Para el análisis de Eure partimos del supuesto de que en ella se publican artículos provenientes de disciplinas a fines a la investigación</w:t>
      </w:r>
      <w:r>
        <w:rPr>
          <w:spacing w:val="-21"/>
        </w:rPr>
        <w:t> </w:t>
      </w:r>
      <w:r>
        <w:rPr/>
        <w:t>urbana.</w:t>
      </w:r>
    </w:p>
    <w:p>
      <w:pPr>
        <w:pStyle w:val="BodyText"/>
      </w:pPr>
    </w:p>
    <w:p>
      <w:pPr>
        <w:pStyle w:val="BodyText"/>
        <w:spacing w:line="360" w:lineRule="auto" w:before="142"/>
        <w:ind w:left="122" w:right="118"/>
        <w:jc w:val="both"/>
      </w:pPr>
      <w:r>
        <w:rPr/>
        <w:t>La metodología para el análisis de Eure se describe en la introducción y su  objetivo es identificar los principales temas abordados en la IUL para posteriormente identificar sus aspectos metodológicos y las prácticas científicas propias de la investigación urbana latinoamericana, por lo que hacemos un vínculo entre el estudio cienciométrico y el</w:t>
      </w:r>
      <w:r>
        <w:rPr>
          <w:spacing w:val="-13"/>
        </w:rPr>
        <w:t> </w:t>
      </w:r>
      <w:r>
        <w:rPr/>
        <w:t>metateórico.</w:t>
      </w:r>
    </w:p>
    <w:p>
      <w:pPr>
        <w:pStyle w:val="BodyText"/>
      </w:pPr>
    </w:p>
    <w:p>
      <w:pPr>
        <w:pStyle w:val="BodyText"/>
        <w:spacing w:line="360" w:lineRule="auto" w:before="142"/>
        <w:ind w:left="122" w:right="115"/>
        <w:jc w:val="both"/>
      </w:pPr>
      <w:r>
        <w:rPr/>
        <w:t>Para identificar los principales temas dentro de Eure se obtuvieron se ingresó al </w:t>
      </w:r>
      <w:r>
        <w:rPr>
          <w:i/>
        </w:rPr>
        <w:t>Journal of Citation Reports </w:t>
      </w:r>
      <w:r>
        <w:rPr/>
        <w:t>(JCR) para obtener las citas exclusivamente de los artículos científicos (por lo que no se consideran editoriales y reseñas tanto de libros como de artículos en proceso) y posteriormente se seleccionaron los artículos más citados (aproximadamente el 20% del total de artículos con citas) que concentran entre el 80% y 85% del total de citas de la</w:t>
      </w:r>
      <w:r>
        <w:rPr>
          <w:spacing w:val="-19"/>
        </w:rPr>
        <w:t> </w:t>
      </w:r>
      <w:r>
        <w:rPr/>
        <w:t>revista.</w:t>
      </w:r>
    </w:p>
    <w:p>
      <w:pPr>
        <w:pStyle w:val="BodyText"/>
        <w:spacing w:before="1"/>
        <w:rPr>
          <w:sz w:val="33"/>
        </w:rPr>
      </w:pPr>
    </w:p>
    <w:p>
      <w:pPr>
        <w:pStyle w:val="BodyText"/>
        <w:spacing w:line="360" w:lineRule="auto"/>
        <w:ind w:left="122" w:right="115"/>
        <w:jc w:val="both"/>
      </w:pPr>
      <w:r>
        <w:rPr/>
        <w:t>De esta forma se observa a partir de la página </w:t>
      </w:r>
      <w:r>
        <w:rPr>
          <w:i/>
        </w:rPr>
        <w:t>wokinfo</w:t>
      </w:r>
      <w:r>
        <w:rPr>
          <w:position w:val="11"/>
          <w:sz w:val="16"/>
        </w:rPr>
        <w:t>15 </w:t>
      </w:r>
      <w:r>
        <w:rPr/>
        <w:t>que en 2013 había 295 revistas latinoamericanas que corresponden a 12 países, estas revistas están distribuidas de la siguiente forma: Brasil 139, Chile 49, México 43, Colombia 23, Argentina 21, Venezuela 14, Uruguay, Perú, Cuba, Ecuador, Jamaica y Costa Rica</w:t>
      </w:r>
    </w:p>
    <w:p>
      <w:pPr>
        <w:pStyle w:val="BodyText"/>
        <w:spacing w:before="7"/>
        <w:rPr>
          <w:sz w:val="17"/>
        </w:rPr>
      </w:pPr>
      <w:r>
        <w:rPr/>
        <w:pict>
          <v:line style="position:absolute;mso-position-horizontal-relative:page;mso-position-vertical-relative:paragraph;z-index:2128;mso-wrap-distance-left:0;mso-wrap-distance-right:0" from="85.103996pt,12.409913pt" to="229.123996pt,12.409913pt" stroked="true" strokeweight=".599980pt" strokecolor="#000000">
            <w10:wrap type="topAndBottom"/>
          </v:line>
        </w:pict>
      </w:r>
    </w:p>
    <w:p>
      <w:pPr>
        <w:spacing w:before="44"/>
        <w:ind w:left="122" w:right="0" w:firstLine="0"/>
        <w:jc w:val="left"/>
        <w:rPr>
          <w:sz w:val="20"/>
        </w:rPr>
      </w:pPr>
      <w:r>
        <w:rPr>
          <w:position w:val="10"/>
          <w:sz w:val="13"/>
        </w:rPr>
        <w:t>15 </w:t>
      </w:r>
      <w:hyperlink r:id="rId27">
        <w:r>
          <w:rPr>
            <w:color w:val="0000FF"/>
            <w:sz w:val="20"/>
            <w:u w:val="single" w:color="0000FF"/>
          </w:rPr>
          <w:t>http://wokinfo.com/products_tools/multidisciplinary/webofscience/contentexp/la/#backtotop</w:t>
        </w:r>
      </w:hyperlink>
    </w:p>
    <w:p>
      <w:pPr>
        <w:spacing w:after="0"/>
        <w:jc w:val="left"/>
        <w:rPr>
          <w:sz w:val="20"/>
        </w:rPr>
        <w:sectPr>
          <w:pgSz w:w="12240" w:h="15840"/>
          <w:pgMar w:header="0" w:footer="629" w:top="1360" w:bottom="880" w:left="1580" w:right="1580"/>
        </w:sectPr>
      </w:pPr>
    </w:p>
    <w:p>
      <w:pPr>
        <w:pStyle w:val="BodyText"/>
        <w:spacing w:line="360" w:lineRule="auto" w:before="54"/>
        <w:ind w:left="122" w:right="119"/>
        <w:jc w:val="both"/>
      </w:pPr>
      <w:r>
        <w:rPr/>
        <w:t>tienen una revista. Estos datos nos dan un contexto por demás interesante sobre la dinámica y el comportamiento de la generación de conocimiento de Latinoamérica, primero que aproximadamente el 80% del total de revistas se concentra en tres países Brasil, Chile y México; y segundo, la participación que tiene Brasil dentro de la divulgación del conocimiento en el contexto latinoamericano.</w:t>
      </w:r>
    </w:p>
    <w:p>
      <w:pPr>
        <w:pStyle w:val="BodyText"/>
      </w:pPr>
    </w:p>
    <w:p>
      <w:pPr>
        <w:pStyle w:val="BodyText"/>
        <w:spacing w:line="350" w:lineRule="auto" w:before="142"/>
        <w:ind w:left="122" w:right="116"/>
        <w:jc w:val="both"/>
      </w:pPr>
      <w:r>
        <w:rPr/>
        <w:t>En el caso de Chile, de las 49 revistas registradas, 18 pertenecen a la ciencia natural</w:t>
      </w:r>
      <w:r>
        <w:rPr>
          <w:position w:val="11"/>
          <w:sz w:val="16"/>
        </w:rPr>
        <w:t>16 </w:t>
      </w:r>
      <w:r>
        <w:rPr/>
        <w:t>mientras que 31 son del área de la ciencia social y humanidades</w:t>
      </w:r>
      <w:r>
        <w:rPr>
          <w:position w:val="11"/>
          <w:sz w:val="16"/>
        </w:rPr>
        <w:t>17</w:t>
      </w:r>
      <w:r>
        <w:rPr/>
        <w:t>; Eure es una de las revistas de la categoría </w:t>
      </w:r>
      <w:r>
        <w:rPr>
          <w:i/>
        </w:rPr>
        <w:t>urban studies </w:t>
      </w:r>
      <w:r>
        <w:rPr/>
        <w:t>dentro de </w:t>
      </w:r>
      <w:r>
        <w:rPr>
          <w:i/>
        </w:rPr>
        <w:t>ISI</w:t>
      </w:r>
      <w:r>
        <w:rPr/>
        <w:t>, en este sistema están registrados los fascículos desde 2001 hasta la fecha.</w:t>
      </w:r>
    </w:p>
    <w:p>
      <w:pPr>
        <w:pStyle w:val="BodyText"/>
      </w:pPr>
    </w:p>
    <w:p>
      <w:pPr>
        <w:pStyle w:val="BodyText"/>
        <w:spacing w:line="360" w:lineRule="auto" w:before="150"/>
        <w:ind w:left="122" w:right="116"/>
        <w:jc w:val="both"/>
      </w:pPr>
      <w:r>
        <w:rPr/>
        <w:t>En 2015 el área de </w:t>
      </w:r>
      <w:r>
        <w:rPr>
          <w:i/>
        </w:rPr>
        <w:t>urban estudies </w:t>
      </w:r>
      <w:r>
        <w:rPr/>
        <w:t>estuvo integrada por 38 revistas, de las cuales según su Factor de Impacto (FI) Eure está en el lugar 37 con un FI de .268 mientras que la revista con mayor FI es </w:t>
      </w:r>
      <w:r>
        <w:rPr>
          <w:i/>
        </w:rPr>
        <w:t>Landscape and urban Plannig </w:t>
      </w:r>
      <w:r>
        <w:rPr/>
        <w:t>con un valor de 3.037, es decir que para los investigadores que publiquen en esta revista tendrán mayor visibilidad y sus artículos podrán tener mayor probabilidad de que sean citados. Cabe destacar que Eure es la única revista latinoamericana en esta área y por tal motivo sólo se considera a esta en el presente estudio. En la tabla siguiente podemos observar el total de revistas del área y su factor de impacto.</w:t>
      </w:r>
    </w:p>
    <w:p>
      <w:pPr>
        <w:pStyle w:val="BodyText"/>
        <w:rPr>
          <w:sz w:val="20"/>
        </w:rPr>
      </w:pPr>
    </w:p>
    <w:p>
      <w:pPr>
        <w:pStyle w:val="BodyText"/>
        <w:spacing w:before="5"/>
        <w:rPr>
          <w:sz w:val="17"/>
        </w:rPr>
      </w:pPr>
      <w:r>
        <w:rPr/>
        <w:pict>
          <v:line style="position:absolute;mso-position-horizontal-relative:page;mso-position-vertical-relative:paragraph;z-index:2152;mso-wrap-distance-left:0;mso-wrap-distance-right:0" from="85.103996pt,12.314863pt" to="229.123996pt,12.314863pt" stroked="true" strokeweight=".600010pt" strokecolor="#000000">
            <w10:wrap type="topAndBottom"/>
          </v:line>
        </w:pict>
      </w:r>
    </w:p>
    <w:p>
      <w:pPr>
        <w:spacing w:before="44"/>
        <w:ind w:left="122" w:right="0" w:firstLine="0"/>
        <w:jc w:val="both"/>
        <w:rPr>
          <w:sz w:val="20"/>
        </w:rPr>
      </w:pPr>
      <w:r>
        <w:rPr>
          <w:position w:val="10"/>
          <w:sz w:val="13"/>
        </w:rPr>
        <w:t>16  </w:t>
      </w:r>
      <w:r>
        <w:rPr>
          <w:sz w:val="20"/>
        </w:rPr>
        <w:t>1) Acta Bioethica; 2) Boletín Latinoamericano y del Caribe de Plantas Medicinales y  Aromáticas;</w:t>
      </w:r>
    </w:p>
    <w:p>
      <w:pPr>
        <w:pStyle w:val="ListParagraph"/>
        <w:numPr>
          <w:ilvl w:val="0"/>
          <w:numId w:val="11"/>
        </w:numPr>
        <w:tabs>
          <w:tab w:pos="362" w:val="left" w:leader="none"/>
        </w:tabs>
        <w:spacing w:line="240" w:lineRule="auto" w:before="0" w:after="0"/>
        <w:ind w:left="122" w:right="114" w:firstLine="0"/>
        <w:jc w:val="both"/>
        <w:rPr>
          <w:sz w:val="20"/>
        </w:rPr>
      </w:pPr>
      <w:r>
        <w:rPr>
          <w:sz w:val="20"/>
        </w:rPr>
        <w:t>Bosque; 4) Electronic Journal of Biotechnology; 5) Gayana; 6) Gayana Botánica; 7) International Journal of Morphology; 8) Journal of Soil Science and Plant Nutrition; 9) Journal of the Chilean Chemical Society; 10) Latin American Journal of Aquatic Research; 11) Maderas-Ciencia y Tecnología; 12) Revista Chilena de Cirugía; 13) Revista Chilena de Infectología; 14) Revista de Biología Marina y Oceanografía; 15) Revista Médica de Chile; 16) Andean Geology; 17) Archivos de Medicina Veterinaria; y, 18) Biological</w:t>
      </w:r>
      <w:r>
        <w:rPr>
          <w:spacing w:val="-15"/>
          <w:sz w:val="20"/>
        </w:rPr>
        <w:t> </w:t>
      </w:r>
      <w:r>
        <w:rPr>
          <w:sz w:val="20"/>
        </w:rPr>
        <w:t>research.</w:t>
      </w:r>
    </w:p>
    <w:p>
      <w:pPr>
        <w:spacing w:line="229" w:lineRule="exact" w:before="0"/>
        <w:ind w:left="182" w:right="0" w:firstLine="0"/>
        <w:jc w:val="both"/>
        <w:rPr>
          <w:sz w:val="20"/>
        </w:rPr>
      </w:pPr>
      <w:r>
        <w:rPr>
          <w:position w:val="10"/>
          <w:sz w:val="13"/>
        </w:rPr>
        <w:t>17  </w:t>
      </w:r>
      <w:r>
        <w:rPr>
          <w:sz w:val="20"/>
        </w:rPr>
        <w:t>1) Chilean Journal of Agricultural Research; 2) Ciencia e Investigación Agraria; 3) Cepal Review;</w:t>
      </w:r>
    </w:p>
    <w:p>
      <w:pPr>
        <w:pStyle w:val="ListParagraph"/>
        <w:numPr>
          <w:ilvl w:val="0"/>
          <w:numId w:val="11"/>
        </w:numPr>
        <w:tabs>
          <w:tab w:pos="434" w:val="left" w:leader="none"/>
        </w:tabs>
        <w:spacing w:line="240" w:lineRule="auto" w:before="0" w:after="0"/>
        <w:ind w:left="182" w:right="120" w:firstLine="0"/>
        <w:jc w:val="both"/>
        <w:rPr>
          <w:sz w:val="20"/>
        </w:rPr>
      </w:pPr>
      <w:r>
        <w:rPr>
          <w:sz w:val="20"/>
        </w:rPr>
        <w:t>Chungara-Revista de Antropologia Chilena; 5) Economia Chilena; 6) Estudios Atacamenos; 7) Estudios  Constitucionales; 8)  Acta Literaria;  9)  Estudios  de Economía; 10)  Estudios</w:t>
      </w:r>
      <w:r>
        <w:rPr>
          <w:spacing w:val="-25"/>
          <w:sz w:val="20"/>
        </w:rPr>
        <w:t> </w:t>
      </w:r>
      <w:r>
        <w:rPr>
          <w:sz w:val="20"/>
        </w:rPr>
        <w:t>Filológicos;</w:t>
      </w:r>
    </w:p>
    <w:p>
      <w:pPr>
        <w:pStyle w:val="ListParagraph"/>
        <w:numPr>
          <w:ilvl w:val="0"/>
          <w:numId w:val="15"/>
        </w:numPr>
        <w:tabs>
          <w:tab w:pos="564" w:val="left" w:leader="none"/>
        </w:tabs>
        <w:spacing w:line="240" w:lineRule="auto" w:before="0" w:after="0"/>
        <w:ind w:left="182" w:right="117" w:firstLine="0"/>
        <w:jc w:val="both"/>
        <w:rPr>
          <w:sz w:val="20"/>
        </w:rPr>
      </w:pPr>
      <w:r>
        <w:rPr>
          <w:sz w:val="20"/>
        </w:rPr>
        <w:t>EURE-Revista Latinoamericana de Estudios Urbano Regionales; 12) Historia-Santiago; 13) Alpha-Revista de Artes Letras y Filosofía; 14) Magallania; 15) Onomazein; 16) Revista 180; 17) Revista Chilena de Derecho; 18) Revista de Ciencia Política; 19) Revista de Geografía Norte Grande; 20) Revista de la Construcción; 21) Anales de Literatura Chilena; 22) Revista Musical Chilena; 23) Revista Signos; 24) Revista Chilena de Historia Natural; 25) Revista Chilena de Literatura; 26) RLA-Revista de Linguística Teórica y Aplicada; 27) Taller de Letras; 28) Teología y Vida; 29) Terapia Psicológica; 30) ARQ; y 31)</w:t>
      </w:r>
      <w:r>
        <w:rPr>
          <w:spacing w:val="-14"/>
          <w:sz w:val="20"/>
        </w:rPr>
        <w:t> </w:t>
      </w:r>
      <w:r>
        <w:rPr>
          <w:sz w:val="20"/>
        </w:rPr>
        <w:t>Atenea.</w:t>
      </w:r>
    </w:p>
    <w:p>
      <w:pPr>
        <w:spacing w:after="0" w:line="240" w:lineRule="auto"/>
        <w:jc w:val="both"/>
        <w:rPr>
          <w:sz w:val="20"/>
        </w:rPr>
        <w:sectPr>
          <w:pgSz w:w="12240" w:h="15840"/>
          <w:pgMar w:header="0" w:footer="629" w:top="1360" w:bottom="880" w:left="1580" w:right="1580"/>
        </w:sectPr>
      </w:pPr>
    </w:p>
    <w:p>
      <w:pPr>
        <w:pStyle w:val="Heading1"/>
        <w:spacing w:before="52"/>
        <w:ind w:left="2385" w:right="2385"/>
      </w:pPr>
      <w:r>
        <w:rPr/>
        <w:t>Cuadro 2</w:t>
      </w:r>
    </w:p>
    <w:p>
      <w:pPr>
        <w:spacing w:before="2"/>
        <w:ind w:left="2385" w:right="2385" w:firstLine="0"/>
        <w:jc w:val="center"/>
        <w:rPr>
          <w:b/>
          <w:sz w:val="24"/>
        </w:rPr>
      </w:pPr>
      <w:r>
        <w:rPr>
          <w:b/>
          <w:sz w:val="24"/>
        </w:rPr>
        <w:t>Revistas del área urban studies, WoS</w:t>
      </w:r>
    </w:p>
    <w:p>
      <w:pPr>
        <w:pStyle w:val="BodyText"/>
        <w:spacing w:before="3"/>
        <w:rPr>
          <w:b/>
          <w:sz w:val="12"/>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0"/>
        <w:gridCol w:w="6676"/>
        <w:gridCol w:w="991"/>
      </w:tblGrid>
      <w:tr>
        <w:trPr>
          <w:trHeight w:val="768" w:hRule="exact"/>
        </w:trPr>
        <w:tc>
          <w:tcPr>
            <w:tcW w:w="1140" w:type="dxa"/>
            <w:shd w:val="clear" w:color="auto" w:fill="D9D9D9"/>
          </w:tcPr>
          <w:p>
            <w:pPr>
              <w:pStyle w:val="TableParagraph"/>
              <w:spacing w:before="5"/>
              <w:rPr>
                <w:b/>
                <w:sz w:val="21"/>
              </w:rPr>
            </w:pPr>
          </w:p>
          <w:p>
            <w:pPr>
              <w:pStyle w:val="TableParagraph"/>
              <w:ind w:left="239" w:right="240"/>
              <w:jc w:val="center"/>
              <w:rPr>
                <w:b/>
                <w:sz w:val="22"/>
              </w:rPr>
            </w:pPr>
            <w:r>
              <w:rPr>
                <w:b/>
                <w:sz w:val="22"/>
              </w:rPr>
              <w:t>Lugar</w:t>
            </w:r>
          </w:p>
        </w:tc>
        <w:tc>
          <w:tcPr>
            <w:tcW w:w="6676" w:type="dxa"/>
            <w:shd w:val="clear" w:color="auto" w:fill="D9D9D9"/>
          </w:tcPr>
          <w:p>
            <w:pPr>
              <w:pStyle w:val="TableParagraph"/>
              <w:spacing w:before="5"/>
              <w:rPr>
                <w:b/>
                <w:sz w:val="21"/>
              </w:rPr>
            </w:pPr>
          </w:p>
          <w:p>
            <w:pPr>
              <w:pStyle w:val="TableParagraph"/>
              <w:ind w:left="2511" w:right="2512"/>
              <w:jc w:val="center"/>
              <w:rPr>
                <w:b/>
                <w:sz w:val="22"/>
              </w:rPr>
            </w:pPr>
            <w:r>
              <w:rPr>
                <w:b/>
                <w:sz w:val="22"/>
              </w:rPr>
              <w:t>Nombre revista</w:t>
            </w:r>
          </w:p>
        </w:tc>
        <w:tc>
          <w:tcPr>
            <w:tcW w:w="991" w:type="dxa"/>
            <w:shd w:val="clear" w:color="auto" w:fill="D9D9D9"/>
          </w:tcPr>
          <w:p>
            <w:pPr>
              <w:pStyle w:val="TableParagraph"/>
              <w:ind w:left="69" w:right="65" w:hanging="4"/>
              <w:jc w:val="center"/>
              <w:rPr>
                <w:b/>
                <w:sz w:val="22"/>
              </w:rPr>
            </w:pPr>
            <w:r>
              <w:rPr>
                <w:b/>
                <w:sz w:val="22"/>
              </w:rPr>
              <w:t>Factor de Impacto</w:t>
            </w:r>
          </w:p>
        </w:tc>
      </w:tr>
      <w:tr>
        <w:trPr>
          <w:trHeight w:val="310" w:hRule="exact"/>
        </w:trPr>
        <w:tc>
          <w:tcPr>
            <w:tcW w:w="1140" w:type="dxa"/>
          </w:tcPr>
          <w:p>
            <w:pPr>
              <w:pStyle w:val="TableParagraph"/>
              <w:spacing w:before="43"/>
              <w:jc w:val="center"/>
              <w:rPr>
                <w:b/>
                <w:sz w:val="22"/>
              </w:rPr>
            </w:pPr>
            <w:r>
              <w:rPr>
                <w:b/>
                <w:w w:val="100"/>
                <w:sz w:val="22"/>
              </w:rPr>
              <w:t>1</w:t>
            </w:r>
          </w:p>
        </w:tc>
        <w:tc>
          <w:tcPr>
            <w:tcW w:w="6676" w:type="dxa"/>
          </w:tcPr>
          <w:p>
            <w:pPr>
              <w:pStyle w:val="TableParagraph"/>
              <w:spacing w:before="21"/>
              <w:ind w:left="64" w:right="812"/>
              <w:rPr>
                <w:sz w:val="22"/>
              </w:rPr>
            </w:pPr>
            <w:r>
              <w:rPr>
                <w:sz w:val="22"/>
              </w:rPr>
              <w:t>LANDSCAPE AND URBAN PLANNING</w:t>
            </w:r>
          </w:p>
        </w:tc>
        <w:tc>
          <w:tcPr>
            <w:tcW w:w="991" w:type="dxa"/>
          </w:tcPr>
          <w:p>
            <w:pPr>
              <w:pStyle w:val="TableParagraph"/>
              <w:spacing w:before="45"/>
              <w:ind w:right="59"/>
              <w:jc w:val="right"/>
              <w:rPr>
                <w:sz w:val="22"/>
              </w:rPr>
            </w:pPr>
            <w:r>
              <w:rPr>
                <w:sz w:val="22"/>
              </w:rPr>
              <w:t>3.037</w:t>
            </w:r>
          </w:p>
        </w:tc>
      </w:tr>
      <w:tr>
        <w:trPr>
          <w:trHeight w:val="312" w:hRule="exact"/>
        </w:trPr>
        <w:tc>
          <w:tcPr>
            <w:tcW w:w="1140" w:type="dxa"/>
          </w:tcPr>
          <w:p>
            <w:pPr>
              <w:pStyle w:val="TableParagraph"/>
              <w:spacing w:before="43"/>
              <w:jc w:val="center"/>
              <w:rPr>
                <w:b/>
                <w:sz w:val="22"/>
              </w:rPr>
            </w:pPr>
            <w:r>
              <w:rPr>
                <w:b/>
                <w:w w:val="100"/>
                <w:sz w:val="22"/>
              </w:rPr>
              <w:t>2</w:t>
            </w:r>
          </w:p>
        </w:tc>
        <w:tc>
          <w:tcPr>
            <w:tcW w:w="6676" w:type="dxa"/>
          </w:tcPr>
          <w:p>
            <w:pPr>
              <w:pStyle w:val="TableParagraph"/>
              <w:spacing w:before="21"/>
              <w:ind w:left="64" w:right="812"/>
              <w:rPr>
                <w:sz w:val="22"/>
              </w:rPr>
            </w:pPr>
            <w:r>
              <w:rPr>
                <w:sz w:val="22"/>
              </w:rPr>
              <w:t>URBAN FORESTRY &amp; URBAN GREENING</w:t>
            </w:r>
          </w:p>
        </w:tc>
        <w:tc>
          <w:tcPr>
            <w:tcW w:w="991" w:type="dxa"/>
          </w:tcPr>
          <w:p>
            <w:pPr>
              <w:pStyle w:val="TableParagraph"/>
              <w:spacing w:before="45"/>
              <w:ind w:right="59"/>
              <w:jc w:val="right"/>
              <w:rPr>
                <w:sz w:val="22"/>
              </w:rPr>
            </w:pPr>
            <w:r>
              <w:rPr>
                <w:sz w:val="22"/>
              </w:rPr>
              <w:t>2.109</w:t>
            </w:r>
          </w:p>
        </w:tc>
      </w:tr>
      <w:tr>
        <w:trPr>
          <w:trHeight w:val="310" w:hRule="exact"/>
        </w:trPr>
        <w:tc>
          <w:tcPr>
            <w:tcW w:w="1140" w:type="dxa"/>
          </w:tcPr>
          <w:p>
            <w:pPr>
              <w:pStyle w:val="TableParagraph"/>
              <w:spacing w:before="41"/>
              <w:jc w:val="center"/>
              <w:rPr>
                <w:b/>
                <w:sz w:val="22"/>
              </w:rPr>
            </w:pPr>
            <w:r>
              <w:rPr>
                <w:b/>
                <w:w w:val="100"/>
                <w:sz w:val="22"/>
              </w:rPr>
              <w:t>3</w:t>
            </w:r>
          </w:p>
        </w:tc>
        <w:tc>
          <w:tcPr>
            <w:tcW w:w="6676" w:type="dxa"/>
          </w:tcPr>
          <w:p>
            <w:pPr>
              <w:pStyle w:val="TableParagraph"/>
              <w:spacing w:before="21"/>
              <w:ind w:left="64" w:right="812"/>
              <w:rPr>
                <w:sz w:val="22"/>
              </w:rPr>
            </w:pPr>
            <w:r>
              <w:rPr>
                <w:sz w:val="22"/>
              </w:rPr>
              <w:t>JOURNAL OF PLANNING LITERATURE</w:t>
            </w:r>
          </w:p>
        </w:tc>
        <w:tc>
          <w:tcPr>
            <w:tcW w:w="991" w:type="dxa"/>
          </w:tcPr>
          <w:p>
            <w:pPr>
              <w:pStyle w:val="TableParagraph"/>
              <w:spacing w:before="43"/>
              <w:ind w:right="59"/>
              <w:jc w:val="right"/>
              <w:rPr>
                <w:sz w:val="22"/>
              </w:rPr>
            </w:pPr>
            <w:r>
              <w:rPr>
                <w:sz w:val="22"/>
              </w:rPr>
              <w:t>1.842</w:t>
            </w:r>
          </w:p>
        </w:tc>
      </w:tr>
      <w:tr>
        <w:trPr>
          <w:trHeight w:val="310" w:hRule="exact"/>
        </w:trPr>
        <w:tc>
          <w:tcPr>
            <w:tcW w:w="1140" w:type="dxa"/>
          </w:tcPr>
          <w:p>
            <w:pPr>
              <w:pStyle w:val="TableParagraph"/>
              <w:spacing w:before="43"/>
              <w:jc w:val="center"/>
              <w:rPr>
                <w:b/>
                <w:sz w:val="22"/>
              </w:rPr>
            </w:pPr>
            <w:r>
              <w:rPr>
                <w:b/>
                <w:w w:val="100"/>
                <w:sz w:val="22"/>
              </w:rPr>
              <w:t>4</w:t>
            </w:r>
          </w:p>
        </w:tc>
        <w:tc>
          <w:tcPr>
            <w:tcW w:w="6676" w:type="dxa"/>
          </w:tcPr>
          <w:p>
            <w:pPr>
              <w:pStyle w:val="TableParagraph"/>
              <w:spacing w:before="21"/>
              <w:ind w:left="64" w:right="812"/>
              <w:rPr>
                <w:sz w:val="22"/>
              </w:rPr>
            </w:pPr>
            <w:r>
              <w:rPr>
                <w:sz w:val="22"/>
              </w:rPr>
              <w:t>HABITAT INTERNATIONAL</w:t>
            </w:r>
          </w:p>
        </w:tc>
        <w:tc>
          <w:tcPr>
            <w:tcW w:w="991" w:type="dxa"/>
          </w:tcPr>
          <w:p>
            <w:pPr>
              <w:pStyle w:val="TableParagraph"/>
              <w:spacing w:before="45"/>
              <w:ind w:right="59"/>
              <w:jc w:val="right"/>
              <w:rPr>
                <w:sz w:val="22"/>
              </w:rPr>
            </w:pPr>
            <w:r>
              <w:rPr>
                <w:sz w:val="22"/>
              </w:rPr>
              <w:t>1.746</w:t>
            </w:r>
          </w:p>
        </w:tc>
      </w:tr>
      <w:tr>
        <w:trPr>
          <w:trHeight w:val="310" w:hRule="exact"/>
        </w:trPr>
        <w:tc>
          <w:tcPr>
            <w:tcW w:w="1140" w:type="dxa"/>
          </w:tcPr>
          <w:p>
            <w:pPr>
              <w:pStyle w:val="TableParagraph"/>
              <w:spacing w:before="43"/>
              <w:jc w:val="center"/>
              <w:rPr>
                <w:b/>
                <w:sz w:val="22"/>
              </w:rPr>
            </w:pPr>
            <w:r>
              <w:rPr>
                <w:b/>
                <w:w w:val="100"/>
                <w:sz w:val="22"/>
              </w:rPr>
              <w:t>5</w:t>
            </w:r>
          </w:p>
        </w:tc>
        <w:tc>
          <w:tcPr>
            <w:tcW w:w="6676" w:type="dxa"/>
          </w:tcPr>
          <w:p>
            <w:pPr>
              <w:pStyle w:val="TableParagraph"/>
              <w:spacing w:before="21"/>
              <w:ind w:left="64" w:right="812"/>
              <w:rPr>
                <w:sz w:val="22"/>
              </w:rPr>
            </w:pPr>
            <w:r>
              <w:rPr>
                <w:sz w:val="22"/>
              </w:rPr>
              <w:t>CITIES</w:t>
            </w:r>
          </w:p>
        </w:tc>
        <w:tc>
          <w:tcPr>
            <w:tcW w:w="991" w:type="dxa"/>
          </w:tcPr>
          <w:p>
            <w:pPr>
              <w:pStyle w:val="TableParagraph"/>
              <w:spacing w:before="45"/>
              <w:ind w:right="59"/>
              <w:jc w:val="right"/>
              <w:rPr>
                <w:sz w:val="22"/>
              </w:rPr>
            </w:pPr>
            <w:r>
              <w:rPr>
                <w:sz w:val="22"/>
              </w:rPr>
              <w:t>1.728</w:t>
            </w:r>
          </w:p>
        </w:tc>
      </w:tr>
      <w:tr>
        <w:trPr>
          <w:trHeight w:val="353" w:hRule="exact"/>
        </w:trPr>
        <w:tc>
          <w:tcPr>
            <w:tcW w:w="1140" w:type="dxa"/>
          </w:tcPr>
          <w:p>
            <w:pPr>
              <w:pStyle w:val="TableParagraph"/>
              <w:spacing w:before="84"/>
              <w:jc w:val="center"/>
              <w:rPr>
                <w:b/>
                <w:sz w:val="22"/>
              </w:rPr>
            </w:pPr>
            <w:r>
              <w:rPr>
                <w:b/>
                <w:w w:val="100"/>
                <w:sz w:val="22"/>
              </w:rPr>
              <w:t>6</w:t>
            </w:r>
          </w:p>
        </w:tc>
        <w:tc>
          <w:tcPr>
            <w:tcW w:w="6676" w:type="dxa"/>
          </w:tcPr>
          <w:p>
            <w:pPr>
              <w:pStyle w:val="TableParagraph"/>
              <w:spacing w:before="43"/>
              <w:ind w:left="64" w:right="812"/>
              <w:rPr>
                <w:sz w:val="22"/>
              </w:rPr>
            </w:pPr>
            <w:r>
              <w:rPr>
                <w:sz w:val="22"/>
              </w:rPr>
              <w:t>EUROPEAN URBAN AND REGIONAL STUDIES</w:t>
            </w:r>
          </w:p>
        </w:tc>
        <w:tc>
          <w:tcPr>
            <w:tcW w:w="991" w:type="dxa"/>
          </w:tcPr>
          <w:p>
            <w:pPr>
              <w:pStyle w:val="TableParagraph"/>
              <w:spacing w:before="86"/>
              <w:ind w:right="59"/>
              <w:jc w:val="right"/>
              <w:rPr>
                <w:sz w:val="22"/>
              </w:rPr>
            </w:pPr>
            <w:r>
              <w:rPr>
                <w:sz w:val="22"/>
              </w:rPr>
              <w:t>1.673</w:t>
            </w:r>
          </w:p>
        </w:tc>
      </w:tr>
      <w:tr>
        <w:trPr>
          <w:trHeight w:val="516" w:hRule="exact"/>
        </w:trPr>
        <w:tc>
          <w:tcPr>
            <w:tcW w:w="1140" w:type="dxa"/>
          </w:tcPr>
          <w:p>
            <w:pPr>
              <w:pStyle w:val="TableParagraph"/>
              <w:spacing w:before="5"/>
              <w:rPr>
                <w:b/>
                <w:sz w:val="21"/>
              </w:rPr>
            </w:pPr>
          </w:p>
          <w:p>
            <w:pPr>
              <w:pStyle w:val="TableParagraph"/>
              <w:jc w:val="center"/>
              <w:rPr>
                <w:b/>
                <w:sz w:val="22"/>
              </w:rPr>
            </w:pPr>
            <w:r>
              <w:rPr>
                <w:b/>
                <w:w w:val="100"/>
                <w:sz w:val="22"/>
              </w:rPr>
              <w:t>7</w:t>
            </w:r>
          </w:p>
        </w:tc>
        <w:tc>
          <w:tcPr>
            <w:tcW w:w="6676" w:type="dxa"/>
          </w:tcPr>
          <w:p>
            <w:pPr>
              <w:pStyle w:val="TableParagraph"/>
              <w:spacing w:line="252" w:lineRule="exact" w:before="2"/>
              <w:ind w:left="64" w:right="812"/>
              <w:rPr>
                <w:sz w:val="22"/>
              </w:rPr>
            </w:pPr>
            <w:r>
              <w:rPr>
                <w:sz w:val="22"/>
              </w:rPr>
              <w:t>INTERNATIONAL JOURNAL OF URBAN AND REGIONAL RESEARCH</w:t>
            </w:r>
          </w:p>
        </w:tc>
        <w:tc>
          <w:tcPr>
            <w:tcW w:w="991" w:type="dxa"/>
          </w:tcPr>
          <w:p>
            <w:pPr>
              <w:pStyle w:val="TableParagraph"/>
              <w:spacing w:before="8"/>
              <w:rPr>
                <w:b/>
                <w:sz w:val="21"/>
              </w:rPr>
            </w:pPr>
          </w:p>
          <w:p>
            <w:pPr>
              <w:pStyle w:val="TableParagraph"/>
              <w:ind w:right="59"/>
              <w:jc w:val="right"/>
              <w:rPr>
                <w:sz w:val="22"/>
              </w:rPr>
            </w:pPr>
            <w:r>
              <w:rPr>
                <w:sz w:val="22"/>
              </w:rPr>
              <w:t>1.672</w:t>
            </w:r>
          </w:p>
        </w:tc>
      </w:tr>
      <w:tr>
        <w:trPr>
          <w:trHeight w:val="310" w:hRule="exact"/>
        </w:trPr>
        <w:tc>
          <w:tcPr>
            <w:tcW w:w="1140" w:type="dxa"/>
          </w:tcPr>
          <w:p>
            <w:pPr>
              <w:pStyle w:val="TableParagraph"/>
              <w:spacing w:before="43"/>
              <w:jc w:val="center"/>
              <w:rPr>
                <w:b/>
                <w:sz w:val="22"/>
              </w:rPr>
            </w:pPr>
            <w:r>
              <w:rPr>
                <w:b/>
                <w:w w:val="100"/>
                <w:sz w:val="22"/>
              </w:rPr>
              <w:t>8</w:t>
            </w:r>
          </w:p>
        </w:tc>
        <w:tc>
          <w:tcPr>
            <w:tcW w:w="6676" w:type="dxa"/>
          </w:tcPr>
          <w:p>
            <w:pPr>
              <w:pStyle w:val="TableParagraph"/>
              <w:spacing w:before="21"/>
              <w:ind w:left="64" w:right="812"/>
              <w:rPr>
                <w:sz w:val="22"/>
              </w:rPr>
            </w:pPr>
            <w:r>
              <w:rPr>
                <w:sz w:val="22"/>
              </w:rPr>
              <w:t>JOURNAL OF URBAN ECONOMICS</w:t>
            </w:r>
          </w:p>
        </w:tc>
        <w:tc>
          <w:tcPr>
            <w:tcW w:w="991" w:type="dxa"/>
          </w:tcPr>
          <w:p>
            <w:pPr>
              <w:pStyle w:val="TableParagraph"/>
              <w:spacing w:before="45"/>
              <w:ind w:right="59"/>
              <w:jc w:val="right"/>
              <w:rPr>
                <w:sz w:val="22"/>
              </w:rPr>
            </w:pPr>
            <w:r>
              <w:rPr>
                <w:sz w:val="22"/>
              </w:rPr>
              <w:t>1.609</w:t>
            </w:r>
          </w:p>
        </w:tc>
      </w:tr>
      <w:tr>
        <w:trPr>
          <w:trHeight w:val="310" w:hRule="exact"/>
        </w:trPr>
        <w:tc>
          <w:tcPr>
            <w:tcW w:w="1140" w:type="dxa"/>
          </w:tcPr>
          <w:p>
            <w:pPr>
              <w:pStyle w:val="TableParagraph"/>
              <w:spacing w:before="43"/>
              <w:jc w:val="center"/>
              <w:rPr>
                <w:b/>
                <w:sz w:val="22"/>
              </w:rPr>
            </w:pPr>
            <w:r>
              <w:rPr>
                <w:b/>
                <w:w w:val="100"/>
                <w:sz w:val="22"/>
              </w:rPr>
              <w:t>9</w:t>
            </w:r>
          </w:p>
        </w:tc>
        <w:tc>
          <w:tcPr>
            <w:tcW w:w="6676" w:type="dxa"/>
          </w:tcPr>
          <w:p>
            <w:pPr>
              <w:pStyle w:val="TableParagraph"/>
              <w:spacing w:before="21"/>
              <w:ind w:left="64" w:right="812"/>
              <w:rPr>
                <w:sz w:val="22"/>
              </w:rPr>
            </w:pPr>
            <w:r>
              <w:rPr>
                <w:sz w:val="22"/>
              </w:rPr>
              <w:t>URBAN STUDIES</w:t>
            </w:r>
          </w:p>
        </w:tc>
        <w:tc>
          <w:tcPr>
            <w:tcW w:w="991" w:type="dxa"/>
          </w:tcPr>
          <w:p>
            <w:pPr>
              <w:pStyle w:val="TableParagraph"/>
              <w:spacing w:before="45"/>
              <w:ind w:right="59"/>
              <w:jc w:val="right"/>
              <w:rPr>
                <w:sz w:val="22"/>
              </w:rPr>
            </w:pPr>
            <w:r>
              <w:rPr>
                <w:sz w:val="22"/>
              </w:rPr>
              <w:t>1.592</w:t>
            </w:r>
          </w:p>
        </w:tc>
      </w:tr>
      <w:tr>
        <w:trPr>
          <w:trHeight w:val="353" w:hRule="exact"/>
        </w:trPr>
        <w:tc>
          <w:tcPr>
            <w:tcW w:w="1140" w:type="dxa"/>
          </w:tcPr>
          <w:p>
            <w:pPr>
              <w:pStyle w:val="TableParagraph"/>
              <w:spacing w:before="84"/>
              <w:ind w:left="239" w:right="239"/>
              <w:jc w:val="center"/>
              <w:rPr>
                <w:b/>
                <w:sz w:val="22"/>
              </w:rPr>
            </w:pPr>
            <w:r>
              <w:rPr>
                <w:b/>
                <w:sz w:val="22"/>
              </w:rPr>
              <w:t>10</w:t>
            </w:r>
          </w:p>
        </w:tc>
        <w:tc>
          <w:tcPr>
            <w:tcW w:w="6676" w:type="dxa"/>
          </w:tcPr>
          <w:p>
            <w:pPr>
              <w:pStyle w:val="TableParagraph"/>
              <w:spacing w:before="43"/>
              <w:ind w:left="64" w:right="141"/>
              <w:rPr>
                <w:sz w:val="22"/>
              </w:rPr>
            </w:pPr>
            <w:r>
              <w:rPr>
                <w:sz w:val="22"/>
              </w:rPr>
              <w:t>JOURNAL OF THE AMERICAN PLANNING ASSOCIATION</w:t>
            </w:r>
          </w:p>
        </w:tc>
        <w:tc>
          <w:tcPr>
            <w:tcW w:w="991" w:type="dxa"/>
          </w:tcPr>
          <w:p>
            <w:pPr>
              <w:pStyle w:val="TableParagraph"/>
              <w:spacing w:before="86"/>
              <w:ind w:right="59"/>
              <w:jc w:val="right"/>
              <w:rPr>
                <w:sz w:val="22"/>
              </w:rPr>
            </w:pPr>
            <w:r>
              <w:rPr>
                <w:sz w:val="22"/>
              </w:rPr>
              <w:t>1.556</w:t>
            </w:r>
          </w:p>
        </w:tc>
      </w:tr>
      <w:tr>
        <w:trPr>
          <w:trHeight w:val="310" w:hRule="exact"/>
        </w:trPr>
        <w:tc>
          <w:tcPr>
            <w:tcW w:w="1140" w:type="dxa"/>
          </w:tcPr>
          <w:p>
            <w:pPr>
              <w:pStyle w:val="TableParagraph"/>
              <w:spacing w:before="43"/>
              <w:ind w:left="239" w:right="239"/>
              <w:jc w:val="center"/>
              <w:rPr>
                <w:b/>
                <w:sz w:val="22"/>
              </w:rPr>
            </w:pPr>
            <w:r>
              <w:rPr>
                <w:b/>
                <w:sz w:val="22"/>
              </w:rPr>
              <w:t>11</w:t>
            </w:r>
          </w:p>
        </w:tc>
        <w:tc>
          <w:tcPr>
            <w:tcW w:w="6676" w:type="dxa"/>
          </w:tcPr>
          <w:p>
            <w:pPr>
              <w:pStyle w:val="TableParagraph"/>
              <w:spacing w:before="21"/>
              <w:ind w:left="64" w:right="812"/>
              <w:rPr>
                <w:sz w:val="22"/>
              </w:rPr>
            </w:pPr>
            <w:r>
              <w:rPr>
                <w:sz w:val="22"/>
              </w:rPr>
              <w:t>Housing Theory &amp; Society</w:t>
            </w:r>
          </w:p>
        </w:tc>
        <w:tc>
          <w:tcPr>
            <w:tcW w:w="991" w:type="dxa"/>
          </w:tcPr>
          <w:p>
            <w:pPr>
              <w:pStyle w:val="TableParagraph"/>
              <w:spacing w:before="45"/>
              <w:ind w:right="59"/>
              <w:jc w:val="right"/>
              <w:rPr>
                <w:sz w:val="22"/>
              </w:rPr>
            </w:pPr>
            <w:r>
              <w:rPr>
                <w:sz w:val="22"/>
              </w:rPr>
              <w:t>1.366</w:t>
            </w:r>
          </w:p>
        </w:tc>
      </w:tr>
      <w:tr>
        <w:trPr>
          <w:trHeight w:val="310" w:hRule="exact"/>
        </w:trPr>
        <w:tc>
          <w:tcPr>
            <w:tcW w:w="1140" w:type="dxa"/>
          </w:tcPr>
          <w:p>
            <w:pPr>
              <w:pStyle w:val="TableParagraph"/>
              <w:spacing w:before="43"/>
              <w:ind w:left="239" w:right="239"/>
              <w:jc w:val="center"/>
              <w:rPr>
                <w:b/>
                <w:sz w:val="22"/>
              </w:rPr>
            </w:pPr>
            <w:r>
              <w:rPr>
                <w:b/>
                <w:sz w:val="22"/>
              </w:rPr>
              <w:t>12</w:t>
            </w:r>
          </w:p>
        </w:tc>
        <w:tc>
          <w:tcPr>
            <w:tcW w:w="6676" w:type="dxa"/>
          </w:tcPr>
          <w:p>
            <w:pPr>
              <w:pStyle w:val="TableParagraph"/>
              <w:spacing w:before="21"/>
              <w:ind w:left="64" w:right="812"/>
              <w:rPr>
                <w:sz w:val="22"/>
              </w:rPr>
            </w:pPr>
            <w:r>
              <w:rPr>
                <w:sz w:val="22"/>
              </w:rPr>
              <w:t>URBAN GEOGRAPHY</w:t>
            </w:r>
          </w:p>
        </w:tc>
        <w:tc>
          <w:tcPr>
            <w:tcW w:w="991" w:type="dxa"/>
          </w:tcPr>
          <w:p>
            <w:pPr>
              <w:pStyle w:val="TableParagraph"/>
              <w:spacing w:before="45"/>
              <w:ind w:right="59"/>
              <w:jc w:val="right"/>
              <w:rPr>
                <w:sz w:val="22"/>
              </w:rPr>
            </w:pPr>
            <w:r>
              <w:rPr>
                <w:sz w:val="22"/>
              </w:rPr>
              <w:t>1.355</w:t>
            </w:r>
          </w:p>
        </w:tc>
      </w:tr>
      <w:tr>
        <w:trPr>
          <w:trHeight w:val="310" w:hRule="exact"/>
        </w:trPr>
        <w:tc>
          <w:tcPr>
            <w:tcW w:w="1140" w:type="dxa"/>
          </w:tcPr>
          <w:p>
            <w:pPr>
              <w:pStyle w:val="TableParagraph"/>
              <w:spacing w:before="43"/>
              <w:ind w:left="239" w:right="239"/>
              <w:jc w:val="center"/>
              <w:rPr>
                <w:b/>
                <w:sz w:val="22"/>
              </w:rPr>
            </w:pPr>
            <w:r>
              <w:rPr>
                <w:b/>
                <w:sz w:val="22"/>
              </w:rPr>
              <w:t>13</w:t>
            </w:r>
          </w:p>
        </w:tc>
        <w:tc>
          <w:tcPr>
            <w:tcW w:w="6676" w:type="dxa"/>
          </w:tcPr>
          <w:p>
            <w:pPr>
              <w:pStyle w:val="TableParagraph"/>
              <w:spacing w:before="21"/>
              <w:ind w:left="64" w:right="812"/>
              <w:rPr>
                <w:sz w:val="22"/>
              </w:rPr>
            </w:pPr>
            <w:r>
              <w:rPr>
                <w:sz w:val="22"/>
              </w:rPr>
              <w:t>ENVIRONMENT AND URBANIZATION</w:t>
            </w:r>
          </w:p>
        </w:tc>
        <w:tc>
          <w:tcPr>
            <w:tcW w:w="991" w:type="dxa"/>
          </w:tcPr>
          <w:p>
            <w:pPr>
              <w:pStyle w:val="TableParagraph"/>
              <w:spacing w:before="45"/>
              <w:ind w:right="59"/>
              <w:jc w:val="right"/>
              <w:rPr>
                <w:sz w:val="22"/>
              </w:rPr>
            </w:pPr>
            <w:r>
              <w:rPr>
                <w:sz w:val="22"/>
              </w:rPr>
              <w:t>1.324</w:t>
            </w:r>
          </w:p>
        </w:tc>
      </w:tr>
      <w:tr>
        <w:trPr>
          <w:trHeight w:val="310" w:hRule="exact"/>
        </w:trPr>
        <w:tc>
          <w:tcPr>
            <w:tcW w:w="1140" w:type="dxa"/>
          </w:tcPr>
          <w:p>
            <w:pPr>
              <w:pStyle w:val="TableParagraph"/>
              <w:spacing w:before="43"/>
              <w:ind w:left="239" w:right="239"/>
              <w:jc w:val="center"/>
              <w:rPr>
                <w:b/>
                <w:sz w:val="22"/>
              </w:rPr>
            </w:pPr>
            <w:r>
              <w:rPr>
                <w:b/>
                <w:sz w:val="22"/>
              </w:rPr>
              <w:t>14</w:t>
            </w:r>
          </w:p>
        </w:tc>
        <w:tc>
          <w:tcPr>
            <w:tcW w:w="6676" w:type="dxa"/>
          </w:tcPr>
          <w:p>
            <w:pPr>
              <w:pStyle w:val="TableParagraph"/>
              <w:spacing w:before="21"/>
              <w:ind w:left="64" w:right="812"/>
              <w:rPr>
                <w:sz w:val="22"/>
              </w:rPr>
            </w:pPr>
            <w:r>
              <w:rPr>
                <w:sz w:val="22"/>
              </w:rPr>
              <w:t>EUROPEAN PLANNING STUDIES</w:t>
            </w:r>
          </w:p>
        </w:tc>
        <w:tc>
          <w:tcPr>
            <w:tcW w:w="991" w:type="dxa"/>
          </w:tcPr>
          <w:p>
            <w:pPr>
              <w:pStyle w:val="TableParagraph"/>
              <w:spacing w:before="45"/>
              <w:ind w:right="59"/>
              <w:jc w:val="right"/>
              <w:rPr>
                <w:sz w:val="22"/>
              </w:rPr>
            </w:pPr>
            <w:r>
              <w:rPr>
                <w:sz w:val="22"/>
              </w:rPr>
              <w:t>1.228</w:t>
            </w:r>
          </w:p>
        </w:tc>
      </w:tr>
      <w:tr>
        <w:trPr>
          <w:trHeight w:val="353" w:hRule="exact"/>
        </w:trPr>
        <w:tc>
          <w:tcPr>
            <w:tcW w:w="1140" w:type="dxa"/>
          </w:tcPr>
          <w:p>
            <w:pPr>
              <w:pStyle w:val="TableParagraph"/>
              <w:spacing w:before="86"/>
              <w:ind w:left="239" w:right="239"/>
              <w:jc w:val="center"/>
              <w:rPr>
                <w:b/>
                <w:sz w:val="22"/>
              </w:rPr>
            </w:pPr>
            <w:r>
              <w:rPr>
                <w:b/>
                <w:sz w:val="22"/>
              </w:rPr>
              <w:t>15</w:t>
            </w:r>
          </w:p>
        </w:tc>
        <w:tc>
          <w:tcPr>
            <w:tcW w:w="6676" w:type="dxa"/>
          </w:tcPr>
          <w:p>
            <w:pPr>
              <w:pStyle w:val="TableParagraph"/>
              <w:spacing w:before="43"/>
              <w:ind w:left="64" w:right="812"/>
              <w:rPr>
                <w:sz w:val="22"/>
              </w:rPr>
            </w:pPr>
            <w:r>
              <w:rPr>
                <w:sz w:val="22"/>
              </w:rPr>
              <w:t>JOURNAL OF PLANNING EDUCATION AND RESEARCH</w:t>
            </w:r>
          </w:p>
        </w:tc>
        <w:tc>
          <w:tcPr>
            <w:tcW w:w="991" w:type="dxa"/>
          </w:tcPr>
          <w:p>
            <w:pPr>
              <w:pStyle w:val="TableParagraph"/>
              <w:spacing w:before="89"/>
              <w:ind w:right="59"/>
              <w:jc w:val="right"/>
              <w:rPr>
                <w:sz w:val="22"/>
              </w:rPr>
            </w:pPr>
            <w:r>
              <w:rPr>
                <w:sz w:val="22"/>
              </w:rPr>
              <w:t>1.196</w:t>
            </w:r>
          </w:p>
        </w:tc>
      </w:tr>
      <w:tr>
        <w:trPr>
          <w:trHeight w:val="353" w:hRule="exact"/>
        </w:trPr>
        <w:tc>
          <w:tcPr>
            <w:tcW w:w="1140" w:type="dxa"/>
          </w:tcPr>
          <w:p>
            <w:pPr>
              <w:pStyle w:val="TableParagraph"/>
              <w:spacing w:before="84"/>
              <w:ind w:left="239" w:right="239"/>
              <w:jc w:val="center"/>
              <w:rPr>
                <w:b/>
                <w:sz w:val="22"/>
              </w:rPr>
            </w:pPr>
            <w:r>
              <w:rPr>
                <w:b/>
                <w:sz w:val="22"/>
              </w:rPr>
              <w:t>16</w:t>
            </w:r>
          </w:p>
        </w:tc>
        <w:tc>
          <w:tcPr>
            <w:tcW w:w="6676" w:type="dxa"/>
          </w:tcPr>
          <w:p>
            <w:pPr>
              <w:pStyle w:val="TableParagraph"/>
              <w:spacing w:before="43"/>
              <w:ind w:left="64" w:right="812"/>
              <w:rPr>
                <w:sz w:val="22"/>
              </w:rPr>
            </w:pPr>
            <w:r>
              <w:rPr>
                <w:sz w:val="22"/>
              </w:rPr>
              <w:t>INTERNATIONAL REGIONAL SCIENCE REVIEW</w:t>
            </w:r>
          </w:p>
        </w:tc>
        <w:tc>
          <w:tcPr>
            <w:tcW w:w="991" w:type="dxa"/>
          </w:tcPr>
          <w:p>
            <w:pPr>
              <w:pStyle w:val="TableParagraph"/>
              <w:spacing w:before="87"/>
              <w:ind w:right="59"/>
              <w:jc w:val="right"/>
              <w:rPr>
                <w:sz w:val="22"/>
              </w:rPr>
            </w:pPr>
            <w:r>
              <w:rPr>
                <w:sz w:val="22"/>
              </w:rPr>
              <w:t>1.182</w:t>
            </w:r>
          </w:p>
        </w:tc>
      </w:tr>
      <w:tr>
        <w:trPr>
          <w:trHeight w:val="310" w:hRule="exact"/>
        </w:trPr>
        <w:tc>
          <w:tcPr>
            <w:tcW w:w="1140" w:type="dxa"/>
          </w:tcPr>
          <w:p>
            <w:pPr>
              <w:pStyle w:val="TableParagraph"/>
              <w:spacing w:before="43"/>
              <w:ind w:left="239" w:right="239"/>
              <w:jc w:val="center"/>
              <w:rPr>
                <w:b/>
                <w:sz w:val="22"/>
              </w:rPr>
            </w:pPr>
            <w:r>
              <w:rPr>
                <w:b/>
                <w:sz w:val="22"/>
              </w:rPr>
              <w:t>17</w:t>
            </w:r>
          </w:p>
        </w:tc>
        <w:tc>
          <w:tcPr>
            <w:tcW w:w="6676" w:type="dxa"/>
          </w:tcPr>
          <w:p>
            <w:pPr>
              <w:pStyle w:val="TableParagraph"/>
              <w:spacing w:before="21"/>
              <w:ind w:left="64" w:right="812"/>
              <w:rPr>
                <w:sz w:val="22"/>
              </w:rPr>
            </w:pPr>
            <w:r>
              <w:rPr>
                <w:sz w:val="22"/>
              </w:rPr>
              <w:t>HOUSING POLICY DEBATE</w:t>
            </w:r>
          </w:p>
        </w:tc>
        <w:tc>
          <w:tcPr>
            <w:tcW w:w="991" w:type="dxa"/>
          </w:tcPr>
          <w:p>
            <w:pPr>
              <w:pStyle w:val="TableParagraph"/>
              <w:spacing w:before="45"/>
              <w:ind w:right="59"/>
              <w:jc w:val="right"/>
              <w:rPr>
                <w:sz w:val="22"/>
              </w:rPr>
            </w:pPr>
            <w:r>
              <w:rPr>
                <w:sz w:val="22"/>
              </w:rPr>
              <w:t>1.071</w:t>
            </w:r>
          </w:p>
        </w:tc>
      </w:tr>
      <w:tr>
        <w:trPr>
          <w:trHeight w:val="353" w:hRule="exact"/>
        </w:trPr>
        <w:tc>
          <w:tcPr>
            <w:tcW w:w="1140" w:type="dxa"/>
          </w:tcPr>
          <w:p>
            <w:pPr>
              <w:pStyle w:val="TableParagraph"/>
              <w:spacing w:before="84"/>
              <w:ind w:left="239" w:right="239"/>
              <w:jc w:val="center"/>
              <w:rPr>
                <w:b/>
                <w:sz w:val="22"/>
              </w:rPr>
            </w:pPr>
            <w:r>
              <w:rPr>
                <w:b/>
                <w:sz w:val="22"/>
              </w:rPr>
              <w:t>18</w:t>
            </w:r>
          </w:p>
        </w:tc>
        <w:tc>
          <w:tcPr>
            <w:tcW w:w="6676" w:type="dxa"/>
          </w:tcPr>
          <w:p>
            <w:pPr>
              <w:pStyle w:val="TableParagraph"/>
              <w:spacing w:before="43"/>
              <w:ind w:left="64" w:right="812"/>
              <w:rPr>
                <w:sz w:val="22"/>
              </w:rPr>
            </w:pPr>
            <w:r>
              <w:rPr>
                <w:sz w:val="22"/>
              </w:rPr>
              <w:t>REGIONAL SCIENCE AND URBAN ECONOMICS</w:t>
            </w:r>
          </w:p>
        </w:tc>
        <w:tc>
          <w:tcPr>
            <w:tcW w:w="991" w:type="dxa"/>
          </w:tcPr>
          <w:p>
            <w:pPr>
              <w:pStyle w:val="TableParagraph"/>
              <w:spacing w:before="86"/>
              <w:ind w:right="59"/>
              <w:jc w:val="right"/>
              <w:rPr>
                <w:sz w:val="22"/>
              </w:rPr>
            </w:pPr>
            <w:r>
              <w:rPr>
                <w:sz w:val="22"/>
              </w:rPr>
              <w:t>1.006</w:t>
            </w:r>
          </w:p>
        </w:tc>
      </w:tr>
      <w:tr>
        <w:trPr>
          <w:trHeight w:val="310" w:hRule="exact"/>
        </w:trPr>
        <w:tc>
          <w:tcPr>
            <w:tcW w:w="1140" w:type="dxa"/>
          </w:tcPr>
          <w:p>
            <w:pPr>
              <w:pStyle w:val="TableParagraph"/>
              <w:spacing w:before="41"/>
              <w:ind w:left="239" w:right="239"/>
              <w:jc w:val="center"/>
              <w:rPr>
                <w:b/>
                <w:sz w:val="22"/>
              </w:rPr>
            </w:pPr>
            <w:r>
              <w:rPr>
                <w:b/>
                <w:sz w:val="22"/>
              </w:rPr>
              <w:t>19</w:t>
            </w:r>
          </w:p>
        </w:tc>
        <w:tc>
          <w:tcPr>
            <w:tcW w:w="6676" w:type="dxa"/>
          </w:tcPr>
          <w:p>
            <w:pPr>
              <w:pStyle w:val="TableParagraph"/>
              <w:spacing w:before="21"/>
              <w:ind w:left="64" w:right="812"/>
              <w:rPr>
                <w:sz w:val="22"/>
              </w:rPr>
            </w:pPr>
            <w:r>
              <w:rPr>
                <w:sz w:val="22"/>
              </w:rPr>
              <w:t>City &amp; Community</w:t>
            </w:r>
          </w:p>
        </w:tc>
        <w:tc>
          <w:tcPr>
            <w:tcW w:w="991" w:type="dxa"/>
          </w:tcPr>
          <w:p>
            <w:pPr>
              <w:pStyle w:val="TableParagraph"/>
              <w:spacing w:before="43"/>
              <w:ind w:right="59"/>
              <w:jc w:val="right"/>
              <w:rPr>
                <w:sz w:val="22"/>
              </w:rPr>
            </w:pPr>
            <w:r>
              <w:rPr>
                <w:sz w:val="22"/>
              </w:rPr>
              <w:t>1.000</w:t>
            </w:r>
          </w:p>
        </w:tc>
      </w:tr>
      <w:tr>
        <w:trPr>
          <w:trHeight w:val="310" w:hRule="exact"/>
        </w:trPr>
        <w:tc>
          <w:tcPr>
            <w:tcW w:w="1140" w:type="dxa"/>
          </w:tcPr>
          <w:p>
            <w:pPr>
              <w:pStyle w:val="TableParagraph"/>
              <w:spacing w:before="43"/>
              <w:ind w:left="239" w:right="239"/>
              <w:jc w:val="center"/>
              <w:rPr>
                <w:b/>
                <w:sz w:val="22"/>
              </w:rPr>
            </w:pPr>
            <w:r>
              <w:rPr>
                <w:b/>
                <w:sz w:val="22"/>
              </w:rPr>
              <w:t>20</w:t>
            </w:r>
          </w:p>
        </w:tc>
        <w:tc>
          <w:tcPr>
            <w:tcW w:w="6676" w:type="dxa"/>
          </w:tcPr>
          <w:p>
            <w:pPr>
              <w:pStyle w:val="TableParagraph"/>
              <w:spacing w:before="21"/>
              <w:ind w:left="64" w:right="812"/>
              <w:rPr>
                <w:sz w:val="22"/>
              </w:rPr>
            </w:pPr>
            <w:r>
              <w:rPr>
                <w:sz w:val="22"/>
              </w:rPr>
              <w:t>HOUSING STUDIES</w:t>
            </w:r>
          </w:p>
        </w:tc>
        <w:tc>
          <w:tcPr>
            <w:tcW w:w="991" w:type="dxa"/>
          </w:tcPr>
          <w:p>
            <w:pPr>
              <w:pStyle w:val="TableParagraph"/>
              <w:spacing w:before="45"/>
              <w:ind w:right="59"/>
              <w:jc w:val="right"/>
              <w:rPr>
                <w:sz w:val="22"/>
              </w:rPr>
            </w:pPr>
            <w:r>
              <w:rPr>
                <w:sz w:val="22"/>
              </w:rPr>
              <w:t>0.991</w:t>
            </w:r>
          </w:p>
        </w:tc>
      </w:tr>
      <w:tr>
        <w:trPr>
          <w:trHeight w:val="310" w:hRule="exact"/>
        </w:trPr>
        <w:tc>
          <w:tcPr>
            <w:tcW w:w="1140" w:type="dxa"/>
          </w:tcPr>
          <w:p>
            <w:pPr>
              <w:pStyle w:val="TableParagraph"/>
              <w:spacing w:before="43"/>
              <w:ind w:left="239" w:right="239"/>
              <w:jc w:val="center"/>
              <w:rPr>
                <w:b/>
                <w:sz w:val="22"/>
              </w:rPr>
            </w:pPr>
            <w:r>
              <w:rPr>
                <w:b/>
                <w:sz w:val="22"/>
              </w:rPr>
              <w:t>21</w:t>
            </w:r>
          </w:p>
        </w:tc>
        <w:tc>
          <w:tcPr>
            <w:tcW w:w="6676" w:type="dxa"/>
          </w:tcPr>
          <w:p>
            <w:pPr>
              <w:pStyle w:val="TableParagraph"/>
              <w:spacing w:before="21"/>
              <w:ind w:left="64" w:right="812"/>
              <w:rPr>
                <w:sz w:val="22"/>
              </w:rPr>
            </w:pPr>
            <w:r>
              <w:rPr>
                <w:sz w:val="22"/>
              </w:rPr>
              <w:t>JOURNAL OF URBAN TECHNOLOGY</w:t>
            </w:r>
          </w:p>
        </w:tc>
        <w:tc>
          <w:tcPr>
            <w:tcW w:w="991" w:type="dxa"/>
          </w:tcPr>
          <w:p>
            <w:pPr>
              <w:pStyle w:val="TableParagraph"/>
              <w:spacing w:before="45"/>
              <w:ind w:right="59"/>
              <w:jc w:val="right"/>
              <w:rPr>
                <w:sz w:val="22"/>
              </w:rPr>
            </w:pPr>
            <w:r>
              <w:rPr>
                <w:sz w:val="22"/>
              </w:rPr>
              <w:t>0.978</w:t>
            </w:r>
          </w:p>
        </w:tc>
      </w:tr>
      <w:tr>
        <w:trPr>
          <w:trHeight w:val="310" w:hRule="exact"/>
        </w:trPr>
        <w:tc>
          <w:tcPr>
            <w:tcW w:w="1140" w:type="dxa"/>
          </w:tcPr>
          <w:p>
            <w:pPr>
              <w:pStyle w:val="TableParagraph"/>
              <w:spacing w:before="43"/>
              <w:ind w:left="239" w:right="239"/>
              <w:jc w:val="center"/>
              <w:rPr>
                <w:b/>
                <w:sz w:val="22"/>
              </w:rPr>
            </w:pPr>
            <w:r>
              <w:rPr>
                <w:b/>
                <w:sz w:val="22"/>
              </w:rPr>
              <w:t>22</w:t>
            </w:r>
          </w:p>
        </w:tc>
        <w:tc>
          <w:tcPr>
            <w:tcW w:w="6676" w:type="dxa"/>
          </w:tcPr>
          <w:p>
            <w:pPr>
              <w:pStyle w:val="TableParagraph"/>
              <w:spacing w:before="21"/>
              <w:ind w:left="64" w:right="812"/>
              <w:rPr>
                <w:sz w:val="22"/>
              </w:rPr>
            </w:pPr>
            <w:r>
              <w:rPr>
                <w:sz w:val="22"/>
              </w:rPr>
              <w:t>URBAN EDUCATION</w:t>
            </w:r>
          </w:p>
        </w:tc>
        <w:tc>
          <w:tcPr>
            <w:tcW w:w="991" w:type="dxa"/>
          </w:tcPr>
          <w:p>
            <w:pPr>
              <w:pStyle w:val="TableParagraph"/>
              <w:spacing w:before="45"/>
              <w:ind w:right="59"/>
              <w:jc w:val="right"/>
              <w:rPr>
                <w:sz w:val="22"/>
              </w:rPr>
            </w:pPr>
            <w:r>
              <w:rPr>
                <w:sz w:val="22"/>
              </w:rPr>
              <w:t>0.928</w:t>
            </w:r>
          </w:p>
        </w:tc>
      </w:tr>
      <w:tr>
        <w:trPr>
          <w:trHeight w:val="310" w:hRule="exact"/>
        </w:trPr>
        <w:tc>
          <w:tcPr>
            <w:tcW w:w="1140" w:type="dxa"/>
          </w:tcPr>
          <w:p>
            <w:pPr>
              <w:pStyle w:val="TableParagraph"/>
              <w:spacing w:before="43"/>
              <w:ind w:left="239" w:right="239"/>
              <w:jc w:val="center"/>
              <w:rPr>
                <w:b/>
                <w:sz w:val="22"/>
              </w:rPr>
            </w:pPr>
            <w:r>
              <w:rPr>
                <w:b/>
                <w:sz w:val="22"/>
              </w:rPr>
              <w:t>23</w:t>
            </w:r>
          </w:p>
        </w:tc>
        <w:tc>
          <w:tcPr>
            <w:tcW w:w="6676" w:type="dxa"/>
          </w:tcPr>
          <w:p>
            <w:pPr>
              <w:pStyle w:val="TableParagraph"/>
              <w:spacing w:before="21"/>
              <w:ind w:left="64" w:right="812"/>
              <w:rPr>
                <w:sz w:val="22"/>
              </w:rPr>
            </w:pPr>
            <w:r>
              <w:rPr>
                <w:sz w:val="22"/>
              </w:rPr>
              <w:t>JOURNAL OF URBAN AFFAIRS</w:t>
            </w:r>
          </w:p>
        </w:tc>
        <w:tc>
          <w:tcPr>
            <w:tcW w:w="991" w:type="dxa"/>
          </w:tcPr>
          <w:p>
            <w:pPr>
              <w:pStyle w:val="TableParagraph"/>
              <w:spacing w:before="45"/>
              <w:ind w:right="59"/>
              <w:jc w:val="right"/>
              <w:rPr>
                <w:sz w:val="22"/>
              </w:rPr>
            </w:pPr>
            <w:r>
              <w:rPr>
                <w:sz w:val="22"/>
              </w:rPr>
              <w:t>0.909</w:t>
            </w:r>
          </w:p>
        </w:tc>
      </w:tr>
      <w:tr>
        <w:trPr>
          <w:trHeight w:val="312" w:hRule="exact"/>
        </w:trPr>
        <w:tc>
          <w:tcPr>
            <w:tcW w:w="1140" w:type="dxa"/>
          </w:tcPr>
          <w:p>
            <w:pPr>
              <w:pStyle w:val="TableParagraph"/>
              <w:spacing w:before="43"/>
              <w:ind w:left="239" w:right="239"/>
              <w:jc w:val="center"/>
              <w:rPr>
                <w:b/>
                <w:sz w:val="22"/>
              </w:rPr>
            </w:pPr>
            <w:r>
              <w:rPr>
                <w:b/>
                <w:sz w:val="22"/>
              </w:rPr>
              <w:t>24</w:t>
            </w:r>
          </w:p>
        </w:tc>
        <w:tc>
          <w:tcPr>
            <w:tcW w:w="6676" w:type="dxa"/>
          </w:tcPr>
          <w:p>
            <w:pPr>
              <w:pStyle w:val="TableParagraph"/>
              <w:spacing w:before="21"/>
              <w:ind w:left="64" w:right="812"/>
              <w:rPr>
                <w:sz w:val="22"/>
              </w:rPr>
            </w:pPr>
            <w:r>
              <w:rPr>
                <w:sz w:val="22"/>
              </w:rPr>
              <w:t>URBAN AFFAIRS REVIEW</w:t>
            </w:r>
          </w:p>
        </w:tc>
        <w:tc>
          <w:tcPr>
            <w:tcW w:w="991" w:type="dxa"/>
          </w:tcPr>
          <w:p>
            <w:pPr>
              <w:pStyle w:val="TableParagraph"/>
              <w:spacing w:before="45"/>
              <w:ind w:right="59"/>
              <w:jc w:val="right"/>
              <w:rPr>
                <w:sz w:val="22"/>
              </w:rPr>
            </w:pPr>
            <w:r>
              <w:rPr>
                <w:sz w:val="22"/>
              </w:rPr>
              <w:t>0.895</w:t>
            </w:r>
          </w:p>
        </w:tc>
      </w:tr>
      <w:tr>
        <w:trPr>
          <w:trHeight w:val="310" w:hRule="exact"/>
        </w:trPr>
        <w:tc>
          <w:tcPr>
            <w:tcW w:w="1140" w:type="dxa"/>
          </w:tcPr>
          <w:p>
            <w:pPr>
              <w:pStyle w:val="TableParagraph"/>
              <w:spacing w:before="41"/>
              <w:ind w:left="239" w:right="239"/>
              <w:jc w:val="center"/>
              <w:rPr>
                <w:b/>
                <w:sz w:val="22"/>
              </w:rPr>
            </w:pPr>
            <w:r>
              <w:rPr>
                <w:b/>
                <w:sz w:val="22"/>
              </w:rPr>
              <w:t>25</w:t>
            </w:r>
          </w:p>
        </w:tc>
        <w:tc>
          <w:tcPr>
            <w:tcW w:w="6676" w:type="dxa"/>
          </w:tcPr>
          <w:p>
            <w:pPr>
              <w:pStyle w:val="TableParagraph"/>
              <w:spacing w:before="21"/>
              <w:ind w:left="64" w:right="812"/>
              <w:rPr>
                <w:sz w:val="22"/>
              </w:rPr>
            </w:pPr>
            <w:r>
              <w:rPr>
                <w:sz w:val="22"/>
              </w:rPr>
              <w:t>ECONOMIC DEVELOPMENT QUARTERLY</w:t>
            </w:r>
          </w:p>
        </w:tc>
        <w:tc>
          <w:tcPr>
            <w:tcW w:w="991" w:type="dxa"/>
          </w:tcPr>
          <w:p>
            <w:pPr>
              <w:pStyle w:val="TableParagraph"/>
              <w:spacing w:before="43"/>
              <w:ind w:right="59"/>
              <w:jc w:val="right"/>
              <w:rPr>
                <w:sz w:val="22"/>
              </w:rPr>
            </w:pPr>
            <w:r>
              <w:rPr>
                <w:sz w:val="22"/>
              </w:rPr>
              <w:t>0.830</w:t>
            </w:r>
          </w:p>
        </w:tc>
      </w:tr>
      <w:tr>
        <w:trPr>
          <w:trHeight w:val="350" w:hRule="exact"/>
        </w:trPr>
        <w:tc>
          <w:tcPr>
            <w:tcW w:w="1140" w:type="dxa"/>
          </w:tcPr>
          <w:p>
            <w:pPr>
              <w:pStyle w:val="TableParagraph"/>
              <w:spacing w:before="84"/>
              <w:ind w:left="239" w:right="239"/>
              <w:jc w:val="center"/>
              <w:rPr>
                <w:b/>
                <w:sz w:val="22"/>
              </w:rPr>
            </w:pPr>
            <w:r>
              <w:rPr>
                <w:b/>
                <w:sz w:val="22"/>
              </w:rPr>
              <w:t>26</w:t>
            </w:r>
          </w:p>
        </w:tc>
        <w:tc>
          <w:tcPr>
            <w:tcW w:w="6676" w:type="dxa"/>
          </w:tcPr>
          <w:p>
            <w:pPr>
              <w:pStyle w:val="TableParagraph"/>
              <w:spacing w:before="41"/>
              <w:ind w:left="64" w:right="812"/>
              <w:rPr>
                <w:sz w:val="22"/>
              </w:rPr>
            </w:pPr>
            <w:r>
              <w:rPr>
                <w:sz w:val="22"/>
              </w:rPr>
              <w:t>JOURNAL OF CONTEMPORARY ETHNOGRAPHY</w:t>
            </w:r>
          </w:p>
        </w:tc>
        <w:tc>
          <w:tcPr>
            <w:tcW w:w="991" w:type="dxa"/>
          </w:tcPr>
          <w:p>
            <w:pPr>
              <w:pStyle w:val="TableParagraph"/>
              <w:spacing w:before="86"/>
              <w:ind w:right="59"/>
              <w:jc w:val="right"/>
              <w:rPr>
                <w:sz w:val="22"/>
              </w:rPr>
            </w:pPr>
            <w:r>
              <w:rPr>
                <w:sz w:val="22"/>
              </w:rPr>
              <w:t>0.826</w:t>
            </w:r>
          </w:p>
        </w:tc>
      </w:tr>
      <w:tr>
        <w:trPr>
          <w:trHeight w:val="353" w:hRule="exact"/>
        </w:trPr>
        <w:tc>
          <w:tcPr>
            <w:tcW w:w="1140" w:type="dxa"/>
          </w:tcPr>
          <w:p>
            <w:pPr>
              <w:pStyle w:val="TableParagraph"/>
              <w:spacing w:before="86"/>
              <w:ind w:left="239" w:right="239"/>
              <w:jc w:val="center"/>
              <w:rPr>
                <w:b/>
                <w:sz w:val="22"/>
              </w:rPr>
            </w:pPr>
            <w:r>
              <w:rPr>
                <w:b/>
                <w:sz w:val="22"/>
              </w:rPr>
              <w:t>27</w:t>
            </w:r>
          </w:p>
        </w:tc>
        <w:tc>
          <w:tcPr>
            <w:tcW w:w="6676" w:type="dxa"/>
          </w:tcPr>
          <w:p>
            <w:pPr>
              <w:pStyle w:val="TableParagraph"/>
              <w:spacing w:before="43"/>
              <w:ind w:left="64" w:right="812"/>
              <w:rPr>
                <w:sz w:val="22"/>
              </w:rPr>
            </w:pPr>
            <w:r>
              <w:rPr>
                <w:sz w:val="22"/>
              </w:rPr>
              <w:t>JOURNAL OF URBAN PLANNING AND DEVELOPMENT</w:t>
            </w:r>
          </w:p>
        </w:tc>
        <w:tc>
          <w:tcPr>
            <w:tcW w:w="991" w:type="dxa"/>
          </w:tcPr>
          <w:p>
            <w:pPr>
              <w:pStyle w:val="TableParagraph"/>
              <w:spacing w:before="89"/>
              <w:ind w:right="59"/>
              <w:jc w:val="right"/>
              <w:rPr>
                <w:sz w:val="22"/>
              </w:rPr>
            </w:pPr>
            <w:r>
              <w:rPr>
                <w:sz w:val="22"/>
              </w:rPr>
              <w:t>0.809</w:t>
            </w:r>
          </w:p>
        </w:tc>
      </w:tr>
      <w:tr>
        <w:trPr>
          <w:trHeight w:val="310" w:hRule="exact"/>
        </w:trPr>
        <w:tc>
          <w:tcPr>
            <w:tcW w:w="1140" w:type="dxa"/>
          </w:tcPr>
          <w:p>
            <w:pPr>
              <w:pStyle w:val="TableParagraph"/>
              <w:spacing w:before="43"/>
              <w:ind w:left="239" w:right="239"/>
              <w:jc w:val="center"/>
              <w:rPr>
                <w:b/>
                <w:sz w:val="22"/>
              </w:rPr>
            </w:pPr>
            <w:r>
              <w:rPr>
                <w:b/>
                <w:sz w:val="22"/>
              </w:rPr>
              <w:t>28</w:t>
            </w:r>
          </w:p>
        </w:tc>
        <w:tc>
          <w:tcPr>
            <w:tcW w:w="6676" w:type="dxa"/>
          </w:tcPr>
          <w:p>
            <w:pPr>
              <w:pStyle w:val="TableParagraph"/>
              <w:spacing w:before="21"/>
              <w:ind w:left="64" w:right="812"/>
              <w:rPr>
                <w:sz w:val="22"/>
              </w:rPr>
            </w:pPr>
            <w:r>
              <w:rPr>
                <w:sz w:val="22"/>
              </w:rPr>
              <w:t>REAL ESTATE ECONOMICS</w:t>
            </w:r>
          </w:p>
        </w:tc>
        <w:tc>
          <w:tcPr>
            <w:tcW w:w="991" w:type="dxa"/>
          </w:tcPr>
          <w:p>
            <w:pPr>
              <w:pStyle w:val="TableParagraph"/>
              <w:spacing w:before="45"/>
              <w:ind w:right="59"/>
              <w:jc w:val="right"/>
              <w:rPr>
                <w:sz w:val="22"/>
              </w:rPr>
            </w:pPr>
            <w:r>
              <w:rPr>
                <w:sz w:val="22"/>
              </w:rPr>
              <w:t>0.672</w:t>
            </w:r>
          </w:p>
        </w:tc>
      </w:tr>
      <w:tr>
        <w:trPr>
          <w:trHeight w:val="353" w:hRule="exact"/>
        </w:trPr>
        <w:tc>
          <w:tcPr>
            <w:tcW w:w="1140" w:type="dxa"/>
          </w:tcPr>
          <w:p>
            <w:pPr>
              <w:pStyle w:val="TableParagraph"/>
              <w:spacing w:before="86"/>
              <w:ind w:left="239" w:right="239"/>
              <w:jc w:val="center"/>
              <w:rPr>
                <w:b/>
                <w:sz w:val="22"/>
              </w:rPr>
            </w:pPr>
            <w:r>
              <w:rPr>
                <w:b/>
                <w:sz w:val="22"/>
              </w:rPr>
              <w:t>29</w:t>
            </w:r>
          </w:p>
        </w:tc>
        <w:tc>
          <w:tcPr>
            <w:tcW w:w="6676" w:type="dxa"/>
          </w:tcPr>
          <w:p>
            <w:pPr>
              <w:pStyle w:val="TableParagraph"/>
              <w:spacing w:before="43"/>
              <w:ind w:left="64" w:right="141"/>
              <w:rPr>
                <w:sz w:val="22"/>
              </w:rPr>
            </w:pPr>
            <w:r>
              <w:rPr>
                <w:sz w:val="22"/>
              </w:rPr>
              <w:t>JOURNAL OF REAL ESTATE FINANCE AND ECONOMICS</w:t>
            </w:r>
          </w:p>
        </w:tc>
        <w:tc>
          <w:tcPr>
            <w:tcW w:w="991" w:type="dxa"/>
          </w:tcPr>
          <w:p>
            <w:pPr>
              <w:pStyle w:val="TableParagraph"/>
              <w:spacing w:before="89"/>
              <w:ind w:right="59"/>
              <w:jc w:val="right"/>
              <w:rPr>
                <w:sz w:val="22"/>
              </w:rPr>
            </w:pPr>
            <w:r>
              <w:rPr>
                <w:sz w:val="22"/>
              </w:rPr>
              <w:t>0.657</w:t>
            </w:r>
          </w:p>
        </w:tc>
      </w:tr>
      <w:tr>
        <w:trPr>
          <w:trHeight w:val="310" w:hRule="exact"/>
        </w:trPr>
        <w:tc>
          <w:tcPr>
            <w:tcW w:w="1140" w:type="dxa"/>
          </w:tcPr>
          <w:p>
            <w:pPr>
              <w:pStyle w:val="TableParagraph"/>
              <w:spacing w:before="43"/>
              <w:ind w:left="239" w:right="239"/>
              <w:jc w:val="center"/>
              <w:rPr>
                <w:b/>
                <w:sz w:val="22"/>
              </w:rPr>
            </w:pPr>
            <w:r>
              <w:rPr>
                <w:b/>
                <w:sz w:val="22"/>
              </w:rPr>
              <w:t>29</w:t>
            </w:r>
          </w:p>
        </w:tc>
        <w:tc>
          <w:tcPr>
            <w:tcW w:w="6676" w:type="dxa"/>
          </w:tcPr>
          <w:p>
            <w:pPr>
              <w:pStyle w:val="TableParagraph"/>
              <w:spacing w:before="21"/>
              <w:ind w:left="64" w:right="812"/>
              <w:rPr>
                <w:sz w:val="22"/>
              </w:rPr>
            </w:pPr>
            <w:r>
              <w:rPr>
                <w:sz w:val="22"/>
              </w:rPr>
              <w:t>Journal of Housing and the Built Environment</w:t>
            </w:r>
          </w:p>
        </w:tc>
        <w:tc>
          <w:tcPr>
            <w:tcW w:w="991" w:type="dxa"/>
          </w:tcPr>
          <w:p>
            <w:pPr>
              <w:pStyle w:val="TableParagraph"/>
              <w:spacing w:before="45"/>
              <w:ind w:right="59"/>
              <w:jc w:val="right"/>
              <w:rPr>
                <w:sz w:val="22"/>
              </w:rPr>
            </w:pPr>
            <w:r>
              <w:rPr>
                <w:sz w:val="22"/>
              </w:rPr>
              <w:t>0.657</w:t>
            </w:r>
          </w:p>
        </w:tc>
      </w:tr>
      <w:tr>
        <w:trPr>
          <w:trHeight w:val="310" w:hRule="exact"/>
        </w:trPr>
        <w:tc>
          <w:tcPr>
            <w:tcW w:w="1140" w:type="dxa"/>
          </w:tcPr>
          <w:p>
            <w:pPr>
              <w:pStyle w:val="TableParagraph"/>
              <w:spacing w:before="43"/>
              <w:ind w:left="239" w:right="239"/>
              <w:jc w:val="center"/>
              <w:rPr>
                <w:b/>
                <w:sz w:val="22"/>
              </w:rPr>
            </w:pPr>
            <w:r>
              <w:rPr>
                <w:b/>
                <w:sz w:val="22"/>
              </w:rPr>
              <w:t>31</w:t>
            </w:r>
          </w:p>
        </w:tc>
        <w:tc>
          <w:tcPr>
            <w:tcW w:w="6676" w:type="dxa"/>
          </w:tcPr>
          <w:p>
            <w:pPr>
              <w:pStyle w:val="TableParagraph"/>
              <w:spacing w:before="21"/>
              <w:ind w:left="64" w:right="812"/>
              <w:rPr>
                <w:sz w:val="22"/>
              </w:rPr>
            </w:pPr>
            <w:r>
              <w:rPr>
                <w:sz w:val="22"/>
              </w:rPr>
              <w:t>Urban Policy and Research</w:t>
            </w:r>
          </w:p>
        </w:tc>
        <w:tc>
          <w:tcPr>
            <w:tcW w:w="991" w:type="dxa"/>
          </w:tcPr>
          <w:p>
            <w:pPr>
              <w:pStyle w:val="TableParagraph"/>
              <w:spacing w:before="45"/>
              <w:ind w:right="59"/>
              <w:jc w:val="right"/>
              <w:rPr>
                <w:sz w:val="22"/>
              </w:rPr>
            </w:pPr>
            <w:r>
              <w:rPr>
                <w:sz w:val="22"/>
              </w:rPr>
              <w:t>0.574</w:t>
            </w:r>
          </w:p>
        </w:tc>
      </w:tr>
      <w:tr>
        <w:trPr>
          <w:trHeight w:val="353" w:hRule="exact"/>
        </w:trPr>
        <w:tc>
          <w:tcPr>
            <w:tcW w:w="1140" w:type="dxa"/>
          </w:tcPr>
          <w:p>
            <w:pPr>
              <w:pStyle w:val="TableParagraph"/>
              <w:spacing w:before="86"/>
              <w:ind w:left="239" w:right="239"/>
              <w:jc w:val="center"/>
              <w:rPr>
                <w:b/>
                <w:sz w:val="22"/>
              </w:rPr>
            </w:pPr>
            <w:r>
              <w:rPr>
                <w:b/>
                <w:sz w:val="22"/>
              </w:rPr>
              <w:t>32</w:t>
            </w:r>
          </w:p>
        </w:tc>
        <w:tc>
          <w:tcPr>
            <w:tcW w:w="6676" w:type="dxa"/>
          </w:tcPr>
          <w:p>
            <w:pPr>
              <w:pStyle w:val="TableParagraph"/>
              <w:spacing w:before="43"/>
              <w:ind w:left="64" w:right="141"/>
              <w:rPr>
                <w:sz w:val="22"/>
              </w:rPr>
            </w:pPr>
            <w:r>
              <w:rPr>
                <w:sz w:val="22"/>
              </w:rPr>
              <w:t>JOURNAL OF ARCHITECTURAL AND PLANNING RESEARCH</w:t>
            </w:r>
          </w:p>
        </w:tc>
        <w:tc>
          <w:tcPr>
            <w:tcW w:w="991" w:type="dxa"/>
          </w:tcPr>
          <w:p>
            <w:pPr>
              <w:pStyle w:val="TableParagraph"/>
              <w:spacing w:before="89"/>
              <w:ind w:right="59"/>
              <w:jc w:val="right"/>
              <w:rPr>
                <w:sz w:val="22"/>
              </w:rPr>
            </w:pPr>
            <w:r>
              <w:rPr>
                <w:sz w:val="22"/>
              </w:rPr>
              <w:t>0.500</w:t>
            </w:r>
          </w:p>
        </w:tc>
      </w:tr>
      <w:tr>
        <w:trPr>
          <w:trHeight w:val="310" w:hRule="exact"/>
        </w:trPr>
        <w:tc>
          <w:tcPr>
            <w:tcW w:w="1140" w:type="dxa"/>
          </w:tcPr>
          <w:p>
            <w:pPr>
              <w:pStyle w:val="TableParagraph"/>
              <w:spacing w:before="43"/>
              <w:ind w:left="239" w:right="239"/>
              <w:jc w:val="center"/>
              <w:rPr>
                <w:b/>
                <w:sz w:val="22"/>
              </w:rPr>
            </w:pPr>
            <w:r>
              <w:rPr>
                <w:b/>
                <w:sz w:val="22"/>
              </w:rPr>
              <w:t>32</w:t>
            </w:r>
          </w:p>
        </w:tc>
        <w:tc>
          <w:tcPr>
            <w:tcW w:w="6676" w:type="dxa"/>
          </w:tcPr>
          <w:p>
            <w:pPr>
              <w:pStyle w:val="TableParagraph"/>
              <w:spacing w:before="21"/>
              <w:ind w:left="64" w:right="812"/>
              <w:rPr>
                <w:sz w:val="22"/>
              </w:rPr>
            </w:pPr>
            <w:r>
              <w:rPr>
                <w:sz w:val="22"/>
              </w:rPr>
              <w:t>JOURNAL OF HOUSING ECONOMICS</w:t>
            </w:r>
          </w:p>
        </w:tc>
        <w:tc>
          <w:tcPr>
            <w:tcW w:w="991" w:type="dxa"/>
          </w:tcPr>
          <w:p>
            <w:pPr>
              <w:pStyle w:val="TableParagraph"/>
              <w:spacing w:before="45"/>
              <w:ind w:right="59"/>
              <w:jc w:val="right"/>
              <w:rPr>
                <w:sz w:val="22"/>
              </w:rPr>
            </w:pPr>
            <w:r>
              <w:rPr>
                <w:sz w:val="22"/>
              </w:rPr>
              <w:t>0.500</w:t>
            </w:r>
          </w:p>
        </w:tc>
      </w:tr>
      <w:tr>
        <w:trPr>
          <w:trHeight w:val="310" w:hRule="exact"/>
        </w:trPr>
        <w:tc>
          <w:tcPr>
            <w:tcW w:w="1140" w:type="dxa"/>
          </w:tcPr>
          <w:p>
            <w:pPr>
              <w:pStyle w:val="TableParagraph"/>
              <w:spacing w:before="43"/>
              <w:ind w:left="239" w:right="239"/>
              <w:jc w:val="center"/>
              <w:rPr>
                <w:b/>
                <w:sz w:val="22"/>
              </w:rPr>
            </w:pPr>
            <w:r>
              <w:rPr>
                <w:b/>
                <w:sz w:val="22"/>
              </w:rPr>
              <w:t>34</w:t>
            </w:r>
          </w:p>
        </w:tc>
        <w:tc>
          <w:tcPr>
            <w:tcW w:w="6676" w:type="dxa"/>
          </w:tcPr>
          <w:p>
            <w:pPr>
              <w:pStyle w:val="TableParagraph"/>
              <w:spacing w:before="21"/>
              <w:ind w:left="64" w:right="812"/>
              <w:rPr>
                <w:sz w:val="22"/>
              </w:rPr>
            </w:pPr>
            <w:r>
              <w:rPr>
                <w:sz w:val="22"/>
              </w:rPr>
              <w:t>URBAN LAWYER</w:t>
            </w:r>
          </w:p>
        </w:tc>
        <w:tc>
          <w:tcPr>
            <w:tcW w:w="991" w:type="dxa"/>
          </w:tcPr>
          <w:p>
            <w:pPr>
              <w:pStyle w:val="TableParagraph"/>
              <w:spacing w:before="45"/>
              <w:ind w:right="59"/>
              <w:jc w:val="right"/>
              <w:rPr>
                <w:sz w:val="22"/>
              </w:rPr>
            </w:pPr>
            <w:r>
              <w:rPr>
                <w:sz w:val="22"/>
              </w:rPr>
              <w:t>0.441</w:t>
            </w:r>
          </w:p>
        </w:tc>
      </w:tr>
      <w:tr>
        <w:trPr>
          <w:trHeight w:val="312" w:hRule="exact"/>
        </w:trPr>
        <w:tc>
          <w:tcPr>
            <w:tcW w:w="1140" w:type="dxa"/>
          </w:tcPr>
          <w:p>
            <w:pPr>
              <w:pStyle w:val="TableParagraph"/>
              <w:spacing w:before="43"/>
              <w:ind w:left="239" w:right="239"/>
              <w:jc w:val="center"/>
              <w:rPr>
                <w:b/>
                <w:sz w:val="22"/>
              </w:rPr>
            </w:pPr>
            <w:r>
              <w:rPr>
                <w:b/>
                <w:sz w:val="22"/>
              </w:rPr>
              <w:t>35</w:t>
            </w:r>
          </w:p>
        </w:tc>
        <w:tc>
          <w:tcPr>
            <w:tcW w:w="6676" w:type="dxa"/>
          </w:tcPr>
          <w:p>
            <w:pPr>
              <w:pStyle w:val="TableParagraph"/>
              <w:spacing w:before="22"/>
              <w:ind w:left="64" w:right="812"/>
              <w:rPr>
                <w:sz w:val="22"/>
              </w:rPr>
            </w:pPr>
            <w:r>
              <w:rPr>
                <w:sz w:val="22"/>
              </w:rPr>
              <w:t>Urban Design International</w:t>
            </w:r>
          </w:p>
        </w:tc>
        <w:tc>
          <w:tcPr>
            <w:tcW w:w="991" w:type="dxa"/>
          </w:tcPr>
          <w:p>
            <w:pPr>
              <w:pStyle w:val="TableParagraph"/>
              <w:spacing w:before="46"/>
              <w:ind w:right="59"/>
              <w:jc w:val="right"/>
              <w:rPr>
                <w:sz w:val="22"/>
              </w:rPr>
            </w:pPr>
            <w:r>
              <w:rPr>
                <w:sz w:val="22"/>
              </w:rPr>
              <w:t>0.375</w:t>
            </w:r>
          </w:p>
        </w:tc>
      </w:tr>
    </w:tbl>
    <w:p>
      <w:pPr>
        <w:spacing w:after="0"/>
        <w:jc w:val="right"/>
        <w:rPr>
          <w:sz w:val="22"/>
        </w:rPr>
        <w:sectPr>
          <w:pgSz w:w="12240" w:h="15840"/>
          <w:pgMar w:header="0" w:footer="629" w:top="1360" w:bottom="880" w:left="1580" w:right="158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0"/>
        <w:gridCol w:w="6676"/>
        <w:gridCol w:w="991"/>
      </w:tblGrid>
      <w:tr>
        <w:trPr>
          <w:trHeight w:val="770" w:hRule="exact"/>
        </w:trPr>
        <w:tc>
          <w:tcPr>
            <w:tcW w:w="1140" w:type="dxa"/>
            <w:shd w:val="clear" w:color="auto" w:fill="D9D9D9"/>
          </w:tcPr>
          <w:p>
            <w:pPr>
              <w:pStyle w:val="TableParagraph"/>
              <w:spacing w:before="4"/>
              <w:rPr>
                <w:b/>
                <w:sz w:val="21"/>
              </w:rPr>
            </w:pPr>
          </w:p>
          <w:p>
            <w:pPr>
              <w:pStyle w:val="TableParagraph"/>
              <w:ind w:left="239" w:right="240"/>
              <w:jc w:val="center"/>
              <w:rPr>
                <w:b/>
                <w:sz w:val="22"/>
              </w:rPr>
            </w:pPr>
            <w:r>
              <w:rPr>
                <w:b/>
                <w:sz w:val="22"/>
              </w:rPr>
              <w:t>Lugar</w:t>
            </w:r>
          </w:p>
        </w:tc>
        <w:tc>
          <w:tcPr>
            <w:tcW w:w="6676" w:type="dxa"/>
            <w:shd w:val="clear" w:color="auto" w:fill="D9D9D9"/>
          </w:tcPr>
          <w:p>
            <w:pPr>
              <w:pStyle w:val="TableParagraph"/>
              <w:spacing w:before="4"/>
              <w:rPr>
                <w:b/>
                <w:sz w:val="21"/>
              </w:rPr>
            </w:pPr>
          </w:p>
          <w:p>
            <w:pPr>
              <w:pStyle w:val="TableParagraph"/>
              <w:ind w:left="2511" w:right="2512"/>
              <w:jc w:val="center"/>
              <w:rPr>
                <w:b/>
                <w:sz w:val="22"/>
              </w:rPr>
            </w:pPr>
            <w:r>
              <w:rPr>
                <w:b/>
                <w:sz w:val="22"/>
              </w:rPr>
              <w:t>Nombre revista</w:t>
            </w:r>
          </w:p>
        </w:tc>
        <w:tc>
          <w:tcPr>
            <w:tcW w:w="991" w:type="dxa"/>
            <w:shd w:val="clear" w:color="auto" w:fill="D9D9D9"/>
          </w:tcPr>
          <w:p>
            <w:pPr>
              <w:pStyle w:val="TableParagraph"/>
              <w:ind w:left="69" w:right="65" w:hanging="4"/>
              <w:jc w:val="center"/>
              <w:rPr>
                <w:b/>
                <w:sz w:val="22"/>
              </w:rPr>
            </w:pPr>
            <w:r>
              <w:rPr>
                <w:b/>
                <w:sz w:val="22"/>
              </w:rPr>
              <w:t>Factor de Impacto</w:t>
            </w:r>
          </w:p>
        </w:tc>
      </w:tr>
      <w:tr>
        <w:trPr>
          <w:trHeight w:val="310" w:hRule="exact"/>
        </w:trPr>
        <w:tc>
          <w:tcPr>
            <w:tcW w:w="1140" w:type="dxa"/>
          </w:tcPr>
          <w:p>
            <w:pPr>
              <w:pStyle w:val="TableParagraph"/>
              <w:spacing w:before="40"/>
              <w:ind w:left="239" w:right="239"/>
              <w:jc w:val="center"/>
              <w:rPr>
                <w:b/>
                <w:sz w:val="22"/>
              </w:rPr>
            </w:pPr>
            <w:r>
              <w:rPr>
                <w:b/>
                <w:sz w:val="22"/>
              </w:rPr>
              <w:t>36</w:t>
            </w:r>
          </w:p>
        </w:tc>
        <w:tc>
          <w:tcPr>
            <w:tcW w:w="6676" w:type="dxa"/>
          </w:tcPr>
          <w:p>
            <w:pPr>
              <w:pStyle w:val="TableParagraph"/>
              <w:spacing w:before="19"/>
              <w:ind w:left="64" w:right="812"/>
              <w:rPr>
                <w:sz w:val="22"/>
              </w:rPr>
            </w:pPr>
            <w:r>
              <w:rPr>
                <w:sz w:val="22"/>
              </w:rPr>
              <w:t>EDUCATION AND URBAN SOCIETY</w:t>
            </w:r>
          </w:p>
        </w:tc>
        <w:tc>
          <w:tcPr>
            <w:tcW w:w="991" w:type="dxa"/>
          </w:tcPr>
          <w:p>
            <w:pPr>
              <w:pStyle w:val="TableParagraph"/>
              <w:spacing w:before="43"/>
              <w:ind w:right="59"/>
              <w:jc w:val="right"/>
              <w:rPr>
                <w:sz w:val="22"/>
              </w:rPr>
            </w:pPr>
            <w:r>
              <w:rPr>
                <w:sz w:val="22"/>
              </w:rPr>
              <w:t>0.333</w:t>
            </w:r>
          </w:p>
        </w:tc>
      </w:tr>
      <w:tr>
        <w:trPr>
          <w:trHeight w:val="516" w:hRule="exact"/>
        </w:trPr>
        <w:tc>
          <w:tcPr>
            <w:tcW w:w="1140" w:type="dxa"/>
          </w:tcPr>
          <w:p>
            <w:pPr>
              <w:pStyle w:val="TableParagraph"/>
              <w:spacing w:before="5"/>
              <w:rPr>
                <w:b/>
                <w:sz w:val="21"/>
              </w:rPr>
            </w:pPr>
          </w:p>
          <w:p>
            <w:pPr>
              <w:pStyle w:val="TableParagraph"/>
              <w:ind w:left="239" w:right="239"/>
              <w:jc w:val="center"/>
              <w:rPr>
                <w:b/>
                <w:sz w:val="22"/>
              </w:rPr>
            </w:pPr>
            <w:r>
              <w:rPr>
                <w:b/>
                <w:sz w:val="22"/>
              </w:rPr>
              <w:t>37</w:t>
            </w:r>
          </w:p>
        </w:tc>
        <w:tc>
          <w:tcPr>
            <w:tcW w:w="6676" w:type="dxa"/>
          </w:tcPr>
          <w:p>
            <w:pPr>
              <w:pStyle w:val="TableParagraph"/>
              <w:spacing w:line="242" w:lineRule="auto"/>
              <w:ind w:left="64" w:right="141"/>
              <w:rPr>
                <w:b/>
                <w:sz w:val="22"/>
              </w:rPr>
            </w:pPr>
            <w:r>
              <w:rPr>
                <w:b/>
                <w:sz w:val="22"/>
              </w:rPr>
              <w:t>EURE-REVISTA LATINOAMERICANA DE ESTUDIOS URBANO REGIONALES</w:t>
            </w:r>
          </w:p>
        </w:tc>
        <w:tc>
          <w:tcPr>
            <w:tcW w:w="991" w:type="dxa"/>
          </w:tcPr>
          <w:p>
            <w:pPr>
              <w:pStyle w:val="TableParagraph"/>
              <w:spacing w:before="7"/>
              <w:rPr>
                <w:b/>
                <w:sz w:val="21"/>
              </w:rPr>
            </w:pPr>
          </w:p>
          <w:p>
            <w:pPr>
              <w:pStyle w:val="TableParagraph"/>
              <w:ind w:right="59"/>
              <w:jc w:val="right"/>
              <w:rPr>
                <w:sz w:val="22"/>
              </w:rPr>
            </w:pPr>
            <w:r>
              <w:rPr>
                <w:sz w:val="22"/>
              </w:rPr>
              <w:t>0.268</w:t>
            </w:r>
          </w:p>
        </w:tc>
      </w:tr>
      <w:tr>
        <w:trPr>
          <w:trHeight w:val="310" w:hRule="exact"/>
        </w:trPr>
        <w:tc>
          <w:tcPr>
            <w:tcW w:w="1140" w:type="dxa"/>
          </w:tcPr>
          <w:p>
            <w:pPr>
              <w:pStyle w:val="TableParagraph"/>
              <w:spacing w:before="40"/>
              <w:ind w:left="239" w:right="239"/>
              <w:jc w:val="center"/>
              <w:rPr>
                <w:b/>
                <w:sz w:val="22"/>
              </w:rPr>
            </w:pPr>
            <w:r>
              <w:rPr>
                <w:b/>
                <w:sz w:val="22"/>
              </w:rPr>
              <w:t>38</w:t>
            </w:r>
          </w:p>
        </w:tc>
        <w:tc>
          <w:tcPr>
            <w:tcW w:w="6676" w:type="dxa"/>
          </w:tcPr>
          <w:p>
            <w:pPr>
              <w:pStyle w:val="TableParagraph"/>
              <w:spacing w:before="19"/>
              <w:ind w:left="64" w:right="812"/>
              <w:rPr>
                <w:sz w:val="22"/>
              </w:rPr>
            </w:pPr>
            <w:r>
              <w:rPr>
                <w:sz w:val="22"/>
              </w:rPr>
              <w:t>JOURNAL OF URBAN HISTORY</w:t>
            </w:r>
          </w:p>
        </w:tc>
        <w:tc>
          <w:tcPr>
            <w:tcW w:w="991" w:type="dxa"/>
          </w:tcPr>
          <w:p>
            <w:pPr>
              <w:pStyle w:val="TableParagraph"/>
              <w:spacing w:before="43"/>
              <w:ind w:right="59"/>
              <w:jc w:val="right"/>
              <w:rPr>
                <w:sz w:val="22"/>
              </w:rPr>
            </w:pPr>
            <w:r>
              <w:rPr>
                <w:sz w:val="22"/>
              </w:rPr>
              <w:t>0.216</w:t>
            </w:r>
          </w:p>
        </w:tc>
      </w:tr>
      <w:tr>
        <w:trPr>
          <w:trHeight w:val="310" w:hRule="exact"/>
        </w:trPr>
        <w:tc>
          <w:tcPr>
            <w:tcW w:w="1140" w:type="dxa"/>
          </w:tcPr>
          <w:p>
            <w:pPr>
              <w:pStyle w:val="TableParagraph"/>
              <w:spacing w:before="40"/>
              <w:ind w:left="239" w:right="239"/>
              <w:jc w:val="center"/>
              <w:rPr>
                <w:b/>
                <w:sz w:val="22"/>
              </w:rPr>
            </w:pPr>
            <w:r>
              <w:rPr>
                <w:b/>
                <w:sz w:val="22"/>
              </w:rPr>
              <w:t>39</w:t>
            </w:r>
          </w:p>
        </w:tc>
        <w:tc>
          <w:tcPr>
            <w:tcW w:w="6676" w:type="dxa"/>
          </w:tcPr>
          <w:p>
            <w:pPr>
              <w:pStyle w:val="TableParagraph"/>
              <w:spacing w:before="19"/>
              <w:ind w:left="64" w:right="812"/>
              <w:rPr>
                <w:sz w:val="22"/>
              </w:rPr>
            </w:pPr>
            <w:r>
              <w:rPr>
                <w:sz w:val="22"/>
              </w:rPr>
              <w:t>Open House International</w:t>
            </w:r>
          </w:p>
        </w:tc>
        <w:tc>
          <w:tcPr>
            <w:tcW w:w="991" w:type="dxa"/>
          </w:tcPr>
          <w:p>
            <w:pPr>
              <w:pStyle w:val="TableParagraph"/>
              <w:spacing w:before="43"/>
              <w:ind w:right="59"/>
              <w:jc w:val="right"/>
              <w:rPr>
                <w:sz w:val="22"/>
              </w:rPr>
            </w:pPr>
            <w:r>
              <w:rPr>
                <w:sz w:val="22"/>
              </w:rPr>
              <w:t>0.092</w:t>
            </w:r>
          </w:p>
        </w:tc>
      </w:tr>
    </w:tbl>
    <w:p>
      <w:pPr>
        <w:spacing w:line="248" w:lineRule="exact" w:before="0"/>
        <w:ind w:left="122" w:right="0" w:firstLine="0"/>
        <w:jc w:val="both"/>
        <w:rPr>
          <w:sz w:val="22"/>
        </w:rPr>
      </w:pPr>
      <w:r>
        <w:rPr>
          <w:sz w:val="22"/>
        </w:rPr>
        <w:t>Fuente: ISI, consultada octubre de 2015</w:t>
      </w:r>
    </w:p>
    <w:p>
      <w:pPr>
        <w:pStyle w:val="BodyText"/>
        <w:rPr>
          <w:sz w:val="22"/>
        </w:rPr>
      </w:pPr>
    </w:p>
    <w:p>
      <w:pPr>
        <w:pStyle w:val="BodyText"/>
        <w:spacing w:before="1"/>
        <w:rPr>
          <w:sz w:val="25"/>
        </w:rPr>
      </w:pPr>
    </w:p>
    <w:p>
      <w:pPr>
        <w:pStyle w:val="BodyText"/>
        <w:spacing w:line="360" w:lineRule="auto"/>
        <w:ind w:left="122" w:right="125"/>
        <w:jc w:val="both"/>
      </w:pPr>
      <w:r>
        <w:rPr/>
        <w:t>De las citas de Eure, es importante resaltar que por cuestiones metodológicas no se consideran reseñas de libros, editoriales, reseñas de artículos en proceso únicamente tomamos las citas de los artículos científicos; para 2014 Eure cuenta con 474 artículos. La distribución por año es la siguiente: en 2001 se publicaron 18 artículos; 2002 hubo 21 artículos; 2003 contó con 18; 2004 con 17; 2005 con 16;</w:t>
      </w:r>
    </w:p>
    <w:p>
      <w:pPr>
        <w:pStyle w:val="BodyText"/>
        <w:spacing w:before="2"/>
        <w:ind w:left="122"/>
        <w:jc w:val="both"/>
      </w:pPr>
      <w:r>
        <w:rPr/>
        <w:t>2006 con 19; de 2007 a 2009 tuvo 18 por año; 2010 tuvo 19; 2011 con 18; 2012</w:t>
      </w:r>
    </w:p>
    <w:p>
      <w:pPr>
        <w:pStyle w:val="BodyText"/>
        <w:spacing w:before="139"/>
        <w:ind w:left="122"/>
        <w:jc w:val="both"/>
      </w:pPr>
      <w:r>
        <w:rPr/>
        <w:t>con 26 y 2013 tuvo 10.</w:t>
      </w:r>
    </w:p>
    <w:p>
      <w:pPr>
        <w:pStyle w:val="BodyText"/>
      </w:pPr>
    </w:p>
    <w:p>
      <w:pPr>
        <w:pStyle w:val="BodyText"/>
      </w:pPr>
    </w:p>
    <w:p>
      <w:pPr>
        <w:pStyle w:val="BodyText"/>
        <w:spacing w:line="360" w:lineRule="auto"/>
        <w:ind w:left="122" w:right="124"/>
        <w:jc w:val="both"/>
      </w:pPr>
      <w:r>
        <w:rPr/>
        <w:t>La distribución por países, representado en la gráfica 1, nos brinda una importante característica de esta revista, una cuarta parte de sus artículos son realizados en Chile mientras que 2 cuartas partes se realizan en 4 países: España, Brasil, Argentina y México; el 25% restante corresponde a países de Europa y África,  esto es un claro ejemplo del nivel de internacionalización de la revista y de su presencia en el contexto</w:t>
      </w:r>
      <w:r>
        <w:rPr>
          <w:spacing w:val="-13"/>
        </w:rPr>
        <w:t> </w:t>
      </w:r>
      <w:r>
        <w:rPr/>
        <w:t>latinoamericano.</w:t>
      </w:r>
    </w:p>
    <w:p>
      <w:pPr>
        <w:spacing w:after="0" w:line="360" w:lineRule="auto"/>
        <w:jc w:val="both"/>
        <w:sectPr>
          <w:pgSz w:w="12240" w:h="15840"/>
          <w:pgMar w:header="0" w:footer="629" w:top="1420" w:bottom="880" w:left="1580" w:right="1580"/>
        </w:sectPr>
      </w:pPr>
    </w:p>
    <w:p>
      <w:pPr>
        <w:pStyle w:val="Heading1"/>
        <w:spacing w:before="52"/>
        <w:ind w:left="100" w:right="117"/>
      </w:pPr>
      <w:r>
        <w:rPr/>
        <w:t>Figura 12</w:t>
      </w:r>
    </w:p>
    <w:p>
      <w:pPr>
        <w:spacing w:before="0"/>
        <w:ind w:left="3093" w:right="3107" w:firstLine="0"/>
        <w:jc w:val="center"/>
        <w:rPr>
          <w:b/>
          <w:sz w:val="24"/>
        </w:rPr>
      </w:pPr>
      <w:r>
        <w:rPr>
          <w:b/>
          <w:sz w:val="24"/>
        </w:rPr>
        <w:t>Artículos Eure 2001-2013 Distribución por países</w:t>
      </w:r>
    </w:p>
    <w:p>
      <w:pPr>
        <w:pStyle w:val="BodyText"/>
        <w:rPr>
          <w:b/>
          <w:sz w:val="20"/>
        </w:rPr>
      </w:pPr>
    </w:p>
    <w:p>
      <w:pPr>
        <w:pStyle w:val="BodyText"/>
        <w:rPr>
          <w:b/>
          <w:sz w:val="19"/>
        </w:rPr>
      </w:pPr>
    </w:p>
    <w:p>
      <w:pPr>
        <w:spacing w:before="59"/>
        <w:ind w:left="993" w:right="0" w:firstLine="0"/>
        <w:jc w:val="left"/>
        <w:rPr>
          <w:rFonts w:ascii="Calibri"/>
          <w:sz w:val="20"/>
        </w:rPr>
      </w:pPr>
      <w:r>
        <w:rPr/>
        <w:pict>
          <v:group style="position:absolute;margin-left:145.544998pt;margin-top:9.316460pt;width:332.7pt;height:166.35pt;mso-position-horizontal-relative:page;mso-position-vertical-relative:paragraph;z-index:2680" coordorigin="2911,186" coordsize="6654,3327">
            <v:shape style="position:absolute;left:2918;top:194;width:6639;height:3312" coordorigin="2918,194" coordsize="6639,3312" path="m2981,2973l9557,2973m2981,2510l9557,2510m2981,2047l9557,2047m2981,1583l9557,1583m2981,1120l9557,1120m2981,657l9557,657m2981,194l9557,194m2981,3436l2981,194m2918,3436l2981,3436m2918,2973l2981,2973m2918,2510l2981,2510m2918,2047l2981,2047m2918,1583l2981,1583m2918,1120l2981,1120m2918,657l2981,657m2918,194l2981,194m2981,3436l9557,3436m2981,3436l2981,3506m3281,3436l3281,3506m3578,3436l3578,3506m3878,3436l3878,3506m4176,3436l4176,3506m4476,3436l4476,3506m4774,3436l4774,3506m5074,3436l5074,3506m5371,3436l5371,3506m5671,3436l5671,3506m5971,3436l5971,3506m6269,3436l6269,3506m6569,3436l6569,3506m6866,3436l6866,3506m7166,3436l7166,3506m7464,3436l7464,3506m7764,3436l7764,3506m8062,3436l8062,3506m8362,3436l8362,3506m8662,3436l8662,3506m8959,3436l8959,3506m9259,3436l9259,3506m9557,3436l9557,3506e" filled="false" stroked="true" strokeweight=".72pt" strokecolor="#858585">
              <v:path arrowok="t"/>
            </v:shape>
            <v:shape style="position:absolute;left:3130;top:657;width:6279;height:2732" coordorigin="3130,657" coordsize="6279,2732" path="m3130,3251l3430,2555,3727,3297,4027,3343,4325,1953,4625,3203,4925,657,5222,3388,5522,3112,5820,1583,6120,2925,6418,3112,6718,2879,7018,2601,7315,3388,7615,3388,7913,3297,8213,3388,8510,3388,8810,3388,9108,3343,9408,3203e" filled="false" stroked="true" strokeweight="2.16pt" strokecolor="#497dba">
              <v:path arrowok="t"/>
            </v:shape>
            <v:shape style="position:absolute;left:4871;top:482;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5767;top:140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4272;top:173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32</w:t>
                    </w:r>
                  </w:p>
                </w:txbxContent>
              </v:textbox>
              <w10:wrap type="none"/>
            </v:shape>
            <v:shape style="position:absolute;left:3392;top:232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6963;top:244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18</w:t>
                    </w:r>
                  </w:p>
                </w:txbxContent>
              </v:textbox>
              <w10:wrap type="none"/>
            </v:shape>
            <v:shape style="position:absolute;left:6021;top:284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6614;top:272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v:shape style="position:absolute;left:9397;top:2984;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3081;top:316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4</w:t>
                    </w:r>
                  </w:p>
                </w:txbxContent>
              </v:textbox>
              <w10:wrap type="none"/>
            </v:shape>
            <v:shape style="position:absolute;left:3766;top:3077;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3</w:t>
                    </w:r>
                  </w:p>
                </w:txbxContent>
              </v:textbox>
              <w10:wrap type="none"/>
            </v:shape>
            <v:shape style="position:absolute;left:5473;top:303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7</w:t>
                    </w:r>
                  </w:p>
                </w:txbxContent>
              </v:textbox>
              <w10:wrap type="none"/>
            </v:shape>
            <v:shape style="position:absolute;left:4048;top:3262;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4613;top:320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6407;top:3123;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7</w:t>
                    </w:r>
                  </w:p>
                </w:txbxContent>
              </v:textbox>
              <w10:wrap type="none"/>
            </v:shape>
            <v:shape style="position:absolute;left:7902;top:3077;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3</w:t>
                    </w:r>
                  </w:p>
                </w:txbxContent>
              </v:textbox>
              <w10:wrap type="none"/>
            </v:shape>
            <v:shape style="position:absolute;left:8164;top:3148;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5174;top:3308;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7307;top:3208;width:360;height:219" type="#_x0000_t202" filled="false" stroked="false">
              <v:textbox inset="0,0,0,0">
                <w:txbxContent>
                  <w:p>
                    <w:pPr>
                      <w:spacing w:line="219" w:lineRule="exact" w:before="0"/>
                      <w:ind w:left="0" w:right="-318" w:firstLine="0"/>
                      <w:jc w:val="left"/>
                      <w:rPr>
                        <w:rFonts w:ascii="Calibri"/>
                        <w:sz w:val="20"/>
                      </w:rPr>
                    </w:pPr>
                    <w:r>
                      <w:rPr>
                        <w:rFonts w:ascii="Calibri"/>
                        <w:sz w:val="20"/>
                      </w:rPr>
                      <w:t>1   </w:t>
                    </w:r>
                    <w:r>
                      <w:rPr>
                        <w:rFonts w:ascii="Calibri"/>
                        <w:position w:val="2"/>
                        <w:sz w:val="20"/>
                      </w:rPr>
                      <w:t>1</w:t>
                    </w:r>
                  </w:p>
                </w:txbxContent>
              </v:textbox>
              <w10:wrap type="none"/>
            </v:shape>
            <v:shape style="position:absolute;left:8463;top:3208;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8762;top:3228;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9061;top:3182;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w10:wrap type="none"/>
          </v:group>
        </w:pict>
      </w:r>
      <w:r>
        <w:rPr>
          <w:rFonts w:ascii="Calibri"/>
          <w:sz w:val="20"/>
        </w:rPr>
        <w:t>70</w:t>
      </w:r>
    </w:p>
    <w:p>
      <w:pPr>
        <w:pStyle w:val="BodyText"/>
        <w:spacing w:before="11"/>
        <w:rPr>
          <w:rFonts w:ascii="Calibri"/>
          <w:sz w:val="17"/>
        </w:rPr>
      </w:pPr>
    </w:p>
    <w:p>
      <w:pPr>
        <w:spacing w:before="0"/>
        <w:ind w:left="993" w:right="0" w:firstLine="0"/>
        <w:jc w:val="left"/>
        <w:rPr>
          <w:rFonts w:ascii="Calibri"/>
          <w:sz w:val="20"/>
        </w:rPr>
      </w:pPr>
      <w:r>
        <w:rPr>
          <w:rFonts w:ascii="Calibri"/>
          <w:sz w:val="20"/>
        </w:rPr>
        <w:t>60</w:t>
      </w:r>
    </w:p>
    <w:p>
      <w:pPr>
        <w:pStyle w:val="BodyText"/>
        <w:spacing w:before="1"/>
        <w:rPr>
          <w:rFonts w:ascii="Calibri"/>
          <w:sz w:val="13"/>
        </w:rPr>
      </w:pPr>
    </w:p>
    <w:p>
      <w:pPr>
        <w:spacing w:before="59"/>
        <w:ind w:left="993" w:right="0" w:firstLine="0"/>
        <w:jc w:val="left"/>
        <w:rPr>
          <w:rFonts w:ascii="Calibri"/>
          <w:sz w:val="20"/>
        </w:rPr>
      </w:pPr>
      <w:r>
        <w:rPr>
          <w:rFonts w:ascii="Calibri"/>
          <w:sz w:val="20"/>
        </w:rPr>
        <w:t>50</w:t>
      </w:r>
    </w:p>
    <w:p>
      <w:pPr>
        <w:pStyle w:val="BodyText"/>
        <w:spacing w:before="12"/>
        <w:rPr>
          <w:rFonts w:ascii="Calibri"/>
          <w:sz w:val="17"/>
        </w:rPr>
      </w:pPr>
    </w:p>
    <w:p>
      <w:pPr>
        <w:spacing w:before="0"/>
        <w:ind w:left="993" w:right="0" w:firstLine="0"/>
        <w:jc w:val="left"/>
        <w:rPr>
          <w:rFonts w:ascii="Calibri"/>
          <w:sz w:val="20"/>
        </w:rPr>
      </w:pPr>
      <w:r>
        <w:rPr>
          <w:rFonts w:ascii="Calibri"/>
          <w:sz w:val="20"/>
        </w:rPr>
        <w:t>40</w:t>
      </w:r>
    </w:p>
    <w:p>
      <w:pPr>
        <w:pStyle w:val="BodyText"/>
        <w:spacing w:before="1"/>
        <w:rPr>
          <w:rFonts w:ascii="Calibri"/>
          <w:sz w:val="13"/>
        </w:rPr>
      </w:pPr>
    </w:p>
    <w:p>
      <w:pPr>
        <w:spacing w:before="59"/>
        <w:ind w:left="102" w:right="6972" w:firstLine="0"/>
        <w:jc w:val="center"/>
        <w:rPr>
          <w:rFonts w:ascii="Calibri"/>
          <w:sz w:val="20"/>
        </w:rPr>
      </w:pPr>
      <w:r>
        <w:rPr>
          <w:rFonts w:ascii="Calibri"/>
          <w:sz w:val="20"/>
        </w:rPr>
        <w:t>30</w:t>
      </w:r>
    </w:p>
    <w:p>
      <w:pPr>
        <w:pStyle w:val="BodyText"/>
        <w:spacing w:before="11"/>
        <w:rPr>
          <w:rFonts w:ascii="Calibri"/>
          <w:sz w:val="17"/>
        </w:rPr>
      </w:pPr>
    </w:p>
    <w:p>
      <w:pPr>
        <w:spacing w:before="0"/>
        <w:ind w:left="102" w:right="6972" w:firstLine="0"/>
        <w:jc w:val="center"/>
        <w:rPr>
          <w:rFonts w:ascii="Calibri"/>
          <w:sz w:val="20"/>
        </w:rPr>
      </w:pPr>
      <w:r>
        <w:rPr>
          <w:rFonts w:ascii="Calibri"/>
          <w:sz w:val="20"/>
        </w:rPr>
        <w:t>20</w:t>
      </w:r>
    </w:p>
    <w:p>
      <w:pPr>
        <w:pStyle w:val="BodyText"/>
        <w:spacing w:before="11"/>
        <w:rPr>
          <w:rFonts w:ascii="Calibri"/>
          <w:sz w:val="17"/>
        </w:rPr>
      </w:pPr>
    </w:p>
    <w:p>
      <w:pPr>
        <w:spacing w:before="0"/>
        <w:ind w:left="102" w:right="6972" w:firstLine="0"/>
        <w:jc w:val="center"/>
        <w:rPr>
          <w:rFonts w:ascii="Calibri"/>
          <w:sz w:val="20"/>
        </w:rPr>
      </w:pPr>
      <w:r>
        <w:rPr>
          <w:rFonts w:ascii="Calibri"/>
          <w:sz w:val="20"/>
        </w:rPr>
        <w:t>10</w:t>
      </w:r>
    </w:p>
    <w:p>
      <w:pPr>
        <w:pStyle w:val="BodyText"/>
        <w:spacing w:before="11"/>
        <w:rPr>
          <w:rFonts w:ascii="Calibri"/>
          <w:sz w:val="17"/>
        </w:rPr>
      </w:pPr>
    </w:p>
    <w:p>
      <w:pPr>
        <w:spacing w:before="1"/>
        <w:ind w:left="0" w:right="6768" w:firstLine="0"/>
        <w:jc w:val="center"/>
        <w:rPr>
          <w:rFonts w:ascii="Calibri"/>
          <w:sz w:val="20"/>
        </w:rPr>
      </w:pPr>
      <w:r>
        <w:rPr/>
        <w:pict>
          <v:shape style="position:absolute;margin-left:150.990005pt;margin-top:12.533923pt;width:327pt;height:72.95pt;mso-position-horizontal-relative:page;mso-position-vertical-relative:paragraph;z-index:2704" type="#_x0000_t202" filled="false" stroked="false">
            <v:textbox inset="0,0,0,0" style="layout-flow:vertical;mso-layout-flow-alt:bottom-to-top">
              <w:txbxContent>
                <w:p>
                  <w:pPr>
                    <w:spacing w:line="245" w:lineRule="exact" w:before="0"/>
                    <w:ind w:left="0" w:right="21" w:firstLine="0"/>
                    <w:jc w:val="right"/>
                    <w:rPr>
                      <w:rFonts w:ascii="Calibri"/>
                      <w:sz w:val="22"/>
                    </w:rPr>
                  </w:pPr>
                  <w:r>
                    <w:rPr>
                      <w:rFonts w:ascii="Calibri"/>
                      <w:w w:val="100"/>
                      <w:sz w:val="22"/>
                    </w:rPr>
                    <w:t>A</w:t>
                  </w:r>
                  <w:r>
                    <w:rPr>
                      <w:rFonts w:ascii="Calibri"/>
                      <w:spacing w:val="-1"/>
                      <w:w w:val="100"/>
                      <w:sz w:val="22"/>
                    </w:rPr>
                    <w:t>l</w:t>
                  </w:r>
                  <w:r>
                    <w:rPr>
                      <w:rFonts w:ascii="Calibri"/>
                      <w:w w:val="100"/>
                      <w:sz w:val="22"/>
                    </w:rPr>
                    <w:t>e</w:t>
                  </w:r>
                  <w:r>
                    <w:rPr>
                      <w:rFonts w:ascii="Calibri"/>
                      <w:spacing w:val="-1"/>
                      <w:w w:val="100"/>
                      <w:sz w:val="22"/>
                    </w:rPr>
                    <w:t>m</w:t>
                  </w:r>
                  <w:r>
                    <w:rPr>
                      <w:rFonts w:ascii="Calibri"/>
                      <w:w w:val="100"/>
                      <w:sz w:val="22"/>
                    </w:rPr>
                    <w:t>a</w:t>
                  </w:r>
                  <w:r>
                    <w:rPr>
                      <w:rFonts w:ascii="Calibri"/>
                      <w:spacing w:val="-1"/>
                      <w:w w:val="100"/>
                      <w:sz w:val="22"/>
                    </w:rPr>
                    <w:t>n</w:t>
                  </w:r>
                  <w:r>
                    <w:rPr>
                      <w:rFonts w:ascii="Calibri"/>
                      <w:w w:val="100"/>
                      <w:sz w:val="22"/>
                    </w:rPr>
                    <w:t>ia</w:t>
                  </w:r>
                </w:p>
                <w:p>
                  <w:pPr>
                    <w:spacing w:before="30"/>
                    <w:ind w:left="0" w:right="21" w:firstLine="0"/>
                    <w:jc w:val="right"/>
                    <w:rPr>
                      <w:rFonts w:ascii="Calibri"/>
                      <w:sz w:val="22"/>
                    </w:rPr>
                  </w:pPr>
                  <w:r>
                    <w:rPr>
                      <w:rFonts w:ascii="Calibri"/>
                      <w:w w:val="100"/>
                      <w:sz w:val="22"/>
                    </w:rPr>
                    <w:t>A</w:t>
                  </w:r>
                  <w:r>
                    <w:rPr>
                      <w:rFonts w:ascii="Calibri"/>
                      <w:spacing w:val="-1"/>
                      <w:w w:val="100"/>
                      <w:sz w:val="22"/>
                    </w:rPr>
                    <w:t>rg</w:t>
                  </w:r>
                  <w:r>
                    <w:rPr>
                      <w:rFonts w:ascii="Calibri"/>
                      <w:w w:val="100"/>
                      <w:sz w:val="22"/>
                    </w:rPr>
                    <w:t>enti</w:t>
                  </w:r>
                  <w:r>
                    <w:rPr>
                      <w:rFonts w:ascii="Calibri"/>
                      <w:spacing w:val="-2"/>
                      <w:w w:val="100"/>
                      <w:sz w:val="22"/>
                    </w:rPr>
                    <w:t>n</w:t>
                  </w:r>
                  <w:r>
                    <w:rPr>
                      <w:rFonts w:ascii="Calibri"/>
                      <w:w w:val="100"/>
                      <w:sz w:val="22"/>
                    </w:rPr>
                    <w:t>a</w:t>
                  </w:r>
                </w:p>
                <w:p>
                  <w:pPr>
                    <w:spacing w:line="266" w:lineRule="auto" w:before="30"/>
                    <w:ind w:left="769" w:right="19" w:firstLine="115"/>
                    <w:jc w:val="both"/>
                    <w:rPr>
                      <w:rFonts w:ascii="Calibri" w:hAnsi="Calibri"/>
                      <w:sz w:val="22"/>
                    </w:rPr>
                  </w:pPr>
                  <w:r>
                    <w:rPr>
                      <w:rFonts w:ascii="Calibri" w:hAnsi="Calibri"/>
                      <w:w w:val="100"/>
                      <w:sz w:val="22"/>
                    </w:rPr>
                    <w:t>A</w:t>
                  </w:r>
                  <w:r>
                    <w:rPr>
                      <w:rFonts w:ascii="Calibri" w:hAnsi="Calibri"/>
                      <w:spacing w:val="-2"/>
                      <w:w w:val="100"/>
                      <w:sz w:val="22"/>
                    </w:rPr>
                    <w:t>u</w:t>
                  </w:r>
                  <w:r>
                    <w:rPr>
                      <w:rFonts w:ascii="Calibri" w:hAnsi="Calibri"/>
                      <w:w w:val="100"/>
                      <w:sz w:val="22"/>
                    </w:rPr>
                    <w:t>tria </w:t>
                  </w:r>
                  <w:r>
                    <w:rPr>
                      <w:rFonts w:ascii="Calibri" w:hAnsi="Calibri"/>
                      <w:w w:val="100"/>
                      <w:sz w:val="22"/>
                    </w:rPr>
                    <w:t>B</w:t>
                  </w:r>
                  <w:r>
                    <w:rPr>
                      <w:rFonts w:ascii="Calibri" w:hAnsi="Calibri"/>
                      <w:spacing w:val="-2"/>
                      <w:w w:val="100"/>
                      <w:sz w:val="22"/>
                    </w:rPr>
                    <w:t>o</w:t>
                  </w:r>
                  <w:r>
                    <w:rPr>
                      <w:rFonts w:ascii="Calibri" w:hAnsi="Calibri"/>
                      <w:w w:val="100"/>
                      <w:sz w:val="22"/>
                    </w:rPr>
                    <w:t>l</w:t>
                  </w:r>
                  <w:r>
                    <w:rPr>
                      <w:rFonts w:ascii="Calibri" w:hAnsi="Calibri"/>
                      <w:spacing w:val="-1"/>
                      <w:w w:val="100"/>
                      <w:sz w:val="22"/>
                    </w:rPr>
                    <w:t>i</w:t>
                  </w:r>
                  <w:r>
                    <w:rPr>
                      <w:rFonts w:ascii="Calibri" w:hAnsi="Calibri"/>
                      <w:w w:val="100"/>
                      <w:sz w:val="22"/>
                    </w:rPr>
                    <w:t>via </w:t>
                  </w:r>
                  <w:r>
                    <w:rPr>
                      <w:rFonts w:ascii="Calibri" w:hAnsi="Calibri"/>
                      <w:w w:val="100"/>
                      <w:sz w:val="22"/>
                    </w:rPr>
                    <w:t>Bras</w:t>
                  </w:r>
                  <w:r>
                    <w:rPr>
                      <w:rFonts w:ascii="Calibri" w:hAnsi="Calibri"/>
                      <w:spacing w:val="-1"/>
                      <w:w w:val="100"/>
                      <w:sz w:val="22"/>
                    </w:rPr>
                    <w:t>i</w:t>
                  </w:r>
                  <w:r>
                    <w:rPr>
                      <w:rFonts w:ascii="Calibri" w:hAnsi="Calibri"/>
                      <w:w w:val="100"/>
                      <w:sz w:val="22"/>
                    </w:rPr>
                    <w:t>l </w:t>
                  </w:r>
                  <w:r>
                    <w:rPr>
                      <w:rFonts w:ascii="Calibri" w:hAnsi="Calibri"/>
                      <w:spacing w:val="-1"/>
                      <w:w w:val="100"/>
                      <w:sz w:val="22"/>
                    </w:rPr>
                    <w:t>Can</w:t>
                  </w:r>
                  <w:r>
                    <w:rPr>
                      <w:rFonts w:ascii="Calibri" w:hAnsi="Calibri"/>
                      <w:w w:val="100"/>
                      <w:sz w:val="22"/>
                    </w:rPr>
                    <w:t>a</w:t>
                  </w:r>
                  <w:r>
                    <w:rPr>
                      <w:rFonts w:ascii="Calibri" w:hAnsi="Calibri"/>
                      <w:spacing w:val="-1"/>
                      <w:w w:val="100"/>
                      <w:sz w:val="22"/>
                    </w:rPr>
                    <w:t>d</w:t>
                  </w:r>
                  <w:r>
                    <w:rPr>
                      <w:rFonts w:ascii="Calibri" w:hAnsi="Calibri"/>
                      <w:w w:val="100"/>
                      <w:sz w:val="22"/>
                    </w:rPr>
                    <w:t>á</w:t>
                  </w:r>
                </w:p>
                <w:p>
                  <w:pPr>
                    <w:spacing w:line="266" w:lineRule="auto" w:before="1"/>
                    <w:ind w:left="587" w:right="21" w:firstLine="403"/>
                    <w:jc w:val="right"/>
                    <w:rPr>
                      <w:rFonts w:ascii="Calibri" w:hAnsi="Calibri"/>
                      <w:sz w:val="22"/>
                    </w:rPr>
                  </w:pPr>
                  <w:r>
                    <w:rPr>
                      <w:rFonts w:ascii="Calibri" w:hAnsi="Calibri"/>
                      <w:spacing w:val="-1"/>
                      <w:w w:val="100"/>
                      <w:sz w:val="22"/>
                    </w:rPr>
                    <w:t>Ch</w:t>
                  </w:r>
                  <w:r>
                    <w:rPr>
                      <w:rFonts w:ascii="Calibri" w:hAnsi="Calibri"/>
                      <w:w w:val="100"/>
                      <w:sz w:val="22"/>
                    </w:rPr>
                    <w:t>i</w:t>
                  </w:r>
                  <w:r>
                    <w:rPr>
                      <w:rFonts w:ascii="Calibri" w:hAnsi="Calibri"/>
                      <w:spacing w:val="-1"/>
                      <w:w w:val="100"/>
                      <w:sz w:val="22"/>
                    </w:rPr>
                    <w:t>l</w:t>
                  </w:r>
                  <w:r>
                    <w:rPr>
                      <w:rFonts w:ascii="Calibri" w:hAnsi="Calibri"/>
                      <w:w w:val="100"/>
                      <w:sz w:val="22"/>
                    </w:rPr>
                    <w:t>e </w:t>
                  </w:r>
                  <w:r>
                    <w:rPr>
                      <w:rFonts w:ascii="Calibri" w:hAnsi="Calibri"/>
                      <w:spacing w:val="-1"/>
                      <w:w w:val="100"/>
                      <w:sz w:val="22"/>
                    </w:rPr>
                    <w:t>Ch</w:t>
                  </w:r>
                  <w:r>
                    <w:rPr>
                      <w:rFonts w:ascii="Calibri" w:hAnsi="Calibri"/>
                      <w:w w:val="100"/>
                      <w:sz w:val="22"/>
                    </w:rPr>
                    <w:t>i</w:t>
                  </w:r>
                  <w:r>
                    <w:rPr>
                      <w:rFonts w:ascii="Calibri" w:hAnsi="Calibri"/>
                      <w:spacing w:val="-2"/>
                      <w:w w:val="100"/>
                      <w:sz w:val="22"/>
                    </w:rPr>
                    <w:t>n</w:t>
                  </w:r>
                  <w:r>
                    <w:rPr>
                      <w:rFonts w:ascii="Calibri" w:hAnsi="Calibri"/>
                      <w:w w:val="100"/>
                      <w:sz w:val="22"/>
                    </w:rPr>
                    <w:t>a </w:t>
                  </w:r>
                  <w:r>
                    <w:rPr>
                      <w:rFonts w:ascii="Calibri" w:hAnsi="Calibri"/>
                      <w:spacing w:val="-1"/>
                      <w:w w:val="100"/>
                      <w:sz w:val="22"/>
                    </w:rPr>
                    <w:t>C</w:t>
                  </w:r>
                  <w:r>
                    <w:rPr>
                      <w:rFonts w:ascii="Calibri" w:hAnsi="Calibri"/>
                      <w:spacing w:val="-2"/>
                      <w:w w:val="100"/>
                      <w:sz w:val="22"/>
                    </w:rPr>
                    <w:t>o</w:t>
                  </w:r>
                  <w:r>
                    <w:rPr>
                      <w:rFonts w:ascii="Calibri" w:hAnsi="Calibri"/>
                      <w:w w:val="100"/>
                      <w:sz w:val="22"/>
                    </w:rPr>
                    <w:t>lo</w:t>
                  </w:r>
                  <w:r>
                    <w:rPr>
                      <w:rFonts w:ascii="Calibri" w:hAnsi="Calibri"/>
                      <w:spacing w:val="-2"/>
                      <w:w w:val="100"/>
                      <w:sz w:val="22"/>
                    </w:rPr>
                    <w:t>m</w:t>
                  </w:r>
                  <w:r>
                    <w:rPr>
                      <w:rFonts w:ascii="Calibri" w:hAnsi="Calibri"/>
                      <w:spacing w:val="-1"/>
                      <w:w w:val="100"/>
                      <w:sz w:val="22"/>
                    </w:rPr>
                    <w:t>b</w:t>
                  </w:r>
                  <w:r>
                    <w:rPr>
                      <w:rFonts w:ascii="Calibri" w:hAnsi="Calibri"/>
                      <w:w w:val="100"/>
                      <w:sz w:val="22"/>
                    </w:rPr>
                    <w:t>ia </w:t>
                  </w:r>
                  <w:r>
                    <w:rPr>
                      <w:rFonts w:ascii="Calibri" w:hAnsi="Calibri"/>
                      <w:spacing w:val="-1"/>
                      <w:w w:val="100"/>
                      <w:sz w:val="22"/>
                    </w:rPr>
                    <w:t>Espa</w:t>
                  </w:r>
                  <w:r>
                    <w:rPr>
                      <w:rFonts w:ascii="Calibri" w:hAnsi="Calibri"/>
                      <w:spacing w:val="-2"/>
                      <w:w w:val="100"/>
                      <w:sz w:val="22"/>
                    </w:rPr>
                    <w:t>ñ</w:t>
                  </w:r>
                  <w:r>
                    <w:rPr>
                      <w:rFonts w:ascii="Calibri" w:hAnsi="Calibri"/>
                      <w:w w:val="100"/>
                      <w:sz w:val="22"/>
                    </w:rPr>
                    <w:t>a</w:t>
                  </w:r>
                </w:p>
                <w:p>
                  <w:pPr>
                    <w:spacing w:before="1"/>
                    <w:ind w:left="0" w:right="70" w:firstLine="0"/>
                    <w:jc w:val="right"/>
                    <w:rPr>
                      <w:rFonts w:ascii="Calibri"/>
                      <w:sz w:val="22"/>
                    </w:rPr>
                  </w:pPr>
                  <w:r>
                    <w:rPr>
                      <w:rFonts w:ascii="Calibri"/>
                      <w:spacing w:val="-1"/>
                      <w:w w:val="100"/>
                      <w:sz w:val="22"/>
                    </w:rPr>
                    <w:t>Es</w:t>
                  </w:r>
                  <w:r>
                    <w:rPr>
                      <w:rFonts w:ascii="Calibri"/>
                      <w:spacing w:val="-2"/>
                      <w:w w:val="100"/>
                      <w:sz w:val="22"/>
                    </w:rPr>
                    <w:t>t</w:t>
                  </w:r>
                  <w:r>
                    <w:rPr>
                      <w:rFonts w:ascii="Calibri"/>
                      <w:w w:val="100"/>
                      <w:sz w:val="22"/>
                    </w:rPr>
                    <w:t>a</w:t>
                  </w:r>
                  <w:r>
                    <w:rPr>
                      <w:rFonts w:ascii="Calibri"/>
                      <w:spacing w:val="-1"/>
                      <w:w w:val="100"/>
                      <w:sz w:val="22"/>
                    </w:rPr>
                    <w:t>d</w:t>
                  </w:r>
                  <w:r>
                    <w:rPr>
                      <w:rFonts w:ascii="Calibri"/>
                      <w:spacing w:val="1"/>
                      <w:w w:val="100"/>
                      <w:sz w:val="22"/>
                    </w:rPr>
                    <w:t>o</w:t>
                  </w:r>
                  <w:r>
                    <w:rPr>
                      <w:rFonts w:ascii="Calibri"/>
                      <w:w w:val="100"/>
                      <w:sz w:val="22"/>
                    </w:rPr>
                    <w:t>s</w:t>
                  </w:r>
                  <w:r>
                    <w:rPr>
                      <w:rFonts w:ascii="Calibri"/>
                      <w:spacing w:val="-2"/>
                      <w:sz w:val="22"/>
                    </w:rPr>
                    <w:t> </w:t>
                  </w:r>
                  <w:r>
                    <w:rPr>
                      <w:rFonts w:ascii="Calibri"/>
                      <w:w w:val="100"/>
                      <w:sz w:val="22"/>
                    </w:rPr>
                    <w:t>U</w:t>
                  </w:r>
                  <w:r>
                    <w:rPr>
                      <w:rFonts w:ascii="Calibri"/>
                      <w:spacing w:val="-1"/>
                      <w:w w:val="100"/>
                      <w:sz w:val="22"/>
                    </w:rPr>
                    <w:t>n</w:t>
                  </w:r>
                  <w:r>
                    <w:rPr>
                      <w:rFonts w:ascii="Calibri"/>
                      <w:w w:val="100"/>
                      <w:sz w:val="22"/>
                    </w:rPr>
                    <w:t>i</w:t>
                  </w:r>
                  <w:r>
                    <w:rPr>
                      <w:rFonts w:ascii="Calibri"/>
                      <w:spacing w:val="-2"/>
                      <w:w w:val="100"/>
                      <w:sz w:val="22"/>
                    </w:rPr>
                    <w:t>d</w:t>
                  </w:r>
                  <w:r>
                    <w:rPr>
                      <w:rFonts w:ascii="Calibri"/>
                      <w:spacing w:val="1"/>
                      <w:w w:val="100"/>
                      <w:sz w:val="22"/>
                    </w:rPr>
                    <w:t>o</w:t>
                  </w:r>
                  <w:r>
                    <w:rPr>
                      <w:rFonts w:ascii="Calibri"/>
                      <w:w w:val="100"/>
                      <w:sz w:val="22"/>
                    </w:rPr>
                    <w:t>s</w:t>
                  </w:r>
                </w:p>
                <w:p>
                  <w:pPr>
                    <w:spacing w:line="266" w:lineRule="auto" w:before="30"/>
                    <w:ind w:left="353" w:right="18" w:firstLine="432"/>
                    <w:jc w:val="right"/>
                    <w:rPr>
                      <w:rFonts w:ascii="Calibri" w:hAnsi="Calibri"/>
                      <w:sz w:val="22"/>
                    </w:rPr>
                  </w:pPr>
                  <w:r>
                    <w:rPr>
                      <w:rFonts w:ascii="Calibri" w:hAnsi="Calibri"/>
                      <w:spacing w:val="-1"/>
                      <w:w w:val="100"/>
                      <w:sz w:val="22"/>
                    </w:rPr>
                    <w:t>Fran</w:t>
                  </w:r>
                  <w:r>
                    <w:rPr>
                      <w:rFonts w:ascii="Calibri" w:hAnsi="Calibri"/>
                      <w:spacing w:val="1"/>
                      <w:w w:val="100"/>
                      <w:sz w:val="22"/>
                    </w:rPr>
                    <w:t>c</w:t>
                  </w:r>
                  <w:r>
                    <w:rPr>
                      <w:rFonts w:ascii="Calibri" w:hAnsi="Calibri"/>
                      <w:w w:val="100"/>
                      <w:sz w:val="22"/>
                    </w:rPr>
                    <w:t>ia I</w:t>
                  </w:r>
                  <w:r>
                    <w:rPr>
                      <w:rFonts w:ascii="Calibri" w:hAnsi="Calibri"/>
                      <w:spacing w:val="-2"/>
                      <w:w w:val="100"/>
                      <w:sz w:val="22"/>
                    </w:rPr>
                    <w:t>n</w:t>
                  </w:r>
                  <w:r>
                    <w:rPr>
                      <w:rFonts w:ascii="Calibri" w:hAnsi="Calibri"/>
                      <w:spacing w:val="-1"/>
                      <w:w w:val="100"/>
                      <w:sz w:val="22"/>
                    </w:rPr>
                    <w:t>g</w:t>
                  </w:r>
                  <w:r>
                    <w:rPr>
                      <w:rFonts w:ascii="Calibri" w:hAnsi="Calibri"/>
                      <w:w w:val="100"/>
                      <w:sz w:val="22"/>
                    </w:rPr>
                    <w:t>laterra </w:t>
                  </w:r>
                  <w:r>
                    <w:rPr>
                      <w:rFonts w:ascii="Calibri" w:hAnsi="Calibri"/>
                      <w:spacing w:val="-2"/>
                      <w:w w:val="100"/>
                      <w:sz w:val="22"/>
                    </w:rPr>
                    <w:t>M</w:t>
                  </w:r>
                  <w:r>
                    <w:rPr>
                      <w:rFonts w:ascii="Calibri" w:hAnsi="Calibri"/>
                      <w:w w:val="100"/>
                      <w:sz w:val="22"/>
                    </w:rPr>
                    <w:t>éxico </w:t>
                  </w:r>
                  <w:r>
                    <w:rPr>
                      <w:rFonts w:ascii="Calibri" w:hAnsi="Calibri"/>
                      <w:spacing w:val="-1"/>
                      <w:w w:val="100"/>
                      <w:sz w:val="22"/>
                    </w:rPr>
                    <w:t>N</w:t>
                  </w:r>
                  <w:r>
                    <w:rPr>
                      <w:rFonts w:ascii="Calibri" w:hAnsi="Calibri"/>
                      <w:w w:val="100"/>
                      <w:sz w:val="22"/>
                    </w:rPr>
                    <w:t>i</w:t>
                  </w:r>
                  <w:r>
                    <w:rPr>
                      <w:rFonts w:ascii="Calibri" w:hAnsi="Calibri"/>
                      <w:spacing w:val="-2"/>
                      <w:w w:val="100"/>
                      <w:sz w:val="22"/>
                    </w:rPr>
                    <w:t>g</w:t>
                  </w:r>
                  <w:r>
                    <w:rPr>
                      <w:rFonts w:ascii="Calibri" w:hAnsi="Calibri"/>
                      <w:w w:val="100"/>
                      <w:sz w:val="22"/>
                    </w:rPr>
                    <w:t>eria </w:t>
                  </w:r>
                  <w:r>
                    <w:rPr>
                      <w:rFonts w:ascii="Calibri" w:hAnsi="Calibri"/>
                      <w:spacing w:val="-1"/>
                      <w:w w:val="100"/>
                      <w:sz w:val="22"/>
                    </w:rPr>
                    <w:t>N</w:t>
                  </w:r>
                  <w:r>
                    <w:rPr>
                      <w:rFonts w:ascii="Calibri" w:hAnsi="Calibri"/>
                      <w:spacing w:val="1"/>
                      <w:w w:val="100"/>
                      <w:sz w:val="22"/>
                    </w:rPr>
                    <w:t>o</w:t>
                  </w:r>
                  <w:r>
                    <w:rPr>
                      <w:rFonts w:ascii="Calibri" w:hAnsi="Calibri"/>
                      <w:spacing w:val="-3"/>
                      <w:w w:val="100"/>
                      <w:sz w:val="22"/>
                    </w:rPr>
                    <w:t>r</w:t>
                  </w:r>
                  <w:r>
                    <w:rPr>
                      <w:rFonts w:ascii="Calibri" w:hAnsi="Calibri"/>
                      <w:spacing w:val="1"/>
                      <w:w w:val="100"/>
                      <w:sz w:val="22"/>
                    </w:rPr>
                    <w:t>u</w:t>
                  </w:r>
                  <w:r>
                    <w:rPr>
                      <w:rFonts w:ascii="Calibri" w:hAnsi="Calibri"/>
                      <w:spacing w:val="-2"/>
                      <w:w w:val="100"/>
                      <w:sz w:val="22"/>
                    </w:rPr>
                    <w:t>e</w:t>
                  </w:r>
                  <w:r>
                    <w:rPr>
                      <w:rFonts w:ascii="Calibri" w:hAnsi="Calibri"/>
                      <w:spacing w:val="-1"/>
                      <w:w w:val="100"/>
                      <w:sz w:val="22"/>
                    </w:rPr>
                    <w:t>g</w:t>
                  </w:r>
                  <w:r>
                    <w:rPr>
                      <w:rFonts w:ascii="Calibri" w:hAnsi="Calibri"/>
                      <w:w w:val="100"/>
                      <w:sz w:val="22"/>
                    </w:rPr>
                    <w:t>a </w:t>
                  </w:r>
                  <w:r>
                    <w:rPr>
                      <w:rFonts w:ascii="Calibri" w:hAnsi="Calibri"/>
                      <w:spacing w:val="-2"/>
                      <w:w w:val="100"/>
                      <w:sz w:val="22"/>
                    </w:rPr>
                    <w:t>P</w:t>
                  </w:r>
                  <w:r>
                    <w:rPr>
                      <w:rFonts w:ascii="Calibri" w:hAnsi="Calibri"/>
                      <w:w w:val="100"/>
                      <w:sz w:val="22"/>
                    </w:rPr>
                    <w:t>aíses</w:t>
                  </w:r>
                  <w:r>
                    <w:rPr>
                      <w:rFonts w:ascii="Calibri" w:hAnsi="Calibri"/>
                      <w:spacing w:val="-2"/>
                      <w:sz w:val="22"/>
                    </w:rPr>
                    <w:t> </w:t>
                  </w:r>
                  <w:r>
                    <w:rPr>
                      <w:rFonts w:ascii="Calibri" w:hAnsi="Calibri"/>
                      <w:w w:val="100"/>
                      <w:sz w:val="22"/>
                    </w:rPr>
                    <w:t>Baj</w:t>
                  </w:r>
                  <w:r>
                    <w:rPr>
                      <w:rFonts w:ascii="Calibri" w:hAnsi="Calibri"/>
                      <w:spacing w:val="-2"/>
                      <w:w w:val="100"/>
                      <w:sz w:val="22"/>
                    </w:rPr>
                    <w:t>o</w:t>
                  </w:r>
                  <w:r>
                    <w:rPr>
                      <w:rFonts w:ascii="Calibri" w:hAnsi="Calibri"/>
                      <w:w w:val="100"/>
                      <w:sz w:val="22"/>
                    </w:rPr>
                    <w:t>s</w:t>
                  </w:r>
                </w:p>
                <w:p>
                  <w:pPr>
                    <w:spacing w:line="266" w:lineRule="auto" w:before="1"/>
                    <w:ind w:left="507" w:right="18" w:firstLine="511"/>
                    <w:jc w:val="right"/>
                    <w:rPr>
                      <w:rFonts w:ascii="Calibri" w:hAnsi="Calibri"/>
                      <w:sz w:val="22"/>
                    </w:rPr>
                  </w:pPr>
                  <w:r>
                    <w:rPr>
                      <w:rFonts w:ascii="Calibri" w:hAnsi="Calibri"/>
                      <w:spacing w:val="-2"/>
                      <w:w w:val="100"/>
                      <w:sz w:val="22"/>
                    </w:rPr>
                    <w:t>P</w:t>
                  </w:r>
                  <w:r>
                    <w:rPr>
                      <w:rFonts w:ascii="Calibri" w:hAnsi="Calibri"/>
                      <w:w w:val="100"/>
                      <w:sz w:val="22"/>
                    </w:rPr>
                    <w:t>erú </w:t>
                  </w:r>
                  <w:r>
                    <w:rPr>
                      <w:rFonts w:ascii="Calibri" w:hAnsi="Calibri"/>
                      <w:spacing w:val="-1"/>
                      <w:w w:val="100"/>
                      <w:sz w:val="22"/>
                    </w:rPr>
                    <w:t>P</w:t>
                  </w:r>
                  <w:r>
                    <w:rPr>
                      <w:rFonts w:ascii="Calibri" w:hAnsi="Calibri"/>
                      <w:spacing w:val="1"/>
                      <w:w w:val="100"/>
                      <w:sz w:val="22"/>
                    </w:rPr>
                    <w:t>o</w:t>
                  </w:r>
                  <w:r>
                    <w:rPr>
                      <w:rFonts w:ascii="Calibri" w:hAnsi="Calibri"/>
                      <w:w w:val="100"/>
                      <w:sz w:val="22"/>
                    </w:rPr>
                    <w:t>r</w:t>
                  </w:r>
                  <w:r>
                    <w:rPr>
                      <w:rFonts w:ascii="Calibri" w:hAnsi="Calibri"/>
                      <w:spacing w:val="-2"/>
                      <w:w w:val="100"/>
                      <w:sz w:val="22"/>
                    </w:rPr>
                    <w:t>t</w:t>
                  </w:r>
                  <w:r>
                    <w:rPr>
                      <w:rFonts w:ascii="Calibri" w:hAnsi="Calibri"/>
                      <w:spacing w:val="1"/>
                      <w:w w:val="100"/>
                      <w:sz w:val="22"/>
                    </w:rPr>
                    <w:t>u</w:t>
                  </w:r>
                  <w:r>
                    <w:rPr>
                      <w:rFonts w:ascii="Calibri" w:hAnsi="Calibri"/>
                      <w:w w:val="100"/>
                      <w:sz w:val="22"/>
                    </w:rPr>
                    <w:t>gal </w:t>
                  </w:r>
                  <w:r>
                    <w:rPr>
                      <w:rFonts w:ascii="Calibri" w:hAnsi="Calibri"/>
                      <w:spacing w:val="-1"/>
                      <w:w w:val="100"/>
                      <w:sz w:val="22"/>
                    </w:rPr>
                    <w:t>S</w:t>
                  </w:r>
                  <w:r>
                    <w:rPr>
                      <w:rFonts w:ascii="Calibri" w:hAnsi="Calibri"/>
                      <w:spacing w:val="-2"/>
                      <w:w w:val="100"/>
                      <w:sz w:val="22"/>
                    </w:rPr>
                    <w:t>u</w:t>
                  </w:r>
                  <w:r>
                    <w:rPr>
                      <w:rFonts w:ascii="Calibri" w:hAnsi="Calibri"/>
                      <w:w w:val="100"/>
                      <w:sz w:val="22"/>
                    </w:rPr>
                    <w:t>ecia Ur</w:t>
                  </w:r>
                  <w:r>
                    <w:rPr>
                      <w:rFonts w:ascii="Calibri" w:hAnsi="Calibri"/>
                      <w:spacing w:val="-2"/>
                      <w:w w:val="100"/>
                      <w:sz w:val="22"/>
                    </w:rPr>
                    <w:t>u</w:t>
                  </w:r>
                  <w:r>
                    <w:rPr>
                      <w:rFonts w:ascii="Calibri" w:hAnsi="Calibri"/>
                      <w:spacing w:val="-1"/>
                      <w:w w:val="100"/>
                      <w:sz w:val="22"/>
                    </w:rPr>
                    <w:t>gu</w:t>
                  </w:r>
                  <w:r>
                    <w:rPr>
                      <w:rFonts w:ascii="Calibri" w:hAnsi="Calibri"/>
                      <w:w w:val="100"/>
                      <w:sz w:val="22"/>
                    </w:rPr>
                    <w:t>ay </w:t>
                  </w:r>
                  <w:r>
                    <w:rPr>
                      <w:rFonts w:ascii="Calibri" w:hAnsi="Calibri"/>
                      <w:spacing w:val="-1"/>
                      <w:w w:val="100"/>
                      <w:sz w:val="22"/>
                    </w:rPr>
                    <w:t>Ven</w:t>
                  </w:r>
                  <w:r>
                    <w:rPr>
                      <w:rFonts w:ascii="Calibri" w:hAnsi="Calibri"/>
                      <w:spacing w:val="-2"/>
                      <w:w w:val="100"/>
                      <w:sz w:val="22"/>
                    </w:rPr>
                    <w:t>e</w:t>
                  </w:r>
                  <w:r>
                    <w:rPr>
                      <w:rFonts w:ascii="Calibri" w:hAnsi="Calibri"/>
                      <w:spacing w:val="1"/>
                      <w:w w:val="100"/>
                      <w:sz w:val="22"/>
                    </w:rPr>
                    <w:t>z</w:t>
                  </w:r>
                  <w:r>
                    <w:rPr>
                      <w:rFonts w:ascii="Calibri" w:hAnsi="Calibri"/>
                      <w:spacing w:val="-1"/>
                      <w:w w:val="100"/>
                      <w:sz w:val="22"/>
                    </w:rPr>
                    <w:t>u</w:t>
                  </w:r>
                  <w:r>
                    <w:rPr>
                      <w:rFonts w:ascii="Calibri" w:hAnsi="Calibri"/>
                      <w:spacing w:val="-2"/>
                      <w:w w:val="100"/>
                      <w:sz w:val="22"/>
                    </w:rPr>
                    <w:t>e</w:t>
                  </w:r>
                  <w:r>
                    <w:rPr>
                      <w:rFonts w:ascii="Calibri" w:hAnsi="Calibri"/>
                      <w:w w:val="100"/>
                      <w:sz w:val="22"/>
                    </w:rPr>
                    <w:t>la</w:t>
                  </w:r>
                </w:p>
              </w:txbxContent>
            </v:textbox>
            <w10:wrap type="none"/>
          </v:shape>
        </w:pict>
      </w:r>
      <w:r>
        <w:rPr>
          <w:rFonts w:ascii="Calibri"/>
          <w:w w:val="99"/>
          <w:sz w:val="20"/>
        </w:rPr>
        <w:t>0</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spacing w:before="1"/>
        <w:ind w:left="3045" w:right="0" w:firstLine="0"/>
        <w:jc w:val="left"/>
        <w:rPr>
          <w:sz w:val="20"/>
        </w:rPr>
      </w:pPr>
      <w:r>
        <w:rPr>
          <w:sz w:val="20"/>
        </w:rPr>
        <w:t>Fuente: Elaboración a partir de datos ISI de 2013</w:t>
      </w:r>
    </w:p>
    <w:p>
      <w:pPr>
        <w:pStyle w:val="BodyText"/>
        <w:rPr>
          <w:sz w:val="20"/>
        </w:rPr>
      </w:pPr>
    </w:p>
    <w:p>
      <w:pPr>
        <w:pStyle w:val="BodyText"/>
        <w:rPr>
          <w:sz w:val="26"/>
        </w:rPr>
      </w:pPr>
    </w:p>
    <w:p>
      <w:pPr>
        <w:pStyle w:val="BodyText"/>
        <w:spacing w:line="360" w:lineRule="auto"/>
        <w:ind w:left="102" w:right="119"/>
        <w:jc w:val="both"/>
      </w:pPr>
      <w:r>
        <w:rPr/>
        <w:t>En cuanto a las instituciones de adscripción de los autores, identificamos un total de cien, de las cuales 25 de ellas concentran el 90% de los artículos, las principales 10 son las siguientes, Pontificia Universidad Católica de Chile </w:t>
      </w:r>
      <w:r>
        <w:rPr>
          <w:spacing w:val="-2"/>
        </w:rPr>
        <w:t>(35 </w:t>
      </w:r>
      <w:r>
        <w:rPr/>
        <w:t>artículos), CONICET (11 artículos), Universidad Nacional Autónoma de México (9 artículos), Universidad de Chile (9 artículos), Universidad de Buenos Aires (9 artículos), Universidade Federal do Rio de Janeiro (8 artículos), Universidade de Sao Paulo (7 artículos), University of London (7 artículos), Universidad de Sevilla  (5 artículos) y Universidad Autónoma de Barcelona (4</w:t>
      </w:r>
      <w:r>
        <w:rPr>
          <w:spacing w:val="-23"/>
        </w:rPr>
        <w:t> </w:t>
      </w:r>
      <w:r>
        <w:rPr/>
        <w:t>artículos).</w:t>
      </w:r>
    </w:p>
    <w:p>
      <w:pPr>
        <w:pStyle w:val="BodyText"/>
      </w:pPr>
    </w:p>
    <w:p>
      <w:pPr>
        <w:pStyle w:val="BodyText"/>
        <w:spacing w:line="360" w:lineRule="auto" w:before="142"/>
        <w:ind w:left="102" w:right="124"/>
        <w:jc w:val="both"/>
      </w:pPr>
      <w:r>
        <w:rPr/>
        <w:t>El análisis de las citas de los artículos científicos, dentro de la web del conocimiento de ISI, de la revista Eure es fundamental ya que éstas nos permitirán conocer los temas que tienen mayor atención dentro de la investigación urbana en Latinoamérica, desde 2001 hasta octubre de 2015 Eure ha tenido 1,205 citas, a partir de 2008 las citas han oscilado en más de 80, 2014 es el año con más citas</w:t>
      </w:r>
    </w:p>
    <w:p>
      <w:pPr>
        <w:spacing w:after="0" w:line="360" w:lineRule="auto"/>
        <w:jc w:val="both"/>
        <w:sectPr>
          <w:pgSz w:w="12240" w:h="15840"/>
          <w:pgMar w:header="0" w:footer="629" w:top="1360" w:bottom="880" w:left="1600" w:right="1580"/>
        </w:sectPr>
      </w:pPr>
    </w:p>
    <w:p>
      <w:pPr>
        <w:pStyle w:val="BodyText"/>
        <w:spacing w:line="360" w:lineRule="auto" w:before="54"/>
        <w:ind w:left="102" w:right="121" w:hanging="4"/>
        <w:jc w:val="center"/>
        <w:rPr>
          <w:i/>
        </w:rPr>
      </w:pPr>
      <w:r>
        <w:rPr/>
        <w:t>al tener 185, esto representa que en los últimos 4 años se ha tenido un poco más del 50% de citas y es un reflejo de la visibilidad de la revista dentro del sistema </w:t>
      </w:r>
      <w:r>
        <w:rPr>
          <w:i/>
        </w:rPr>
        <w:t>ISI.</w:t>
      </w:r>
    </w:p>
    <w:p>
      <w:pPr>
        <w:pStyle w:val="BodyText"/>
        <w:spacing w:before="2"/>
        <w:rPr>
          <w:i/>
        </w:rPr>
      </w:pPr>
    </w:p>
    <w:p>
      <w:pPr>
        <w:pStyle w:val="Heading1"/>
        <w:ind w:left="100" w:right="117"/>
      </w:pPr>
      <w:r>
        <w:rPr/>
        <w:t>Figura 13</w:t>
      </w:r>
    </w:p>
    <w:p>
      <w:pPr>
        <w:spacing w:before="0"/>
        <w:ind w:left="3259" w:right="3279" w:firstLine="0"/>
        <w:jc w:val="center"/>
        <w:rPr>
          <w:b/>
          <w:sz w:val="24"/>
        </w:rPr>
      </w:pPr>
      <w:r>
        <w:rPr>
          <w:b/>
          <w:sz w:val="24"/>
        </w:rPr>
        <w:t>Total de citas por año 2001-2015</w:t>
      </w:r>
    </w:p>
    <w:p>
      <w:pPr>
        <w:pStyle w:val="BodyText"/>
        <w:ind w:left="477"/>
        <w:rPr>
          <w:sz w:val="20"/>
        </w:rPr>
      </w:pPr>
      <w:r>
        <w:rPr>
          <w:sz w:val="20"/>
        </w:rPr>
        <w:pict>
          <v:group style="width:404.45pt;height:250.2pt;mso-position-horizontal-relative:char;mso-position-vertical-relative:line" coordorigin="0,0" coordsize="8089,5004">
            <v:line style="position:absolute" from="627,4068" to="7861,4068" stroked="true" strokeweight=".72pt" strokecolor="#858585"/>
            <v:line style="position:absolute" from="627,3640" to="7861,3640" stroked="true" strokeweight=".72pt" strokecolor="#858585"/>
            <v:line style="position:absolute" from="627,3215" to="7861,3215" stroked="true" strokeweight=".72pt" strokecolor="#858585"/>
            <v:line style="position:absolute" from="627,2788" to="7861,2788" stroked="true" strokeweight=".72pt" strokecolor="#858585"/>
            <v:line style="position:absolute" from="627,2361" to="7861,2361" stroked="true" strokeweight=".72pt" strokecolor="#858585"/>
            <v:line style="position:absolute" from="627,1936" to="7861,1936" stroked="true" strokeweight=".72pt" strokecolor="#858585"/>
            <v:line style="position:absolute" from="627,1509" to="7861,1509" stroked="true" strokeweight=".72pt" strokecolor="#858585"/>
            <v:line style="position:absolute" from="627,1082" to="7861,1082" stroked="true" strokeweight=".72pt" strokecolor="#858585"/>
            <v:line style="position:absolute" from="627,655" to="7861,655" stroked="true" strokeweight=".72pt" strokecolor="#858585"/>
            <v:line style="position:absolute" from="627,230" to="7861,230" stroked="true" strokeweight=".72pt" strokecolor="#858585"/>
            <v:line style="position:absolute" from="627,4495" to="627,230" stroked="true" strokeweight=".72pt" strokecolor="#858585"/>
            <v:line style="position:absolute" from="565,4495" to="627,4495" stroked="true" strokeweight=".72pt" strokecolor="#858585"/>
            <v:line style="position:absolute" from="565,4068" to="627,4068" stroked="true" strokeweight=".72pt" strokecolor="#858585"/>
            <v:line style="position:absolute" from="565,3640" to="627,3640" stroked="true" strokeweight=".72pt" strokecolor="#858585"/>
            <v:line style="position:absolute" from="565,3215" to="627,3215" stroked="true" strokeweight=".72pt" strokecolor="#858585"/>
            <v:line style="position:absolute" from="565,2788" to="627,2788" stroked="true" strokeweight=".72pt" strokecolor="#858585"/>
            <v:line style="position:absolute" from="565,2361" to="627,2361" stroked="true" strokeweight=".72pt" strokecolor="#858585"/>
            <v:line style="position:absolute" from="565,1936" to="627,1936" stroked="true" strokeweight=".72pt" strokecolor="#858585"/>
            <v:line style="position:absolute" from="565,1509" to="627,1509" stroked="true" strokeweight=".72pt" strokecolor="#858585"/>
            <v:line style="position:absolute" from="565,1082" to="627,1082" stroked="true" strokeweight=".72pt" strokecolor="#858585"/>
            <v:line style="position:absolute" from="565,655" to="627,655" stroked="true" strokeweight=".72pt" strokecolor="#858585"/>
            <v:line style="position:absolute" from="565,230" to="627,230" stroked="true" strokeweight=".72pt" strokecolor="#858585"/>
            <v:line style="position:absolute" from="627,4495" to="7861,4495" stroked="true" strokeweight=".72pt" strokecolor="#858585"/>
            <v:line style="position:absolute" from="627,4495" to="627,4557" stroked="true" strokeweight=".72pt" strokecolor="#858585"/>
            <v:line style="position:absolute" from="1110,4495" to="1110,4557" stroked="true" strokeweight=".72pt" strokecolor="#858585"/>
            <v:line style="position:absolute" from="1592,4495" to="1592,4557" stroked="true" strokeweight=".72pt" strokecolor="#858585"/>
            <v:line style="position:absolute" from="2074,4495" to="2074,4557" stroked="true" strokeweight=".72pt" strokecolor="#858585"/>
            <v:line style="position:absolute" from="2557,4495" to="2557,4557" stroked="true" strokeweight=".72pt" strokecolor="#858585"/>
            <v:line style="position:absolute" from="3039,4495" to="3039,4557" stroked="true" strokeweight=".72pt" strokecolor="#858585"/>
            <v:line style="position:absolute" from="3522,4495" to="3522,4557" stroked="true" strokeweight=".72pt" strokecolor="#858585"/>
            <v:line style="position:absolute" from="4004,4495" to="4004,4557" stroked="true" strokeweight=".72pt" strokecolor="#858585"/>
            <v:line style="position:absolute" from="4486,4495" to="4486,4557" stroked="true" strokeweight=".72pt" strokecolor="#858585"/>
            <v:line style="position:absolute" from="4969,4495" to="4969,4557" stroked="true" strokeweight=".72pt" strokecolor="#858585"/>
            <v:line style="position:absolute" from="5451,4495" to="5451,4557" stroked="true" strokeweight=".72pt" strokecolor="#858585"/>
            <v:line style="position:absolute" from="5934,4495" to="5934,4557" stroked="true" strokeweight=".72pt" strokecolor="#858585"/>
            <v:line style="position:absolute" from="6416,4495" to="6416,4557" stroked="true" strokeweight=".72pt" strokecolor="#858585"/>
            <v:line style="position:absolute" from="6898,4495" to="6898,4557" stroked="true" strokeweight=".72pt" strokecolor="#858585"/>
            <v:line style="position:absolute" from="7381,4495" to="7381,4557" stroked="true" strokeweight=".72pt" strokecolor="#858585"/>
            <v:line style="position:absolute" from="7861,4495" to="7861,4557" stroked="true" strokeweight=".72pt" strokecolor="#858585"/>
            <v:shape style="position:absolute;left:870;top:549;width:6752;height:3924" coordorigin="870,549" coordsize="6752,3924" path="m870,4473l1352,4259,1835,4389,2317,3919,2799,3919,3279,3791,3762,2788,4244,2469,4727,2404,5209,1955,5691,1658,6174,890,6656,1977,7139,549,7621,2277e" filled="false" stroked="true" strokeweight="2.16pt" strokecolor="#497dba">
              <v:path arrowok="t"/>
            </v:shape>
            <v:rect style="position:absolute;left:8;top:8;width:8074;height:4989" filled="false" stroked="true" strokeweight=".75pt" strokecolor="#858585"/>
            <v:shape style="position:absolute;left:138;top:137;width:305;height:626" type="#_x0000_t202" filled="false" stroked="false">
              <v:textbox inset="0,0,0,0">
                <w:txbxContent>
                  <w:p>
                    <w:pPr>
                      <w:spacing w:line="203" w:lineRule="exact" w:before="0"/>
                      <w:ind w:left="0" w:right="-20" w:firstLine="0"/>
                      <w:jc w:val="left"/>
                      <w:rPr>
                        <w:rFonts w:ascii="Calibri"/>
                        <w:sz w:val="20"/>
                      </w:rPr>
                    </w:pPr>
                    <w:r>
                      <w:rPr>
                        <w:rFonts w:ascii="Calibri"/>
                        <w:sz w:val="20"/>
                      </w:rPr>
                      <w:t>200</w:t>
                    </w:r>
                  </w:p>
                  <w:p>
                    <w:pPr>
                      <w:spacing w:line="240" w:lineRule="auto" w:before="10"/>
                      <w:rPr>
                        <w:b/>
                        <w:sz w:val="15"/>
                      </w:rPr>
                    </w:pPr>
                  </w:p>
                  <w:p>
                    <w:pPr>
                      <w:spacing w:line="240" w:lineRule="exact" w:before="0"/>
                      <w:ind w:left="0" w:right="-20" w:firstLine="0"/>
                      <w:jc w:val="left"/>
                      <w:rPr>
                        <w:rFonts w:ascii="Calibri"/>
                        <w:sz w:val="20"/>
                      </w:rPr>
                    </w:pPr>
                    <w:r>
                      <w:rPr>
                        <w:rFonts w:ascii="Calibri"/>
                        <w:sz w:val="20"/>
                      </w:rPr>
                      <w:t>180</w:t>
                    </w:r>
                  </w:p>
                </w:txbxContent>
              </v:textbox>
              <w10:wrap type="none"/>
            </v:shape>
            <v:shape style="position:absolute;left:7310;top:468;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185</w:t>
                    </w:r>
                  </w:p>
                </w:txbxContent>
              </v:textbox>
              <w10:wrap type="none"/>
            </v:shape>
            <v:shape style="position:absolute;left:6345;top:81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169</w:t>
                    </w:r>
                  </w:p>
                </w:txbxContent>
              </v:textbox>
              <w10:wrap type="none"/>
            </v:shape>
            <v:shape style="position:absolute;left:138;top:991;width:305;height:626" type="#_x0000_t202" filled="false" stroked="false">
              <v:textbox inset="0,0,0,0">
                <w:txbxContent>
                  <w:p>
                    <w:pPr>
                      <w:spacing w:line="203" w:lineRule="exact" w:before="0"/>
                      <w:ind w:left="0" w:right="-20" w:firstLine="0"/>
                      <w:jc w:val="left"/>
                      <w:rPr>
                        <w:rFonts w:ascii="Calibri"/>
                        <w:sz w:val="20"/>
                      </w:rPr>
                    </w:pPr>
                    <w:r>
                      <w:rPr>
                        <w:rFonts w:ascii="Calibri"/>
                        <w:sz w:val="20"/>
                      </w:rPr>
                      <w:t>160</w:t>
                    </w:r>
                  </w:p>
                  <w:p>
                    <w:pPr>
                      <w:spacing w:line="240" w:lineRule="auto" w:before="10"/>
                      <w:rPr>
                        <w:b/>
                        <w:sz w:val="15"/>
                      </w:rPr>
                    </w:pPr>
                  </w:p>
                  <w:p>
                    <w:pPr>
                      <w:spacing w:line="240" w:lineRule="exact" w:before="0"/>
                      <w:ind w:left="0" w:right="-20" w:firstLine="0"/>
                      <w:jc w:val="left"/>
                      <w:rPr>
                        <w:rFonts w:ascii="Calibri"/>
                        <w:sz w:val="20"/>
                      </w:rPr>
                    </w:pPr>
                    <w:r>
                      <w:rPr>
                        <w:rFonts w:ascii="Calibri"/>
                        <w:sz w:val="20"/>
                      </w:rPr>
                      <w:t>140</w:t>
                    </w:r>
                  </w:p>
                </w:txbxContent>
              </v:textbox>
              <w10:wrap type="none"/>
            </v:shape>
            <v:shape style="position:absolute;left:5863;top:1578;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133</w:t>
                    </w:r>
                  </w:p>
                </w:txbxContent>
              </v:textbox>
              <w10:wrap type="none"/>
            </v:shape>
            <v:shape style="position:absolute;left:138;top:1844;width:305;height:200" type="#_x0000_t202" filled="false" stroked="false">
              <v:textbox inset="0,0,0,0">
                <w:txbxContent>
                  <w:p>
                    <w:pPr>
                      <w:spacing w:line="199" w:lineRule="exact" w:before="0"/>
                      <w:ind w:left="0" w:right="-20" w:firstLine="0"/>
                      <w:jc w:val="left"/>
                      <w:rPr>
                        <w:rFonts w:ascii="Calibri"/>
                        <w:sz w:val="20"/>
                      </w:rPr>
                    </w:pPr>
                    <w:r>
                      <w:rPr>
                        <w:rFonts w:ascii="Calibri"/>
                        <w:sz w:val="20"/>
                      </w:rPr>
                      <w:t>120</w:t>
                    </w:r>
                  </w:p>
                </w:txbxContent>
              </v:textbox>
              <w10:wrap type="none"/>
            </v:shape>
            <v:shape style="position:absolute;left:5381;top:1876;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119</w:t>
                    </w:r>
                  </w:p>
                </w:txbxContent>
              </v:textbox>
              <w10:wrap type="none"/>
            </v:shape>
            <v:shape style="position:absolute;left:6828;top:1898;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118</w:t>
                    </w:r>
                  </w:p>
                </w:txbxContent>
              </v:textbox>
              <w10:wrap type="none"/>
            </v:shape>
            <v:shape style="position:absolute;left:138;top:2271;width:305;height:200" type="#_x0000_t202" filled="false" stroked="false">
              <v:textbox inset="0,0,0,0">
                <w:txbxContent>
                  <w:p>
                    <w:pPr>
                      <w:spacing w:line="199" w:lineRule="exact" w:before="0"/>
                      <w:ind w:left="0" w:right="-20" w:firstLine="0"/>
                      <w:jc w:val="left"/>
                      <w:rPr>
                        <w:rFonts w:ascii="Calibri"/>
                        <w:sz w:val="20"/>
                      </w:rPr>
                    </w:pPr>
                    <w:r>
                      <w:rPr>
                        <w:rFonts w:ascii="Calibri"/>
                        <w:sz w:val="20"/>
                      </w:rPr>
                      <w:t>100</w:t>
                    </w:r>
                  </w:p>
                </w:txbxContent>
              </v:textbox>
              <w10:wrap type="none"/>
            </v:shape>
            <v:shape style="position:absolute;left:7719;top:2196;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104</w:t>
                    </w:r>
                  </w:p>
                </w:txbxContent>
              </v:textbox>
              <w10:wrap type="none"/>
            </v:shape>
            <v:shape style="position:absolute;left:4415;top:2388;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95</w:t>
                    </w:r>
                  </w:p>
                </w:txbxContent>
              </v:textbox>
              <w10:wrap type="none"/>
            </v:shape>
            <v:shape style="position:absolute;left:4898;top:232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98</w:t>
                    </w:r>
                  </w:p>
                </w:txbxContent>
              </v:textbox>
              <w10:wrap type="none"/>
            </v:shape>
            <v:shape style="position:absolute;left:240;top:2697;width:202;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80</w:t>
                    </w:r>
                  </w:p>
                </w:txbxContent>
              </v:textbox>
              <w10:wrap type="none"/>
            </v:shape>
            <v:shape style="position:absolute;left:3933;top:2708;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240;top:3124;width:202;height:1053"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60</w:t>
                    </w:r>
                  </w:p>
                  <w:p>
                    <w:pPr>
                      <w:spacing w:line="240" w:lineRule="auto" w:before="10"/>
                      <w:rPr>
                        <w:b/>
                        <w:sz w:val="15"/>
                      </w:rPr>
                    </w:pPr>
                  </w:p>
                  <w:p>
                    <w:pPr>
                      <w:spacing w:before="0"/>
                      <w:ind w:left="0" w:right="-19" w:firstLine="0"/>
                      <w:jc w:val="left"/>
                      <w:rPr>
                        <w:rFonts w:ascii="Calibri"/>
                        <w:sz w:val="20"/>
                      </w:rPr>
                    </w:pPr>
                    <w:r>
                      <w:rPr>
                        <w:rFonts w:ascii="Calibri"/>
                        <w:spacing w:val="-1"/>
                        <w:sz w:val="20"/>
                      </w:rPr>
                      <w:t>40</w:t>
                    </w:r>
                  </w:p>
                  <w:p>
                    <w:pPr>
                      <w:spacing w:line="240" w:lineRule="auto" w:before="9"/>
                      <w:rPr>
                        <w:b/>
                        <w:sz w:val="15"/>
                      </w:rPr>
                    </w:pPr>
                  </w:p>
                  <w:p>
                    <w:pPr>
                      <w:spacing w:line="240" w:lineRule="exact" w:before="1"/>
                      <w:ind w:left="0" w:right="-19" w:firstLine="0"/>
                      <w:jc w:val="left"/>
                      <w:rPr>
                        <w:rFonts w:ascii="Calibri"/>
                        <w:sz w:val="20"/>
                      </w:rPr>
                    </w:pPr>
                    <w:r>
                      <w:rPr>
                        <w:rFonts w:ascii="Calibri"/>
                        <w:spacing w:val="-1"/>
                        <w:sz w:val="20"/>
                      </w:rPr>
                      <w:t>20</w:t>
                    </w:r>
                  </w:p>
                </w:txbxContent>
              </v:textbox>
              <w10:wrap type="none"/>
            </v:shape>
            <v:shape style="position:absolute;left:2486;top:383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27</w:t>
                    </w:r>
                  </w:p>
                </w:txbxContent>
              </v:textbox>
              <w10:wrap type="none"/>
            </v:shape>
            <v:shape style="position:absolute;left:2968;top:383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27</w:t>
                    </w:r>
                  </w:p>
                </w:txbxContent>
              </v:textbox>
              <w10:wrap type="none"/>
            </v:shape>
            <v:shape style="position:absolute;left:3451;top:371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1521;top:418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341;top:4404;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1039;top:4393;width:102;height:200" type="#_x0000_t202" filled="false" stroked="false">
              <v:textbox inset="0,0,0,0">
                <w:txbxContent>
                  <w:p>
                    <w:pPr>
                      <w:spacing w:line="200" w:lineRule="exact" w:before="0"/>
                      <w:ind w:left="0" w:right="0" w:firstLine="0"/>
                      <w:jc w:val="left"/>
                      <w:rPr>
                        <w:rFonts w:ascii="Calibri"/>
                        <w:sz w:val="20"/>
                      </w:rPr>
                    </w:pPr>
                    <w:r>
                      <w:rPr>
                        <w:rFonts w:ascii="Calibri"/>
                        <w:w w:val="99"/>
                        <w:sz w:val="20"/>
                      </w:rPr>
                      <w:t>1</w:t>
                    </w:r>
                  </w:p>
                </w:txbxContent>
              </v:textbox>
              <w10:wrap type="none"/>
            </v:shape>
            <v:shape style="position:absolute;left:2004;top:4308;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666;top:4664;width:7159;height:200" type="#_x0000_t202" filled="false" stroked="false">
              <v:textbox inset="0,0,0,0">
                <w:txbxContent>
                  <w:p>
                    <w:pPr>
                      <w:spacing w:line="199" w:lineRule="exact" w:before="0"/>
                      <w:ind w:left="0" w:right="0" w:firstLine="0"/>
                      <w:jc w:val="left"/>
                      <w:rPr>
                        <w:rFonts w:ascii="Calibri"/>
                        <w:sz w:val="20"/>
                      </w:rPr>
                    </w:pPr>
                    <w:r>
                      <w:rPr>
                        <w:rFonts w:ascii="Calibri"/>
                        <w:sz w:val="20"/>
                      </w:rPr>
                      <w:t>2001 2002 2003 2004 2005 2006 2007 2008 2009 2010 2011 2012 2013 2014 2015</w:t>
                    </w:r>
                  </w:p>
                </w:txbxContent>
              </v:textbox>
              <w10:wrap type="none"/>
            </v:shape>
          </v:group>
        </w:pict>
      </w:r>
      <w:r>
        <w:rPr>
          <w:sz w:val="20"/>
        </w:rPr>
      </w:r>
    </w:p>
    <w:p>
      <w:pPr>
        <w:spacing w:before="106"/>
        <w:ind w:left="3045" w:right="0" w:firstLine="0"/>
        <w:jc w:val="left"/>
        <w:rPr>
          <w:sz w:val="20"/>
        </w:rPr>
      </w:pPr>
      <w:r>
        <w:rPr>
          <w:sz w:val="20"/>
        </w:rPr>
        <w:t>Fuente: Elaboración a partir de datos ISI de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60" w:lineRule="auto"/>
        <w:ind w:left="102" w:right="122"/>
        <w:jc w:val="both"/>
      </w:pPr>
      <w:r>
        <w:rPr/>
        <w:t>De los 474 artículos publicados en Eure resaltamos que 262 no tienen ninguna cita, lo que equivale al 55% del total de artículos, esta característica nos permite inferir que para que un artículo sea citable no es condición suficiente el que se encuentre en una revista de prestigio, sino además de que el tema tratado esté en la agenda de investigación vigente y que sea de interés para la comunidad científica acorde a los temas y formas en que es abordado por ella; esta conjetura se refuerza al advertir que de los 212 artículos que son citados el 30% sólo tiene una cita y el 18% tiene 2 citas, mientras que el 26% tiene más de 7</w:t>
      </w:r>
      <w:r>
        <w:rPr>
          <w:spacing w:val="-24"/>
        </w:rPr>
        <w:t> </w:t>
      </w:r>
      <w:r>
        <w:rPr/>
        <w:t>citas.</w:t>
      </w:r>
    </w:p>
    <w:p>
      <w:pPr>
        <w:spacing w:after="0" w:line="360" w:lineRule="auto"/>
        <w:jc w:val="both"/>
        <w:sectPr>
          <w:pgSz w:w="12240" w:h="15840"/>
          <w:pgMar w:header="0" w:footer="629" w:top="1360" w:bottom="880" w:left="1600" w:right="1580"/>
        </w:sectPr>
      </w:pPr>
    </w:p>
    <w:p>
      <w:pPr>
        <w:pStyle w:val="Heading1"/>
        <w:spacing w:before="52"/>
        <w:ind w:left="100" w:right="117"/>
      </w:pPr>
      <w:r>
        <w:rPr/>
        <w:t>Figura 14</w:t>
      </w:r>
    </w:p>
    <w:p>
      <w:pPr>
        <w:spacing w:before="0"/>
        <w:ind w:left="1611" w:right="1633" w:firstLine="0"/>
        <w:jc w:val="center"/>
        <w:rPr>
          <w:b/>
          <w:sz w:val="24"/>
        </w:rPr>
      </w:pPr>
      <w:r>
        <w:rPr>
          <w:b/>
          <w:sz w:val="24"/>
        </w:rPr>
        <w:t>Porcentaje de artículos respecto a número de citas Total 212 artículos</w:t>
      </w:r>
    </w:p>
    <w:p>
      <w:pPr>
        <w:pStyle w:val="BodyText"/>
        <w:ind w:left="582"/>
        <w:rPr>
          <w:sz w:val="20"/>
        </w:rPr>
      </w:pPr>
      <w:r>
        <w:rPr>
          <w:sz w:val="20"/>
        </w:rPr>
        <w:pict>
          <v:group style="width:393.45pt;height:267.8pt;mso-position-horizontal-relative:char;mso-position-vertical-relative:line" coordorigin="0,0" coordsize="7869,5356">
            <v:shape style="position:absolute;left:717;top:561;width:6434;height:4236" type="#_x0000_t75" stroked="false">
              <v:imagedata r:id="rId28" o:title=""/>
            </v:shape>
            <v:line style="position:absolute" from="822,2242" to="725,2031" stroked="true" strokeweight=".75pt" strokecolor="#000000"/>
            <v:rect style="position:absolute;left:8;top:8;width:7854;height:5341" filled="false" stroked="true" strokeweight=".75pt" strokecolor="#858585"/>
            <v:shape style="position:absolute;left:148;top:1559;width:627;height:533" type="#_x0000_t202" filled="false" stroked="false">
              <v:textbox inset="0,0,0,0">
                <w:txbxContent>
                  <w:p>
                    <w:pPr>
                      <w:spacing w:line="244" w:lineRule="exact" w:before="0"/>
                      <w:ind w:left="0" w:right="5" w:firstLine="0"/>
                      <w:jc w:val="center"/>
                      <w:rPr>
                        <w:rFonts w:ascii="Calibri"/>
                        <w:sz w:val="24"/>
                      </w:rPr>
                    </w:pPr>
                    <w:r>
                      <w:rPr>
                        <w:rFonts w:ascii="Calibri"/>
                        <w:sz w:val="24"/>
                      </w:rPr>
                      <w:t>7 citas</w:t>
                    </w:r>
                  </w:p>
                  <w:p>
                    <w:pPr>
                      <w:spacing w:line="288" w:lineRule="exact" w:before="0"/>
                      <w:ind w:left="168" w:right="5" w:firstLine="0"/>
                      <w:jc w:val="center"/>
                      <w:rPr>
                        <w:rFonts w:ascii="Calibri"/>
                        <w:sz w:val="24"/>
                      </w:rPr>
                    </w:pPr>
                    <w:r>
                      <w:rPr>
                        <w:rFonts w:ascii="Calibri"/>
                        <w:sz w:val="24"/>
                      </w:rPr>
                      <w:t>2% </w:t>
                    </w:r>
                    <w:r>
                      <w:rPr>
                        <w:rFonts w:ascii="Calibri"/>
                        <w:sz w:val="24"/>
                        <w:u w:val="single"/>
                      </w:rPr>
                      <w:t>  </w:t>
                    </w:r>
                  </w:p>
                </w:txbxContent>
              </v:textbox>
              <w10:wrap type="none"/>
            </v:shape>
            <v:shape style="position:absolute;left:1780;top:1253;width:1376;height:534" type="#_x0000_t202" filled="false" stroked="false">
              <v:textbox inset="0,0,0,0">
                <w:txbxContent>
                  <w:p>
                    <w:pPr>
                      <w:spacing w:line="245" w:lineRule="exact" w:before="0"/>
                      <w:ind w:left="0" w:right="0" w:firstLine="0"/>
                      <w:jc w:val="center"/>
                      <w:rPr>
                        <w:rFonts w:ascii="Calibri" w:hAnsi="Calibri"/>
                        <w:sz w:val="24"/>
                      </w:rPr>
                    </w:pPr>
                    <w:r>
                      <w:rPr>
                        <w:rFonts w:ascii="Calibri" w:hAnsi="Calibri"/>
                        <w:sz w:val="24"/>
                      </w:rPr>
                      <w:t>más de 7</w:t>
                    </w:r>
                    <w:r>
                      <w:rPr>
                        <w:rFonts w:ascii="Calibri" w:hAnsi="Calibri"/>
                        <w:spacing w:val="-5"/>
                        <w:sz w:val="24"/>
                      </w:rPr>
                      <w:t> </w:t>
                    </w:r>
                    <w:r>
                      <w:rPr>
                        <w:rFonts w:ascii="Calibri" w:hAnsi="Calibri"/>
                        <w:sz w:val="24"/>
                      </w:rPr>
                      <w:t>citas</w:t>
                    </w:r>
                  </w:p>
                  <w:p>
                    <w:pPr>
                      <w:spacing w:line="288" w:lineRule="exact" w:before="0"/>
                      <w:ind w:left="1" w:right="0" w:firstLine="0"/>
                      <w:jc w:val="center"/>
                      <w:rPr>
                        <w:rFonts w:ascii="Calibri"/>
                        <w:sz w:val="24"/>
                      </w:rPr>
                    </w:pPr>
                    <w:r>
                      <w:rPr>
                        <w:rFonts w:ascii="Calibri"/>
                        <w:sz w:val="24"/>
                      </w:rPr>
                      <w:t>26%</w:t>
                    </w:r>
                  </w:p>
                </w:txbxContent>
              </v:textbox>
              <w10:wrap type="none"/>
            </v:shape>
            <v:shape style="position:absolute;left:5333;top:1364;width:526;height:533" type="#_x0000_t202" filled="false" stroked="false">
              <v:textbox inset="0,0,0,0">
                <w:txbxContent>
                  <w:p>
                    <w:pPr>
                      <w:spacing w:line="244" w:lineRule="exact" w:before="0"/>
                      <w:ind w:left="0" w:right="-18" w:firstLine="0"/>
                      <w:jc w:val="left"/>
                      <w:rPr>
                        <w:rFonts w:ascii="Calibri"/>
                        <w:sz w:val="24"/>
                      </w:rPr>
                    </w:pPr>
                    <w:r>
                      <w:rPr>
                        <w:rFonts w:ascii="Calibri"/>
                        <w:sz w:val="24"/>
                      </w:rPr>
                      <w:t>1</w:t>
                    </w:r>
                    <w:r>
                      <w:rPr>
                        <w:rFonts w:ascii="Calibri"/>
                        <w:spacing w:val="-4"/>
                        <w:sz w:val="24"/>
                      </w:rPr>
                      <w:t> </w:t>
                    </w:r>
                    <w:r>
                      <w:rPr>
                        <w:rFonts w:ascii="Calibri"/>
                        <w:sz w:val="24"/>
                      </w:rPr>
                      <w:t>cita</w:t>
                    </w:r>
                  </w:p>
                  <w:p>
                    <w:pPr>
                      <w:spacing w:line="288" w:lineRule="exact" w:before="0"/>
                      <w:ind w:left="26" w:right="-18" w:firstLine="0"/>
                      <w:jc w:val="left"/>
                      <w:rPr>
                        <w:rFonts w:ascii="Calibri"/>
                        <w:sz w:val="24"/>
                      </w:rPr>
                    </w:pPr>
                    <w:r>
                      <w:rPr>
                        <w:rFonts w:ascii="Calibri"/>
                        <w:sz w:val="24"/>
                      </w:rPr>
                      <w:t>30%</w:t>
                    </w:r>
                  </w:p>
                </w:txbxContent>
              </v:textbox>
              <w10:wrap type="none"/>
            </v:shape>
            <v:shape style="position:absolute;left:68;top:2598;width:620;height:534" type="#_x0000_t202" filled="false" stroked="false">
              <v:textbox inset="0,0,0,0">
                <w:txbxContent>
                  <w:p>
                    <w:pPr>
                      <w:spacing w:line="245" w:lineRule="exact" w:before="0"/>
                      <w:ind w:left="-1" w:right="0" w:firstLine="0"/>
                      <w:jc w:val="center"/>
                      <w:rPr>
                        <w:rFonts w:ascii="Calibri"/>
                        <w:sz w:val="24"/>
                      </w:rPr>
                    </w:pPr>
                    <w:r>
                      <w:rPr>
                        <w:rFonts w:ascii="Calibri"/>
                        <w:sz w:val="24"/>
                      </w:rPr>
                      <w:t>6</w:t>
                    </w:r>
                    <w:r>
                      <w:rPr>
                        <w:rFonts w:ascii="Calibri"/>
                        <w:spacing w:val="-3"/>
                        <w:sz w:val="24"/>
                      </w:rPr>
                      <w:t> </w:t>
                    </w:r>
                    <w:r>
                      <w:rPr>
                        <w:rFonts w:ascii="Calibri"/>
                        <w:sz w:val="24"/>
                      </w:rPr>
                      <w:t>citas</w:t>
                    </w:r>
                  </w:p>
                  <w:p>
                    <w:pPr>
                      <w:spacing w:line="288" w:lineRule="exact" w:before="0"/>
                      <w:ind w:left="1" w:right="0" w:firstLine="0"/>
                      <w:jc w:val="center"/>
                      <w:rPr>
                        <w:rFonts w:ascii="Calibri"/>
                        <w:sz w:val="24"/>
                      </w:rPr>
                    </w:pPr>
                    <w:r>
                      <w:rPr>
                        <w:rFonts w:ascii="Calibri"/>
                        <w:sz w:val="24"/>
                      </w:rPr>
                      <w:t>4%</w:t>
                    </w:r>
                  </w:p>
                </w:txbxContent>
              </v:textbox>
              <w10:wrap type="none"/>
            </v:shape>
            <v:shape style="position:absolute;left:1109;top:2655;width:620;height:533" type="#_x0000_t202" filled="false" stroked="false">
              <v:textbox inset="0,0,0,0">
                <w:txbxContent>
                  <w:p>
                    <w:pPr>
                      <w:spacing w:line="244" w:lineRule="exact" w:before="0"/>
                      <w:ind w:left="0" w:right="0" w:firstLine="0"/>
                      <w:jc w:val="center"/>
                      <w:rPr>
                        <w:rFonts w:ascii="Calibri"/>
                        <w:sz w:val="24"/>
                      </w:rPr>
                    </w:pPr>
                    <w:r>
                      <w:rPr>
                        <w:rFonts w:ascii="Calibri"/>
                        <w:sz w:val="24"/>
                      </w:rPr>
                      <w:t>5</w:t>
                    </w:r>
                    <w:r>
                      <w:rPr>
                        <w:rFonts w:ascii="Calibri"/>
                        <w:spacing w:val="-4"/>
                        <w:sz w:val="24"/>
                      </w:rPr>
                      <w:t> </w:t>
                    </w:r>
                    <w:r>
                      <w:rPr>
                        <w:rFonts w:ascii="Calibri"/>
                        <w:sz w:val="24"/>
                      </w:rPr>
                      <w:t>citas</w:t>
                    </w:r>
                  </w:p>
                  <w:p>
                    <w:pPr>
                      <w:spacing w:line="288" w:lineRule="exact" w:before="0"/>
                      <w:ind w:left="1" w:right="0" w:firstLine="0"/>
                      <w:jc w:val="center"/>
                      <w:rPr>
                        <w:rFonts w:ascii="Calibri"/>
                        <w:sz w:val="24"/>
                      </w:rPr>
                    </w:pPr>
                    <w:r>
                      <w:rPr>
                        <w:rFonts w:ascii="Calibri"/>
                        <w:sz w:val="24"/>
                      </w:rPr>
                      <w:t>5%</w:t>
                    </w:r>
                  </w:p>
                </w:txbxContent>
              </v:textbox>
              <w10:wrap type="none"/>
            </v:shape>
            <v:shape style="position:absolute;left:3398;top:3116;width:620;height:533" type="#_x0000_t202" filled="false" stroked="false">
              <v:textbox inset="0,0,0,0">
                <w:txbxContent>
                  <w:p>
                    <w:pPr>
                      <w:spacing w:line="244" w:lineRule="exact" w:before="0"/>
                      <w:ind w:left="0" w:right="0" w:firstLine="0"/>
                      <w:jc w:val="center"/>
                      <w:rPr>
                        <w:rFonts w:ascii="Calibri"/>
                        <w:sz w:val="24"/>
                      </w:rPr>
                    </w:pPr>
                    <w:r>
                      <w:rPr>
                        <w:rFonts w:ascii="Calibri"/>
                        <w:sz w:val="24"/>
                      </w:rPr>
                      <w:t>3</w:t>
                    </w:r>
                    <w:r>
                      <w:rPr>
                        <w:rFonts w:ascii="Calibri"/>
                        <w:spacing w:val="-4"/>
                        <w:sz w:val="24"/>
                      </w:rPr>
                      <w:t> </w:t>
                    </w:r>
                    <w:r>
                      <w:rPr>
                        <w:rFonts w:ascii="Calibri"/>
                        <w:sz w:val="24"/>
                      </w:rPr>
                      <w:t>citas</w:t>
                    </w:r>
                  </w:p>
                  <w:p>
                    <w:pPr>
                      <w:spacing w:line="288" w:lineRule="exact" w:before="0"/>
                      <w:ind w:left="1" w:right="0" w:firstLine="0"/>
                      <w:jc w:val="center"/>
                      <w:rPr>
                        <w:rFonts w:ascii="Calibri"/>
                        <w:sz w:val="24"/>
                      </w:rPr>
                    </w:pPr>
                    <w:r>
                      <w:rPr>
                        <w:rFonts w:ascii="Calibri"/>
                        <w:sz w:val="24"/>
                      </w:rPr>
                      <w:t>7%</w:t>
                    </w:r>
                  </w:p>
                </w:txbxContent>
              </v:textbox>
              <w10:wrap type="none"/>
            </v:shape>
            <v:shape style="position:absolute;left:5139;top:2891;width:620;height:533" type="#_x0000_t202" filled="false" stroked="false">
              <v:textbox inset="0,0,0,0">
                <w:txbxContent>
                  <w:p>
                    <w:pPr>
                      <w:spacing w:line="244" w:lineRule="exact" w:before="0"/>
                      <w:ind w:left="0" w:right="0" w:firstLine="0"/>
                      <w:jc w:val="center"/>
                      <w:rPr>
                        <w:rFonts w:ascii="Calibri"/>
                        <w:sz w:val="24"/>
                      </w:rPr>
                    </w:pPr>
                    <w:r>
                      <w:rPr>
                        <w:rFonts w:ascii="Calibri"/>
                        <w:sz w:val="24"/>
                      </w:rPr>
                      <w:t>2</w:t>
                    </w:r>
                    <w:r>
                      <w:rPr>
                        <w:rFonts w:ascii="Calibri"/>
                        <w:spacing w:val="-4"/>
                        <w:sz w:val="24"/>
                      </w:rPr>
                      <w:t> </w:t>
                    </w:r>
                    <w:r>
                      <w:rPr>
                        <w:rFonts w:ascii="Calibri"/>
                        <w:sz w:val="24"/>
                      </w:rPr>
                      <w:t>citas</w:t>
                    </w:r>
                  </w:p>
                  <w:p>
                    <w:pPr>
                      <w:spacing w:line="288" w:lineRule="exact" w:before="0"/>
                      <w:ind w:left="0" w:right="0" w:firstLine="0"/>
                      <w:jc w:val="center"/>
                      <w:rPr>
                        <w:rFonts w:ascii="Calibri"/>
                        <w:sz w:val="24"/>
                      </w:rPr>
                    </w:pPr>
                    <w:r>
                      <w:rPr>
                        <w:rFonts w:ascii="Calibri"/>
                        <w:sz w:val="24"/>
                      </w:rPr>
                      <w:t>18%</w:t>
                    </w:r>
                  </w:p>
                </w:txbxContent>
              </v:textbox>
              <w10:wrap type="none"/>
            </v:shape>
            <v:shape style="position:absolute;left:1373;top:4151;width:620;height:533" type="#_x0000_t202" filled="false" stroked="false">
              <v:textbox inset="0,0,0,0">
                <w:txbxContent>
                  <w:p>
                    <w:pPr>
                      <w:spacing w:line="244" w:lineRule="exact" w:before="0"/>
                      <w:ind w:left="0" w:right="0" w:firstLine="0"/>
                      <w:jc w:val="center"/>
                      <w:rPr>
                        <w:rFonts w:ascii="Calibri"/>
                        <w:sz w:val="24"/>
                      </w:rPr>
                    </w:pPr>
                    <w:r>
                      <w:rPr>
                        <w:rFonts w:ascii="Calibri"/>
                        <w:sz w:val="24"/>
                      </w:rPr>
                      <w:t>4</w:t>
                    </w:r>
                    <w:r>
                      <w:rPr>
                        <w:rFonts w:ascii="Calibri"/>
                        <w:spacing w:val="-4"/>
                        <w:sz w:val="24"/>
                      </w:rPr>
                      <w:t> </w:t>
                    </w:r>
                    <w:r>
                      <w:rPr>
                        <w:rFonts w:ascii="Calibri"/>
                        <w:sz w:val="24"/>
                      </w:rPr>
                      <w:t>citas</w:t>
                    </w:r>
                  </w:p>
                  <w:p>
                    <w:pPr>
                      <w:spacing w:line="288" w:lineRule="exact" w:before="0"/>
                      <w:ind w:left="1" w:right="0" w:firstLine="0"/>
                      <w:jc w:val="center"/>
                      <w:rPr>
                        <w:rFonts w:ascii="Calibri"/>
                        <w:sz w:val="24"/>
                      </w:rPr>
                    </w:pPr>
                    <w:r>
                      <w:rPr>
                        <w:rFonts w:ascii="Calibri"/>
                        <w:sz w:val="24"/>
                      </w:rPr>
                      <w:t>8%</w:t>
                    </w:r>
                  </w:p>
                </w:txbxContent>
              </v:textbox>
              <w10:wrap type="none"/>
            </v:shape>
          </v:group>
        </w:pict>
      </w:r>
      <w:r>
        <w:rPr>
          <w:sz w:val="20"/>
        </w:rPr>
      </w:r>
    </w:p>
    <w:p>
      <w:pPr>
        <w:spacing w:before="91"/>
        <w:ind w:left="92" w:right="117" w:firstLine="0"/>
        <w:jc w:val="center"/>
        <w:rPr>
          <w:sz w:val="20"/>
        </w:rPr>
      </w:pPr>
      <w:r>
        <w:rPr>
          <w:sz w:val="20"/>
        </w:rPr>
        <w:t>Fuente: Elaboración a partir de datos ISI de 2015</w:t>
      </w:r>
    </w:p>
    <w:p>
      <w:pPr>
        <w:pStyle w:val="BodyText"/>
        <w:rPr>
          <w:sz w:val="20"/>
        </w:rPr>
      </w:pPr>
    </w:p>
    <w:p>
      <w:pPr>
        <w:pStyle w:val="BodyText"/>
        <w:spacing w:before="2"/>
        <w:rPr>
          <w:sz w:val="26"/>
        </w:rPr>
      </w:pPr>
    </w:p>
    <w:p>
      <w:pPr>
        <w:pStyle w:val="BodyText"/>
        <w:spacing w:line="360" w:lineRule="auto"/>
        <w:ind w:left="102" w:right="124"/>
        <w:jc w:val="both"/>
      </w:pPr>
      <w:r>
        <w:rPr/>
        <w:t>En la distribución de citas identificamos que 30 artículos, de los 212 citados, concentran 603 citas, es decir que el 14% de los artículos agrupa el 50% del total de citas, del lado opuesto, el 45% de artículos apenas concentra el 10% de las citas; la relación entre el porcentaje de artículos respecto al porcentaje de citas la podemos observar en la siguiente gráfica:</w:t>
      </w:r>
    </w:p>
    <w:p>
      <w:pPr>
        <w:spacing w:after="0" w:line="360" w:lineRule="auto"/>
        <w:jc w:val="both"/>
        <w:sectPr>
          <w:pgSz w:w="12240" w:h="15840"/>
          <w:pgMar w:header="0" w:footer="629" w:top="1360" w:bottom="880" w:left="1600" w:right="1580"/>
        </w:sectPr>
      </w:pPr>
    </w:p>
    <w:p>
      <w:pPr>
        <w:pStyle w:val="Heading1"/>
        <w:spacing w:before="52"/>
        <w:ind w:left="1124" w:right="2121"/>
      </w:pPr>
      <w:r>
        <w:rPr/>
        <w:t>Figura 15</w:t>
      </w:r>
    </w:p>
    <w:p>
      <w:pPr>
        <w:pStyle w:val="Heading1"/>
        <w:spacing w:before="2"/>
        <w:ind w:left="1124" w:right="2126"/>
      </w:pPr>
      <w:r>
        <w:rPr/>
        <w:pict>
          <v:group style="position:absolute;margin-left:84.675003pt;margin-top:20.550831pt;width:421.35pt;height:284.95pt;mso-position-horizontal-relative:page;mso-position-vertical-relative:paragraph;z-index:-398536" coordorigin="1694,411" coordsize="8427,5699">
            <v:shape style="position:absolute;left:2699;top:4863;width:154;height:154" type="#_x0000_t75" stroked="false">
              <v:imagedata r:id="rId29" o:title=""/>
            </v:shape>
            <v:shape style="position:absolute;left:2732;top:562;width:7083;height:4253" type="#_x0000_t75" stroked="false">
              <v:imagedata r:id="rId30" o:title=""/>
            </v:shape>
            <v:rect style="position:absolute;left:1701;top:419;width:8412;height:5684" filled="false" stroked="true" strokeweight=".75pt" strokecolor="#858585"/>
            <v:shape style="position:absolute;left:2256;top:548;width:305;height:4737" type="#_x0000_t202" filled="false" stroked="false">
              <v:textbox inset="0,0,0,0">
                <w:txbxContent>
                  <w:p>
                    <w:pPr>
                      <w:spacing w:line="203" w:lineRule="exact" w:before="0"/>
                      <w:ind w:left="0" w:right="0" w:firstLine="0"/>
                      <w:jc w:val="center"/>
                      <w:rPr>
                        <w:rFonts w:ascii="Calibri"/>
                        <w:sz w:val="20"/>
                      </w:rPr>
                    </w:pPr>
                    <w:r>
                      <w:rPr>
                        <w:rFonts w:ascii="Calibri"/>
                        <w:sz w:val="20"/>
                      </w:rPr>
                      <w:t>100</w:t>
                    </w:r>
                  </w:p>
                  <w:p>
                    <w:pPr>
                      <w:spacing w:line="240" w:lineRule="auto" w:before="2"/>
                      <w:rPr>
                        <w:sz w:val="18"/>
                      </w:rPr>
                    </w:pPr>
                  </w:p>
                  <w:p>
                    <w:pPr>
                      <w:spacing w:before="0"/>
                      <w:ind w:left="99" w:right="0" w:firstLine="0"/>
                      <w:jc w:val="center"/>
                      <w:rPr>
                        <w:rFonts w:ascii="Calibri"/>
                        <w:sz w:val="20"/>
                      </w:rPr>
                    </w:pPr>
                    <w:r>
                      <w:rPr>
                        <w:rFonts w:ascii="Calibri"/>
                        <w:w w:val="95"/>
                        <w:sz w:val="20"/>
                      </w:rPr>
                      <w:t>90</w:t>
                    </w:r>
                  </w:p>
                  <w:p>
                    <w:pPr>
                      <w:spacing w:line="240" w:lineRule="auto" w:before="2"/>
                      <w:rPr>
                        <w:sz w:val="18"/>
                      </w:rPr>
                    </w:pPr>
                  </w:p>
                  <w:p>
                    <w:pPr>
                      <w:spacing w:before="0"/>
                      <w:ind w:left="99" w:right="0" w:firstLine="0"/>
                      <w:jc w:val="center"/>
                      <w:rPr>
                        <w:rFonts w:ascii="Calibri"/>
                        <w:sz w:val="20"/>
                      </w:rPr>
                    </w:pPr>
                    <w:r>
                      <w:rPr>
                        <w:rFonts w:ascii="Calibri"/>
                        <w:w w:val="95"/>
                        <w:sz w:val="20"/>
                      </w:rPr>
                      <w:t>80</w:t>
                    </w:r>
                  </w:p>
                  <w:p>
                    <w:pPr>
                      <w:spacing w:line="240" w:lineRule="auto" w:before="2"/>
                      <w:rPr>
                        <w:sz w:val="18"/>
                      </w:rPr>
                    </w:pPr>
                  </w:p>
                  <w:p>
                    <w:pPr>
                      <w:spacing w:before="0"/>
                      <w:ind w:left="99" w:right="0" w:firstLine="0"/>
                      <w:jc w:val="center"/>
                      <w:rPr>
                        <w:rFonts w:ascii="Calibri"/>
                        <w:sz w:val="20"/>
                      </w:rPr>
                    </w:pPr>
                    <w:r>
                      <w:rPr>
                        <w:rFonts w:ascii="Calibri"/>
                        <w:sz w:val="20"/>
                      </w:rPr>
                      <w:t>70</w:t>
                    </w:r>
                  </w:p>
                  <w:p>
                    <w:pPr>
                      <w:spacing w:line="240" w:lineRule="auto" w:before="3"/>
                      <w:rPr>
                        <w:sz w:val="18"/>
                      </w:rPr>
                    </w:pPr>
                  </w:p>
                  <w:p>
                    <w:pPr>
                      <w:spacing w:before="0"/>
                      <w:ind w:left="99" w:right="0" w:firstLine="0"/>
                      <w:jc w:val="center"/>
                      <w:rPr>
                        <w:rFonts w:ascii="Calibri"/>
                        <w:sz w:val="20"/>
                      </w:rPr>
                    </w:pPr>
                    <w:r>
                      <w:rPr>
                        <w:rFonts w:ascii="Calibri"/>
                        <w:w w:val="95"/>
                        <w:sz w:val="20"/>
                      </w:rPr>
                      <w:t>60</w:t>
                    </w:r>
                  </w:p>
                  <w:p>
                    <w:pPr>
                      <w:spacing w:line="240" w:lineRule="auto" w:before="2"/>
                      <w:rPr>
                        <w:sz w:val="18"/>
                      </w:rPr>
                    </w:pPr>
                  </w:p>
                  <w:p>
                    <w:pPr>
                      <w:spacing w:before="0"/>
                      <w:ind w:left="99" w:right="0" w:firstLine="0"/>
                      <w:jc w:val="center"/>
                      <w:rPr>
                        <w:rFonts w:ascii="Calibri"/>
                        <w:sz w:val="20"/>
                      </w:rPr>
                    </w:pPr>
                    <w:r>
                      <w:rPr>
                        <w:rFonts w:ascii="Calibri"/>
                        <w:w w:val="95"/>
                        <w:sz w:val="20"/>
                      </w:rPr>
                      <w:t>50</w:t>
                    </w:r>
                  </w:p>
                  <w:p>
                    <w:pPr>
                      <w:spacing w:line="240" w:lineRule="auto" w:before="2"/>
                      <w:rPr>
                        <w:sz w:val="18"/>
                      </w:rPr>
                    </w:pPr>
                  </w:p>
                  <w:p>
                    <w:pPr>
                      <w:spacing w:before="0"/>
                      <w:ind w:left="99" w:right="0" w:firstLine="0"/>
                      <w:jc w:val="center"/>
                      <w:rPr>
                        <w:rFonts w:ascii="Calibri"/>
                        <w:sz w:val="20"/>
                      </w:rPr>
                    </w:pPr>
                    <w:r>
                      <w:rPr>
                        <w:rFonts w:ascii="Calibri"/>
                        <w:w w:val="95"/>
                        <w:sz w:val="20"/>
                      </w:rPr>
                      <w:t>40</w:t>
                    </w:r>
                  </w:p>
                  <w:p>
                    <w:pPr>
                      <w:spacing w:line="240" w:lineRule="auto" w:before="2"/>
                      <w:rPr>
                        <w:sz w:val="18"/>
                      </w:rPr>
                    </w:pPr>
                  </w:p>
                  <w:p>
                    <w:pPr>
                      <w:spacing w:before="1"/>
                      <w:ind w:left="99" w:right="0" w:firstLine="0"/>
                      <w:jc w:val="center"/>
                      <w:rPr>
                        <w:rFonts w:ascii="Calibri"/>
                        <w:sz w:val="20"/>
                      </w:rPr>
                    </w:pPr>
                    <w:r>
                      <w:rPr>
                        <w:rFonts w:ascii="Calibri"/>
                        <w:w w:val="95"/>
                        <w:sz w:val="20"/>
                      </w:rPr>
                      <w:t>30</w:t>
                    </w:r>
                  </w:p>
                  <w:p>
                    <w:pPr>
                      <w:spacing w:line="240" w:lineRule="auto" w:before="2"/>
                      <w:rPr>
                        <w:sz w:val="18"/>
                      </w:rPr>
                    </w:pPr>
                  </w:p>
                  <w:p>
                    <w:pPr>
                      <w:spacing w:before="0"/>
                      <w:ind w:left="99" w:right="0" w:firstLine="0"/>
                      <w:jc w:val="center"/>
                      <w:rPr>
                        <w:rFonts w:ascii="Calibri"/>
                        <w:sz w:val="20"/>
                      </w:rPr>
                    </w:pPr>
                    <w:r>
                      <w:rPr>
                        <w:rFonts w:ascii="Calibri"/>
                        <w:w w:val="95"/>
                        <w:sz w:val="20"/>
                      </w:rPr>
                      <w:t>20</w:t>
                    </w:r>
                  </w:p>
                  <w:p>
                    <w:pPr>
                      <w:spacing w:line="240" w:lineRule="auto" w:before="2"/>
                      <w:rPr>
                        <w:sz w:val="18"/>
                      </w:rPr>
                    </w:pPr>
                  </w:p>
                  <w:p>
                    <w:pPr>
                      <w:spacing w:before="0"/>
                      <w:ind w:left="99" w:right="0" w:firstLine="0"/>
                      <w:jc w:val="center"/>
                      <w:rPr>
                        <w:rFonts w:ascii="Calibri"/>
                        <w:sz w:val="20"/>
                      </w:rPr>
                    </w:pPr>
                    <w:r>
                      <w:rPr>
                        <w:rFonts w:ascii="Calibri"/>
                        <w:w w:val="95"/>
                        <w:sz w:val="20"/>
                      </w:rPr>
                      <w:t>10</w:t>
                    </w:r>
                  </w:p>
                  <w:p>
                    <w:pPr>
                      <w:spacing w:line="240" w:lineRule="auto" w:before="3"/>
                      <w:rPr>
                        <w:sz w:val="18"/>
                      </w:rPr>
                    </w:pPr>
                  </w:p>
                  <w:p>
                    <w:pPr>
                      <w:spacing w:line="240" w:lineRule="exact" w:before="0"/>
                      <w:ind w:left="202" w:right="0" w:firstLine="0"/>
                      <w:jc w:val="center"/>
                      <w:rPr>
                        <w:rFonts w:ascii="Calibri"/>
                        <w:sz w:val="20"/>
                      </w:rPr>
                    </w:pPr>
                    <w:r>
                      <w:rPr>
                        <w:rFonts w:ascii="Calibri"/>
                        <w:w w:val="99"/>
                        <w:sz w:val="20"/>
                      </w:rPr>
                      <w:t>0</w:t>
                    </w:r>
                  </w:p>
                </w:txbxContent>
              </v:textbox>
              <w10:wrap type="none"/>
            </v:shape>
            <v:shape style="position:absolute;left:2695;top:5345;width:7201;height:504" type="#_x0000_t202" filled="false" stroked="false">
              <v:textbox inset="0,0,0,0">
                <w:txbxContent>
                  <w:p>
                    <w:pPr>
                      <w:tabs>
                        <w:tab w:pos="349" w:val="left" w:leader="none"/>
                      </w:tabs>
                      <w:spacing w:line="203" w:lineRule="exact" w:before="0"/>
                      <w:ind w:left="0" w:right="0" w:firstLine="0"/>
                      <w:jc w:val="center"/>
                      <w:rPr>
                        <w:rFonts w:ascii="Calibri"/>
                        <w:sz w:val="20"/>
                      </w:rPr>
                    </w:pPr>
                    <w:r>
                      <w:rPr>
                        <w:rFonts w:ascii="Calibri"/>
                        <w:sz w:val="20"/>
                      </w:rPr>
                      <w:t>0</w:t>
                      <w:tab/>
                      <w:t>5    10   15   20   25   30   35   40   45   50   55   60   65   70   75   80   85   90   95     </w:t>
                    </w:r>
                    <w:r>
                      <w:rPr>
                        <w:rFonts w:ascii="Calibri"/>
                        <w:spacing w:val="19"/>
                        <w:sz w:val="20"/>
                      </w:rPr>
                      <w:t> </w:t>
                    </w:r>
                    <w:r>
                      <w:rPr>
                        <w:rFonts w:ascii="Calibri"/>
                        <w:sz w:val="20"/>
                      </w:rPr>
                      <w:t>100</w:t>
                    </w:r>
                  </w:p>
                  <w:p>
                    <w:pPr>
                      <w:spacing w:line="240" w:lineRule="exact" w:before="60"/>
                      <w:ind w:left="0" w:right="102" w:firstLine="0"/>
                      <w:jc w:val="center"/>
                      <w:rPr>
                        <w:rFonts w:ascii="Calibri" w:hAnsi="Calibri"/>
                        <w:b/>
                        <w:sz w:val="20"/>
                      </w:rPr>
                    </w:pPr>
                    <w:r>
                      <w:rPr>
                        <w:rFonts w:ascii="Calibri" w:hAnsi="Calibri"/>
                        <w:b/>
                        <w:sz w:val="20"/>
                      </w:rPr>
                      <w:t>% Artículos</w:t>
                    </w:r>
                  </w:p>
                </w:txbxContent>
              </v:textbox>
              <w10:wrap type="none"/>
            </v:shape>
            <w10:wrap type="none"/>
          </v:group>
        </w:pict>
      </w:r>
      <w:r>
        <w:rPr/>
        <w:pict>
          <v:shape style="position:absolute;margin-left:98.57pt;margin-top:129.662567pt;width:12pt;height:31.65pt;mso-position-horizontal-relative:page;mso-position-vertical-relative:paragraph;z-index:3592" type="#_x0000_t202" filled="false" stroked="false">
            <v:textbox inset="0,0,0,0" style="layout-flow:vertical;mso-layout-flow-alt:bottom-to-top">
              <w:txbxContent>
                <w:p>
                  <w:pPr>
                    <w:spacing w:line="223" w:lineRule="exact" w:before="0"/>
                    <w:ind w:left="20" w:right="-201" w:firstLine="0"/>
                    <w:jc w:val="left"/>
                    <w:rPr>
                      <w:rFonts w:ascii="Calibri"/>
                      <w:b/>
                      <w:sz w:val="20"/>
                    </w:rPr>
                  </w:pPr>
                  <w:r>
                    <w:rPr>
                      <w:rFonts w:ascii="Calibri"/>
                      <w:b/>
                      <w:w w:val="99"/>
                      <w:sz w:val="20"/>
                    </w:rPr>
                    <w:t>%</w:t>
                  </w:r>
                  <w:r>
                    <w:rPr>
                      <w:rFonts w:ascii="Calibri"/>
                      <w:b/>
                      <w:sz w:val="20"/>
                    </w:rPr>
                    <w:t> </w:t>
                  </w:r>
                  <w:r>
                    <w:rPr>
                      <w:rFonts w:ascii="Calibri"/>
                      <w:b/>
                      <w:w w:val="99"/>
                      <w:sz w:val="20"/>
                    </w:rPr>
                    <w:t>C</w:t>
                  </w:r>
                  <w:r>
                    <w:rPr>
                      <w:rFonts w:ascii="Calibri"/>
                      <w:b/>
                      <w:spacing w:val="-1"/>
                      <w:w w:val="99"/>
                      <w:sz w:val="20"/>
                    </w:rPr>
                    <w:t>i</w:t>
                  </w:r>
                  <w:r>
                    <w:rPr>
                      <w:rFonts w:ascii="Calibri"/>
                      <w:b/>
                      <w:w w:val="99"/>
                      <w:sz w:val="20"/>
                    </w:rPr>
                    <w:t>tas</w:t>
                  </w:r>
                </w:p>
              </w:txbxContent>
            </v:textbox>
            <w10:wrap type="none"/>
          </v:shape>
        </w:pict>
      </w:r>
      <w:r>
        <w:rPr/>
        <w:t>Relación entre porcentaje de artículos y porcentaje de citas</w:t>
      </w:r>
    </w:p>
    <w:p>
      <w:pPr>
        <w:pStyle w:val="BodyText"/>
        <w:rPr>
          <w:b/>
          <w:sz w:val="20"/>
        </w:rPr>
      </w:pPr>
    </w:p>
    <w:p>
      <w:pPr>
        <w:pStyle w:val="BodyText"/>
        <w:rPr>
          <w:b/>
          <w:sz w:val="11"/>
        </w:rPr>
      </w:pPr>
    </w:p>
    <w:tbl>
      <w:tblPr>
        <w:tblW w:w="0" w:type="auto"/>
        <w:jc w:val="left"/>
        <w:tblInd w:w="1158"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350"/>
        <w:gridCol w:w="348"/>
        <w:gridCol w:w="350"/>
        <w:gridCol w:w="350"/>
        <w:gridCol w:w="350"/>
        <w:gridCol w:w="348"/>
        <w:gridCol w:w="350"/>
        <w:gridCol w:w="350"/>
        <w:gridCol w:w="350"/>
        <w:gridCol w:w="348"/>
        <w:gridCol w:w="350"/>
        <w:gridCol w:w="350"/>
        <w:gridCol w:w="350"/>
        <w:gridCol w:w="348"/>
        <w:gridCol w:w="350"/>
        <w:gridCol w:w="350"/>
        <w:gridCol w:w="350"/>
        <w:gridCol w:w="348"/>
        <w:gridCol w:w="350"/>
        <w:gridCol w:w="350"/>
      </w:tblGrid>
      <w:tr>
        <w:trPr>
          <w:trHeight w:val="454" w:hRule="exact"/>
        </w:trPr>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r>
      <w:tr>
        <w:trPr>
          <w:trHeight w:val="454" w:hRule="exact"/>
        </w:trPr>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r>
      <w:tr>
        <w:trPr>
          <w:trHeight w:val="454" w:hRule="exact"/>
        </w:trPr>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r>
      <w:tr>
        <w:trPr>
          <w:trHeight w:val="454" w:hRule="exact"/>
        </w:trPr>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r>
      <w:tr>
        <w:trPr>
          <w:trHeight w:val="454" w:hRule="exact"/>
        </w:trPr>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r>
      <w:tr>
        <w:trPr>
          <w:trHeight w:val="454" w:hRule="exact"/>
        </w:trPr>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r>
      <w:tr>
        <w:trPr>
          <w:trHeight w:val="454" w:hRule="exact"/>
        </w:trPr>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r>
      <w:tr>
        <w:trPr>
          <w:trHeight w:val="454" w:hRule="exact"/>
        </w:trPr>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r>
      <w:tr>
        <w:trPr>
          <w:trHeight w:val="454" w:hRule="exact"/>
        </w:trPr>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r>
      <w:tr>
        <w:trPr>
          <w:trHeight w:val="454" w:hRule="exact"/>
        </w:trPr>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c>
          <w:tcPr>
            <w:tcW w:w="350" w:type="dxa"/>
          </w:tcPr>
          <w:p>
            <w:pPr/>
          </w:p>
        </w:tc>
        <w:tc>
          <w:tcPr>
            <w:tcW w:w="348" w:type="dxa"/>
          </w:tcPr>
          <w:p>
            <w:pPr/>
          </w:p>
        </w:tc>
        <w:tc>
          <w:tcPr>
            <w:tcW w:w="350" w:type="dxa"/>
          </w:tcPr>
          <w:p>
            <w:pPr/>
          </w:p>
        </w:tc>
        <w:tc>
          <w:tcPr>
            <w:tcW w:w="350" w:type="dxa"/>
          </w:tcPr>
          <w:p>
            <w:pPr/>
          </w:p>
        </w:tc>
      </w:tr>
    </w:tbl>
    <w:p>
      <w:pPr>
        <w:pStyle w:val="BodyText"/>
        <w:rPr>
          <w:b/>
        </w:rPr>
      </w:pPr>
    </w:p>
    <w:p>
      <w:pPr>
        <w:pStyle w:val="BodyText"/>
        <w:rPr>
          <w:b/>
        </w:rPr>
      </w:pPr>
    </w:p>
    <w:p>
      <w:pPr>
        <w:pStyle w:val="BodyText"/>
        <w:rPr>
          <w:b/>
        </w:rPr>
      </w:pPr>
    </w:p>
    <w:p>
      <w:pPr>
        <w:pStyle w:val="BodyText"/>
        <w:spacing w:before="8"/>
        <w:rPr>
          <w:b/>
          <w:sz w:val="19"/>
        </w:rPr>
      </w:pPr>
    </w:p>
    <w:p>
      <w:pPr>
        <w:spacing w:before="0"/>
        <w:ind w:left="1121" w:right="2126" w:firstLine="0"/>
        <w:jc w:val="center"/>
        <w:rPr>
          <w:sz w:val="20"/>
        </w:rPr>
      </w:pPr>
      <w:r>
        <w:rPr>
          <w:sz w:val="20"/>
        </w:rPr>
        <w:t>Fuente: Elaboración a partir de datos ISI de 2015</w:t>
      </w:r>
    </w:p>
    <w:p>
      <w:pPr>
        <w:pStyle w:val="BodyText"/>
        <w:rPr>
          <w:sz w:val="20"/>
        </w:rPr>
      </w:pPr>
    </w:p>
    <w:p>
      <w:pPr>
        <w:pStyle w:val="BodyText"/>
        <w:rPr>
          <w:sz w:val="26"/>
        </w:rPr>
      </w:pPr>
    </w:p>
    <w:p>
      <w:pPr>
        <w:pStyle w:val="BodyText"/>
        <w:spacing w:line="360" w:lineRule="auto"/>
        <w:ind w:left="122" w:right="1122"/>
        <w:jc w:val="both"/>
      </w:pPr>
      <w:r>
        <w:rPr/>
        <w:t>Esta relación es un indicio de la relevancia de temas específicos dentro de la investigación urbana que puede constatarse con la presencia de esos temas respecto a los artículos con menor cantidad de citas. También nos lleva a una segunda posibilidad sobre qué autores son preferidos para ser citados en dicho tema y, aún más complejo, la forma de vinculación del autor citado respecto al resto de investigadores que publican para mantener ese nivel de preferencia.</w:t>
      </w:r>
    </w:p>
    <w:p>
      <w:pPr>
        <w:pStyle w:val="BodyText"/>
      </w:pPr>
    </w:p>
    <w:p>
      <w:pPr>
        <w:pStyle w:val="BodyText"/>
        <w:spacing w:line="360" w:lineRule="auto" w:before="142"/>
        <w:ind w:left="122" w:right="1118"/>
        <w:jc w:val="both"/>
      </w:pPr>
      <w:r>
        <w:rPr/>
        <w:t>La concentración de citas en determinados artículos nos lleva a preguntarnos qué tan innovadora es la disciplina en cuanto a temas e investigadores si se hace referencia sólo a un grupo de autores y a unos temas en particular, tal parece que la innovación de temas no dependerá de la propuesta de estudio sino de quien lo impulse. Si la comunidad tuviera un mayor grado de apertura entonces debería haber  una  mayor  distribución  en  las  citas  que  nos  llevaría  a  que       nuevas</w:t>
      </w:r>
    </w:p>
    <w:p>
      <w:pPr>
        <w:spacing w:after="0" w:line="360" w:lineRule="auto"/>
        <w:jc w:val="both"/>
        <w:sectPr>
          <w:pgSz w:w="12240" w:h="15840"/>
          <w:pgMar w:header="0" w:footer="629" w:top="1360" w:bottom="880" w:left="1580" w:right="580"/>
        </w:sectPr>
      </w:pPr>
    </w:p>
    <w:p>
      <w:pPr>
        <w:pStyle w:val="BodyText"/>
        <w:spacing w:line="360" w:lineRule="auto" w:before="54"/>
        <w:ind w:left="102"/>
      </w:pPr>
      <w:r>
        <w:rPr/>
        <w:t>propuestas o autores. Estos indicios los seguiremos abordando en el análisis de la información restante.</w:t>
      </w:r>
    </w:p>
    <w:p>
      <w:pPr>
        <w:pStyle w:val="BodyText"/>
      </w:pPr>
    </w:p>
    <w:p>
      <w:pPr>
        <w:pStyle w:val="BodyText"/>
        <w:spacing w:before="142"/>
        <w:ind w:left="102"/>
      </w:pPr>
      <w:r>
        <w:rPr/>
        <w:t>Los 30 artículos más citados los podemos observar en la siguiente tabla:</w:t>
      </w:r>
    </w:p>
    <w:p>
      <w:pPr>
        <w:pStyle w:val="BodyText"/>
        <w:spacing w:before="7"/>
        <w:rPr>
          <w:sz w:val="35"/>
        </w:rPr>
      </w:pPr>
    </w:p>
    <w:p>
      <w:pPr>
        <w:pStyle w:val="Heading1"/>
        <w:spacing w:before="1"/>
        <w:ind w:left="100" w:right="117"/>
      </w:pPr>
      <w:r>
        <w:rPr/>
        <w:t>Tabla3</w:t>
      </w:r>
    </w:p>
    <w:p>
      <w:pPr>
        <w:spacing w:before="0" w:after="4"/>
        <w:ind w:left="97" w:right="117" w:firstLine="0"/>
        <w:jc w:val="center"/>
        <w:rPr>
          <w:b/>
          <w:sz w:val="24"/>
        </w:rPr>
      </w:pPr>
      <w:r>
        <w:rPr>
          <w:b/>
          <w:sz w:val="24"/>
        </w:rPr>
        <w:t>Citas por artículo, revista Eure</w:t>
      </w:r>
    </w:p>
    <w:tbl>
      <w:tblPr>
        <w:tblW w:w="0" w:type="auto"/>
        <w:jc w:val="left"/>
        <w:tblInd w:w="6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9"/>
        <w:gridCol w:w="4662"/>
        <w:gridCol w:w="941"/>
        <w:gridCol w:w="1539"/>
      </w:tblGrid>
      <w:tr>
        <w:trPr>
          <w:trHeight w:val="770" w:hRule="exact"/>
        </w:trPr>
        <w:tc>
          <w:tcPr>
            <w:tcW w:w="679" w:type="dxa"/>
            <w:shd w:val="clear" w:color="auto" w:fill="808080"/>
          </w:tcPr>
          <w:p>
            <w:pPr/>
          </w:p>
        </w:tc>
        <w:tc>
          <w:tcPr>
            <w:tcW w:w="4662" w:type="dxa"/>
            <w:shd w:val="clear" w:color="auto" w:fill="808080"/>
          </w:tcPr>
          <w:p>
            <w:pPr>
              <w:pStyle w:val="TableParagraph"/>
              <w:rPr>
                <w:b/>
                <w:sz w:val="22"/>
              </w:rPr>
            </w:pPr>
          </w:p>
          <w:p>
            <w:pPr>
              <w:pStyle w:val="TableParagraph"/>
              <w:spacing w:before="7"/>
              <w:rPr>
                <w:b/>
                <w:sz w:val="21"/>
              </w:rPr>
            </w:pPr>
          </w:p>
          <w:p>
            <w:pPr>
              <w:pStyle w:val="TableParagraph"/>
              <w:ind w:left="1889" w:right="1891"/>
              <w:jc w:val="center"/>
              <w:rPr>
                <w:b/>
                <w:sz w:val="22"/>
              </w:rPr>
            </w:pPr>
            <w:r>
              <w:rPr>
                <w:b/>
                <w:color w:val="FFFFFF"/>
                <w:sz w:val="22"/>
              </w:rPr>
              <w:t>Artículo</w:t>
            </w:r>
          </w:p>
        </w:tc>
        <w:tc>
          <w:tcPr>
            <w:tcW w:w="941" w:type="dxa"/>
            <w:shd w:val="clear" w:color="auto" w:fill="808080"/>
          </w:tcPr>
          <w:p>
            <w:pPr>
              <w:pStyle w:val="TableParagraph"/>
              <w:rPr>
                <w:b/>
                <w:sz w:val="22"/>
              </w:rPr>
            </w:pPr>
          </w:p>
          <w:p>
            <w:pPr>
              <w:pStyle w:val="TableParagraph"/>
              <w:spacing w:before="7"/>
              <w:rPr>
                <w:b/>
                <w:sz w:val="21"/>
              </w:rPr>
            </w:pPr>
          </w:p>
          <w:p>
            <w:pPr>
              <w:pStyle w:val="TableParagraph"/>
              <w:ind w:left="176" w:right="176"/>
              <w:jc w:val="center"/>
              <w:rPr>
                <w:b/>
                <w:sz w:val="22"/>
              </w:rPr>
            </w:pPr>
            <w:r>
              <w:rPr>
                <w:b/>
                <w:color w:val="FFFFFF"/>
                <w:sz w:val="22"/>
              </w:rPr>
              <w:t>Citas</w:t>
            </w:r>
          </w:p>
        </w:tc>
        <w:tc>
          <w:tcPr>
            <w:tcW w:w="1539" w:type="dxa"/>
            <w:shd w:val="clear" w:color="auto" w:fill="808080"/>
          </w:tcPr>
          <w:p>
            <w:pPr>
              <w:pStyle w:val="TableParagraph"/>
              <w:ind w:left="175" w:right="176"/>
              <w:jc w:val="center"/>
              <w:rPr>
                <w:b/>
                <w:sz w:val="22"/>
              </w:rPr>
            </w:pPr>
            <w:r>
              <w:rPr>
                <w:b/>
                <w:color w:val="FFFFFF"/>
                <w:sz w:val="22"/>
              </w:rPr>
              <w:t>% respecto</w:t>
            </w:r>
            <w:r>
              <w:rPr>
                <w:b/>
                <w:color w:val="FFFFFF"/>
                <w:w w:val="100"/>
                <w:sz w:val="22"/>
              </w:rPr>
              <w:t> </w:t>
            </w:r>
            <w:r>
              <w:rPr>
                <w:b/>
                <w:color w:val="FFFFFF"/>
                <w:sz w:val="22"/>
              </w:rPr>
              <w:t>al total de citas</w:t>
            </w:r>
          </w:p>
        </w:tc>
      </w:tr>
      <w:tr>
        <w:trPr>
          <w:trHeight w:val="910" w:hRule="exact"/>
        </w:trPr>
        <w:tc>
          <w:tcPr>
            <w:tcW w:w="679" w:type="dxa"/>
          </w:tcPr>
          <w:p>
            <w:pPr>
              <w:pStyle w:val="TableParagraph"/>
              <w:rPr>
                <w:b/>
                <w:sz w:val="22"/>
              </w:rPr>
            </w:pPr>
          </w:p>
          <w:p>
            <w:pPr>
              <w:pStyle w:val="TableParagraph"/>
              <w:rPr>
                <w:b/>
                <w:sz w:val="22"/>
              </w:rPr>
            </w:pPr>
          </w:p>
          <w:p>
            <w:pPr>
              <w:pStyle w:val="TableParagraph"/>
              <w:spacing w:before="138"/>
              <w:ind w:right="271"/>
              <w:jc w:val="right"/>
              <w:rPr>
                <w:sz w:val="22"/>
              </w:rPr>
            </w:pPr>
            <w:r>
              <w:rPr>
                <w:w w:val="100"/>
                <w:sz w:val="22"/>
              </w:rPr>
              <w:t>1</w:t>
            </w:r>
          </w:p>
        </w:tc>
        <w:tc>
          <w:tcPr>
            <w:tcW w:w="4662" w:type="dxa"/>
          </w:tcPr>
          <w:p>
            <w:pPr>
              <w:pStyle w:val="TableParagraph"/>
              <w:spacing w:before="140"/>
              <w:ind w:left="64" w:right="165"/>
              <w:rPr>
                <w:sz w:val="22"/>
              </w:rPr>
            </w:pPr>
            <w:r>
              <w:rPr>
                <w:sz w:val="22"/>
              </w:rPr>
              <w:t>Segregación residencial en las principales ciudades chilenas Tendencias de las tres últimas décadas y posibles cursos de acción.</w:t>
            </w:r>
          </w:p>
        </w:tc>
        <w:tc>
          <w:tcPr>
            <w:tcW w:w="941" w:type="dxa"/>
          </w:tcPr>
          <w:p>
            <w:pPr>
              <w:pStyle w:val="TableParagraph"/>
              <w:rPr>
                <w:b/>
                <w:sz w:val="22"/>
              </w:rPr>
            </w:pPr>
          </w:p>
          <w:p>
            <w:pPr>
              <w:pStyle w:val="TableParagraph"/>
              <w:rPr>
                <w:b/>
                <w:sz w:val="22"/>
              </w:rPr>
            </w:pPr>
          </w:p>
          <w:p>
            <w:pPr>
              <w:pStyle w:val="TableParagraph"/>
              <w:spacing w:before="138"/>
              <w:ind w:left="174" w:right="176"/>
              <w:jc w:val="center"/>
              <w:rPr>
                <w:sz w:val="22"/>
              </w:rPr>
            </w:pPr>
            <w:r>
              <w:rPr>
                <w:sz w:val="22"/>
              </w:rPr>
              <w:t>63</w:t>
            </w:r>
          </w:p>
        </w:tc>
        <w:tc>
          <w:tcPr>
            <w:tcW w:w="1539" w:type="dxa"/>
          </w:tcPr>
          <w:p>
            <w:pPr>
              <w:pStyle w:val="TableParagraph"/>
              <w:rPr>
                <w:b/>
                <w:sz w:val="22"/>
              </w:rPr>
            </w:pPr>
          </w:p>
          <w:p>
            <w:pPr>
              <w:pStyle w:val="TableParagraph"/>
              <w:rPr>
                <w:b/>
                <w:sz w:val="22"/>
              </w:rPr>
            </w:pPr>
          </w:p>
          <w:p>
            <w:pPr>
              <w:pStyle w:val="TableParagraph"/>
              <w:spacing w:before="138"/>
              <w:ind w:left="175" w:right="175"/>
              <w:jc w:val="center"/>
              <w:rPr>
                <w:sz w:val="22"/>
              </w:rPr>
            </w:pPr>
            <w:r>
              <w:rPr>
                <w:sz w:val="22"/>
              </w:rPr>
              <w:t>5.23</w:t>
            </w:r>
          </w:p>
        </w:tc>
      </w:tr>
      <w:tr>
        <w:trPr>
          <w:trHeight w:val="768" w:hRule="exact"/>
        </w:trPr>
        <w:tc>
          <w:tcPr>
            <w:tcW w:w="679" w:type="dxa"/>
          </w:tcPr>
          <w:p>
            <w:pPr>
              <w:pStyle w:val="TableParagraph"/>
              <w:rPr>
                <w:b/>
                <w:sz w:val="22"/>
              </w:rPr>
            </w:pPr>
          </w:p>
          <w:p>
            <w:pPr>
              <w:pStyle w:val="TableParagraph"/>
              <w:spacing w:before="9"/>
              <w:rPr>
                <w:b/>
                <w:sz w:val="21"/>
              </w:rPr>
            </w:pPr>
          </w:p>
          <w:p>
            <w:pPr>
              <w:pStyle w:val="TableParagraph"/>
              <w:ind w:right="271"/>
              <w:jc w:val="right"/>
              <w:rPr>
                <w:sz w:val="22"/>
              </w:rPr>
            </w:pPr>
            <w:r>
              <w:rPr>
                <w:w w:val="100"/>
                <w:sz w:val="22"/>
              </w:rPr>
              <w:t>2</w:t>
            </w:r>
          </w:p>
        </w:tc>
        <w:tc>
          <w:tcPr>
            <w:tcW w:w="4662" w:type="dxa"/>
          </w:tcPr>
          <w:p>
            <w:pPr>
              <w:pStyle w:val="TableParagraph"/>
              <w:ind w:left="64" w:right="1327"/>
              <w:rPr>
                <w:sz w:val="22"/>
              </w:rPr>
            </w:pPr>
            <w:r>
              <w:rPr>
                <w:sz w:val="22"/>
              </w:rPr>
              <w:t>El nuevo modelo de la ciudad latinoamericana: fragmentación y privatización</w:t>
            </w:r>
          </w:p>
        </w:tc>
        <w:tc>
          <w:tcPr>
            <w:tcW w:w="941" w:type="dxa"/>
          </w:tcPr>
          <w:p>
            <w:pPr>
              <w:pStyle w:val="TableParagraph"/>
              <w:rPr>
                <w:b/>
                <w:sz w:val="22"/>
              </w:rPr>
            </w:pPr>
          </w:p>
          <w:p>
            <w:pPr>
              <w:pStyle w:val="TableParagraph"/>
              <w:spacing w:before="9"/>
              <w:rPr>
                <w:b/>
                <w:sz w:val="21"/>
              </w:rPr>
            </w:pPr>
          </w:p>
          <w:p>
            <w:pPr>
              <w:pStyle w:val="TableParagraph"/>
              <w:ind w:left="174" w:right="176"/>
              <w:jc w:val="center"/>
              <w:rPr>
                <w:sz w:val="22"/>
              </w:rPr>
            </w:pPr>
            <w:r>
              <w:rPr>
                <w:sz w:val="22"/>
              </w:rPr>
              <w:t>53</w:t>
            </w:r>
          </w:p>
        </w:tc>
        <w:tc>
          <w:tcPr>
            <w:tcW w:w="1539" w:type="dxa"/>
          </w:tcPr>
          <w:p>
            <w:pPr>
              <w:pStyle w:val="TableParagraph"/>
              <w:rPr>
                <w:b/>
                <w:sz w:val="22"/>
              </w:rPr>
            </w:pPr>
          </w:p>
          <w:p>
            <w:pPr>
              <w:pStyle w:val="TableParagraph"/>
              <w:spacing w:before="9"/>
              <w:rPr>
                <w:b/>
                <w:sz w:val="21"/>
              </w:rPr>
            </w:pPr>
          </w:p>
          <w:p>
            <w:pPr>
              <w:pStyle w:val="TableParagraph"/>
              <w:ind w:left="175" w:right="175"/>
              <w:jc w:val="center"/>
              <w:rPr>
                <w:sz w:val="22"/>
              </w:rPr>
            </w:pPr>
            <w:r>
              <w:rPr>
                <w:sz w:val="22"/>
              </w:rPr>
              <w:t>4.40</w:t>
            </w:r>
          </w:p>
        </w:tc>
      </w:tr>
      <w:tr>
        <w:trPr>
          <w:trHeight w:val="610" w:hRule="exact"/>
        </w:trPr>
        <w:tc>
          <w:tcPr>
            <w:tcW w:w="679" w:type="dxa"/>
          </w:tcPr>
          <w:p>
            <w:pPr>
              <w:pStyle w:val="TableParagraph"/>
              <w:rPr>
                <w:b/>
                <w:sz w:val="30"/>
              </w:rPr>
            </w:pPr>
          </w:p>
          <w:p>
            <w:pPr>
              <w:pStyle w:val="TableParagraph"/>
              <w:ind w:right="271"/>
              <w:jc w:val="right"/>
              <w:rPr>
                <w:sz w:val="22"/>
              </w:rPr>
            </w:pPr>
            <w:r>
              <w:rPr>
                <w:w w:val="100"/>
                <w:sz w:val="22"/>
              </w:rPr>
              <w:t>3</w:t>
            </w:r>
          </w:p>
        </w:tc>
        <w:tc>
          <w:tcPr>
            <w:tcW w:w="4662" w:type="dxa"/>
          </w:tcPr>
          <w:p>
            <w:pPr>
              <w:pStyle w:val="TableParagraph"/>
              <w:spacing w:before="93"/>
              <w:ind w:left="64" w:right="215"/>
              <w:rPr>
                <w:sz w:val="22"/>
              </w:rPr>
            </w:pPr>
            <w:r>
              <w:rPr>
                <w:sz w:val="22"/>
              </w:rPr>
              <w:t>Cómo modelar el desarrollo y la dinámica de la ciudad latinoamericana</w:t>
            </w:r>
          </w:p>
        </w:tc>
        <w:tc>
          <w:tcPr>
            <w:tcW w:w="941" w:type="dxa"/>
          </w:tcPr>
          <w:p>
            <w:pPr>
              <w:pStyle w:val="TableParagraph"/>
              <w:rPr>
                <w:b/>
                <w:sz w:val="30"/>
              </w:rPr>
            </w:pPr>
          </w:p>
          <w:p>
            <w:pPr>
              <w:pStyle w:val="TableParagraph"/>
              <w:ind w:left="174" w:right="176"/>
              <w:jc w:val="center"/>
              <w:rPr>
                <w:sz w:val="22"/>
              </w:rPr>
            </w:pPr>
            <w:r>
              <w:rPr>
                <w:sz w:val="22"/>
              </w:rPr>
              <w:t>47</w:t>
            </w:r>
          </w:p>
        </w:tc>
        <w:tc>
          <w:tcPr>
            <w:tcW w:w="1539" w:type="dxa"/>
          </w:tcPr>
          <w:p>
            <w:pPr>
              <w:pStyle w:val="TableParagraph"/>
              <w:rPr>
                <w:b/>
                <w:sz w:val="30"/>
              </w:rPr>
            </w:pPr>
          </w:p>
          <w:p>
            <w:pPr>
              <w:pStyle w:val="TableParagraph"/>
              <w:ind w:left="175" w:right="175"/>
              <w:jc w:val="center"/>
              <w:rPr>
                <w:sz w:val="22"/>
              </w:rPr>
            </w:pPr>
            <w:r>
              <w:rPr>
                <w:sz w:val="22"/>
              </w:rPr>
              <w:t>3.90</w:t>
            </w:r>
          </w:p>
        </w:tc>
      </w:tr>
      <w:tr>
        <w:trPr>
          <w:trHeight w:val="987" w:hRule="exact"/>
        </w:trPr>
        <w:tc>
          <w:tcPr>
            <w:tcW w:w="679" w:type="dxa"/>
          </w:tcPr>
          <w:p>
            <w:pPr>
              <w:pStyle w:val="TableParagraph"/>
              <w:rPr>
                <w:b/>
                <w:sz w:val="22"/>
              </w:rPr>
            </w:pPr>
          </w:p>
          <w:p>
            <w:pPr>
              <w:pStyle w:val="TableParagraph"/>
              <w:rPr>
                <w:b/>
                <w:sz w:val="22"/>
              </w:rPr>
            </w:pPr>
          </w:p>
          <w:p>
            <w:pPr>
              <w:pStyle w:val="TableParagraph"/>
              <w:spacing w:before="7"/>
              <w:rPr>
                <w:b/>
                <w:sz w:val="18"/>
              </w:rPr>
            </w:pPr>
          </w:p>
          <w:p>
            <w:pPr>
              <w:pStyle w:val="TableParagraph"/>
              <w:ind w:right="271"/>
              <w:jc w:val="right"/>
              <w:rPr>
                <w:sz w:val="22"/>
              </w:rPr>
            </w:pPr>
            <w:r>
              <w:rPr>
                <w:w w:val="100"/>
                <w:sz w:val="22"/>
              </w:rPr>
              <w:t>4</w:t>
            </w:r>
          </w:p>
        </w:tc>
        <w:tc>
          <w:tcPr>
            <w:tcW w:w="4662" w:type="dxa"/>
          </w:tcPr>
          <w:p>
            <w:pPr>
              <w:pStyle w:val="TableParagraph"/>
              <w:spacing w:before="9"/>
              <w:rPr>
                <w:b/>
                <w:sz w:val="18"/>
              </w:rPr>
            </w:pPr>
          </w:p>
          <w:p>
            <w:pPr>
              <w:pStyle w:val="TableParagraph"/>
              <w:ind w:left="64" w:right="214"/>
              <w:rPr>
                <w:sz w:val="22"/>
              </w:rPr>
            </w:pPr>
            <w:r>
              <w:rPr>
                <w:sz w:val="22"/>
              </w:rPr>
              <w:t>Reforma de los mercados de suelo en Santiago, Chile: efectos sobre los precios de la tierra y la segregación residencial</w:t>
            </w:r>
          </w:p>
        </w:tc>
        <w:tc>
          <w:tcPr>
            <w:tcW w:w="941" w:type="dxa"/>
          </w:tcPr>
          <w:p>
            <w:pPr>
              <w:pStyle w:val="TableParagraph"/>
              <w:rPr>
                <w:b/>
                <w:sz w:val="22"/>
              </w:rPr>
            </w:pPr>
          </w:p>
          <w:p>
            <w:pPr>
              <w:pStyle w:val="TableParagraph"/>
              <w:rPr>
                <w:b/>
                <w:sz w:val="22"/>
              </w:rPr>
            </w:pPr>
          </w:p>
          <w:p>
            <w:pPr>
              <w:pStyle w:val="TableParagraph"/>
              <w:spacing w:before="7"/>
              <w:rPr>
                <w:b/>
                <w:sz w:val="18"/>
              </w:rPr>
            </w:pPr>
          </w:p>
          <w:p>
            <w:pPr>
              <w:pStyle w:val="TableParagraph"/>
              <w:ind w:left="174" w:right="176"/>
              <w:jc w:val="center"/>
              <w:rPr>
                <w:sz w:val="22"/>
              </w:rPr>
            </w:pPr>
            <w:r>
              <w:rPr>
                <w:sz w:val="22"/>
              </w:rPr>
              <w:t>31</w:t>
            </w:r>
          </w:p>
        </w:tc>
        <w:tc>
          <w:tcPr>
            <w:tcW w:w="1539" w:type="dxa"/>
          </w:tcPr>
          <w:p>
            <w:pPr>
              <w:pStyle w:val="TableParagraph"/>
              <w:rPr>
                <w:b/>
                <w:sz w:val="22"/>
              </w:rPr>
            </w:pPr>
          </w:p>
          <w:p>
            <w:pPr>
              <w:pStyle w:val="TableParagraph"/>
              <w:rPr>
                <w:b/>
                <w:sz w:val="22"/>
              </w:rPr>
            </w:pPr>
          </w:p>
          <w:p>
            <w:pPr>
              <w:pStyle w:val="TableParagraph"/>
              <w:spacing w:before="7"/>
              <w:rPr>
                <w:b/>
                <w:sz w:val="18"/>
              </w:rPr>
            </w:pPr>
          </w:p>
          <w:p>
            <w:pPr>
              <w:pStyle w:val="TableParagraph"/>
              <w:ind w:left="175" w:right="175"/>
              <w:jc w:val="center"/>
              <w:rPr>
                <w:sz w:val="22"/>
              </w:rPr>
            </w:pPr>
            <w:r>
              <w:rPr>
                <w:sz w:val="22"/>
              </w:rPr>
              <w:t>2.57</w:t>
            </w:r>
          </w:p>
        </w:tc>
      </w:tr>
      <w:tr>
        <w:trPr>
          <w:trHeight w:val="1022" w:hRule="exact"/>
        </w:trPr>
        <w:tc>
          <w:tcPr>
            <w:tcW w:w="679" w:type="dxa"/>
          </w:tcPr>
          <w:p>
            <w:pPr>
              <w:pStyle w:val="TableParagraph"/>
              <w:rPr>
                <w:b/>
                <w:sz w:val="22"/>
              </w:rPr>
            </w:pPr>
          </w:p>
          <w:p>
            <w:pPr>
              <w:pStyle w:val="TableParagraph"/>
              <w:rPr>
                <w:b/>
                <w:sz w:val="22"/>
              </w:rPr>
            </w:pPr>
          </w:p>
          <w:p>
            <w:pPr>
              <w:pStyle w:val="TableParagraph"/>
              <w:spacing w:before="8"/>
              <w:rPr>
                <w:b/>
                <w:sz w:val="21"/>
              </w:rPr>
            </w:pPr>
          </w:p>
          <w:p>
            <w:pPr>
              <w:pStyle w:val="TableParagraph"/>
              <w:ind w:right="271"/>
              <w:jc w:val="right"/>
              <w:rPr>
                <w:sz w:val="22"/>
              </w:rPr>
            </w:pPr>
            <w:r>
              <w:rPr>
                <w:w w:val="100"/>
                <w:sz w:val="22"/>
              </w:rPr>
              <w:t>5</w:t>
            </w:r>
          </w:p>
        </w:tc>
        <w:tc>
          <w:tcPr>
            <w:tcW w:w="4662" w:type="dxa"/>
          </w:tcPr>
          <w:p>
            <w:pPr>
              <w:pStyle w:val="TableParagraph"/>
              <w:ind w:left="64" w:right="269"/>
              <w:rPr>
                <w:sz w:val="22"/>
              </w:rPr>
            </w:pPr>
            <w:r>
              <w:rPr>
                <w:sz w:val="22"/>
              </w:rPr>
              <w:t>De los pequeños condominios a la ciudad vallada: las urbanizaciones cerradas y la nueva geografía social en Santiago de Chile (1990-2000)</w:t>
            </w:r>
          </w:p>
        </w:tc>
        <w:tc>
          <w:tcPr>
            <w:tcW w:w="941" w:type="dxa"/>
          </w:tcPr>
          <w:p>
            <w:pPr>
              <w:pStyle w:val="TableParagraph"/>
              <w:rPr>
                <w:b/>
                <w:sz w:val="22"/>
              </w:rPr>
            </w:pPr>
          </w:p>
          <w:p>
            <w:pPr>
              <w:pStyle w:val="TableParagraph"/>
              <w:rPr>
                <w:b/>
                <w:sz w:val="22"/>
              </w:rPr>
            </w:pPr>
          </w:p>
          <w:p>
            <w:pPr>
              <w:pStyle w:val="TableParagraph"/>
              <w:spacing w:before="8"/>
              <w:rPr>
                <w:b/>
                <w:sz w:val="21"/>
              </w:rPr>
            </w:pPr>
          </w:p>
          <w:p>
            <w:pPr>
              <w:pStyle w:val="TableParagraph"/>
              <w:ind w:left="174" w:right="176"/>
              <w:jc w:val="center"/>
              <w:rPr>
                <w:sz w:val="22"/>
              </w:rPr>
            </w:pPr>
            <w:r>
              <w:rPr>
                <w:sz w:val="22"/>
              </w:rPr>
              <w:t>26</w:t>
            </w:r>
          </w:p>
        </w:tc>
        <w:tc>
          <w:tcPr>
            <w:tcW w:w="1539" w:type="dxa"/>
          </w:tcPr>
          <w:p>
            <w:pPr>
              <w:pStyle w:val="TableParagraph"/>
              <w:rPr>
                <w:b/>
                <w:sz w:val="22"/>
              </w:rPr>
            </w:pPr>
          </w:p>
          <w:p>
            <w:pPr>
              <w:pStyle w:val="TableParagraph"/>
              <w:rPr>
                <w:b/>
                <w:sz w:val="22"/>
              </w:rPr>
            </w:pPr>
          </w:p>
          <w:p>
            <w:pPr>
              <w:pStyle w:val="TableParagraph"/>
              <w:spacing w:before="8"/>
              <w:rPr>
                <w:b/>
                <w:sz w:val="21"/>
              </w:rPr>
            </w:pPr>
          </w:p>
          <w:p>
            <w:pPr>
              <w:pStyle w:val="TableParagraph"/>
              <w:ind w:left="175" w:right="175"/>
              <w:jc w:val="center"/>
              <w:rPr>
                <w:sz w:val="22"/>
              </w:rPr>
            </w:pPr>
            <w:r>
              <w:rPr>
                <w:sz w:val="22"/>
              </w:rPr>
              <w:t>2.16</w:t>
            </w:r>
          </w:p>
        </w:tc>
      </w:tr>
      <w:tr>
        <w:trPr>
          <w:trHeight w:val="610" w:hRule="exact"/>
        </w:trPr>
        <w:tc>
          <w:tcPr>
            <w:tcW w:w="679" w:type="dxa"/>
          </w:tcPr>
          <w:p>
            <w:pPr>
              <w:pStyle w:val="TableParagraph"/>
              <w:spacing w:before="9"/>
              <w:rPr>
                <w:b/>
                <w:sz w:val="29"/>
              </w:rPr>
            </w:pPr>
          </w:p>
          <w:p>
            <w:pPr>
              <w:pStyle w:val="TableParagraph"/>
              <w:ind w:right="271"/>
              <w:jc w:val="right"/>
              <w:rPr>
                <w:sz w:val="22"/>
              </w:rPr>
            </w:pPr>
            <w:r>
              <w:rPr>
                <w:w w:val="100"/>
                <w:sz w:val="22"/>
              </w:rPr>
              <w:t>6</w:t>
            </w:r>
          </w:p>
        </w:tc>
        <w:tc>
          <w:tcPr>
            <w:tcW w:w="4662" w:type="dxa"/>
          </w:tcPr>
          <w:p>
            <w:pPr>
              <w:pStyle w:val="TableParagraph"/>
              <w:spacing w:before="91"/>
              <w:ind w:left="64" w:right="165"/>
              <w:rPr>
                <w:sz w:val="22"/>
              </w:rPr>
            </w:pPr>
            <w:r>
              <w:rPr>
                <w:sz w:val="22"/>
              </w:rPr>
              <w:t>Innovación y desarrollo territorial: algunos debates teóricos recientes</w:t>
            </w:r>
          </w:p>
        </w:tc>
        <w:tc>
          <w:tcPr>
            <w:tcW w:w="941" w:type="dxa"/>
          </w:tcPr>
          <w:p>
            <w:pPr>
              <w:pStyle w:val="TableParagraph"/>
              <w:spacing w:before="9"/>
              <w:rPr>
                <w:b/>
                <w:sz w:val="29"/>
              </w:rPr>
            </w:pPr>
          </w:p>
          <w:p>
            <w:pPr>
              <w:pStyle w:val="TableParagraph"/>
              <w:ind w:left="174" w:right="176"/>
              <w:jc w:val="center"/>
              <w:rPr>
                <w:sz w:val="22"/>
              </w:rPr>
            </w:pPr>
            <w:r>
              <w:rPr>
                <w:sz w:val="22"/>
              </w:rPr>
              <w:t>26</w:t>
            </w:r>
          </w:p>
        </w:tc>
        <w:tc>
          <w:tcPr>
            <w:tcW w:w="1539" w:type="dxa"/>
          </w:tcPr>
          <w:p>
            <w:pPr>
              <w:pStyle w:val="TableParagraph"/>
              <w:spacing w:before="9"/>
              <w:rPr>
                <w:b/>
                <w:sz w:val="29"/>
              </w:rPr>
            </w:pPr>
          </w:p>
          <w:p>
            <w:pPr>
              <w:pStyle w:val="TableParagraph"/>
              <w:ind w:left="175" w:right="175"/>
              <w:jc w:val="center"/>
              <w:rPr>
                <w:sz w:val="22"/>
              </w:rPr>
            </w:pPr>
            <w:r>
              <w:rPr>
                <w:sz w:val="22"/>
              </w:rPr>
              <w:t>2.16</w:t>
            </w:r>
          </w:p>
        </w:tc>
      </w:tr>
      <w:tr>
        <w:trPr>
          <w:trHeight w:val="768" w:hRule="exact"/>
        </w:trPr>
        <w:tc>
          <w:tcPr>
            <w:tcW w:w="679" w:type="dxa"/>
          </w:tcPr>
          <w:p>
            <w:pPr>
              <w:pStyle w:val="TableParagraph"/>
              <w:rPr>
                <w:b/>
                <w:sz w:val="22"/>
              </w:rPr>
            </w:pPr>
          </w:p>
          <w:p>
            <w:pPr>
              <w:pStyle w:val="TableParagraph"/>
              <w:spacing w:before="9"/>
              <w:rPr>
                <w:b/>
                <w:sz w:val="21"/>
              </w:rPr>
            </w:pPr>
          </w:p>
          <w:p>
            <w:pPr>
              <w:pStyle w:val="TableParagraph"/>
              <w:ind w:right="271"/>
              <w:jc w:val="right"/>
              <w:rPr>
                <w:sz w:val="22"/>
              </w:rPr>
            </w:pPr>
            <w:r>
              <w:rPr>
                <w:w w:val="100"/>
                <w:sz w:val="22"/>
              </w:rPr>
              <w:t>7</w:t>
            </w:r>
          </w:p>
        </w:tc>
        <w:tc>
          <w:tcPr>
            <w:tcW w:w="4662" w:type="dxa"/>
          </w:tcPr>
          <w:p>
            <w:pPr>
              <w:pStyle w:val="TableParagraph"/>
              <w:ind w:left="64" w:right="1217"/>
              <w:rPr>
                <w:sz w:val="22"/>
              </w:rPr>
            </w:pPr>
            <w:r>
              <w:rPr>
                <w:sz w:val="22"/>
              </w:rPr>
              <w:t>Transformación de las ciudades latinoamericanas. ¿Impactos de la globalización?</w:t>
            </w:r>
          </w:p>
        </w:tc>
        <w:tc>
          <w:tcPr>
            <w:tcW w:w="941" w:type="dxa"/>
          </w:tcPr>
          <w:p>
            <w:pPr>
              <w:pStyle w:val="TableParagraph"/>
              <w:rPr>
                <w:b/>
                <w:sz w:val="22"/>
              </w:rPr>
            </w:pPr>
          </w:p>
          <w:p>
            <w:pPr>
              <w:pStyle w:val="TableParagraph"/>
              <w:spacing w:before="9"/>
              <w:rPr>
                <w:b/>
                <w:sz w:val="21"/>
              </w:rPr>
            </w:pPr>
          </w:p>
          <w:p>
            <w:pPr>
              <w:pStyle w:val="TableParagraph"/>
              <w:ind w:left="174" w:right="176"/>
              <w:jc w:val="center"/>
              <w:rPr>
                <w:sz w:val="22"/>
              </w:rPr>
            </w:pPr>
            <w:r>
              <w:rPr>
                <w:sz w:val="22"/>
              </w:rPr>
              <w:t>25</w:t>
            </w:r>
          </w:p>
        </w:tc>
        <w:tc>
          <w:tcPr>
            <w:tcW w:w="1539" w:type="dxa"/>
          </w:tcPr>
          <w:p>
            <w:pPr>
              <w:pStyle w:val="TableParagraph"/>
              <w:rPr>
                <w:b/>
                <w:sz w:val="22"/>
              </w:rPr>
            </w:pPr>
          </w:p>
          <w:p>
            <w:pPr>
              <w:pStyle w:val="TableParagraph"/>
              <w:spacing w:before="9"/>
              <w:rPr>
                <w:b/>
                <w:sz w:val="21"/>
              </w:rPr>
            </w:pPr>
          </w:p>
          <w:p>
            <w:pPr>
              <w:pStyle w:val="TableParagraph"/>
              <w:ind w:left="175" w:right="175"/>
              <w:jc w:val="center"/>
              <w:rPr>
                <w:sz w:val="22"/>
              </w:rPr>
            </w:pPr>
            <w:r>
              <w:rPr>
                <w:sz w:val="22"/>
              </w:rPr>
              <w:t>2.07</w:t>
            </w:r>
          </w:p>
        </w:tc>
      </w:tr>
      <w:tr>
        <w:trPr>
          <w:trHeight w:val="610" w:hRule="exact"/>
        </w:trPr>
        <w:tc>
          <w:tcPr>
            <w:tcW w:w="679" w:type="dxa"/>
          </w:tcPr>
          <w:p>
            <w:pPr>
              <w:pStyle w:val="TableParagraph"/>
              <w:rPr>
                <w:b/>
                <w:sz w:val="30"/>
              </w:rPr>
            </w:pPr>
          </w:p>
          <w:p>
            <w:pPr>
              <w:pStyle w:val="TableParagraph"/>
              <w:ind w:right="271"/>
              <w:jc w:val="right"/>
              <w:rPr>
                <w:sz w:val="22"/>
              </w:rPr>
            </w:pPr>
            <w:r>
              <w:rPr>
                <w:w w:val="100"/>
                <w:sz w:val="22"/>
              </w:rPr>
              <w:t>8</w:t>
            </w:r>
          </w:p>
        </w:tc>
        <w:tc>
          <w:tcPr>
            <w:tcW w:w="4662" w:type="dxa"/>
          </w:tcPr>
          <w:p>
            <w:pPr>
              <w:pStyle w:val="TableParagraph"/>
              <w:spacing w:before="93"/>
              <w:ind w:left="64" w:right="361"/>
              <w:rPr>
                <w:sz w:val="22"/>
              </w:rPr>
            </w:pPr>
            <w:r>
              <w:rPr>
                <w:sz w:val="22"/>
              </w:rPr>
              <w:t>Cambios socioterritoriales en Buenos Aires durante la década de 1990</w:t>
            </w:r>
          </w:p>
        </w:tc>
        <w:tc>
          <w:tcPr>
            <w:tcW w:w="941" w:type="dxa"/>
          </w:tcPr>
          <w:p>
            <w:pPr>
              <w:pStyle w:val="TableParagraph"/>
              <w:rPr>
                <w:b/>
                <w:sz w:val="30"/>
              </w:rPr>
            </w:pPr>
          </w:p>
          <w:p>
            <w:pPr>
              <w:pStyle w:val="TableParagraph"/>
              <w:ind w:left="174" w:right="176"/>
              <w:jc w:val="center"/>
              <w:rPr>
                <w:sz w:val="22"/>
              </w:rPr>
            </w:pPr>
            <w:r>
              <w:rPr>
                <w:sz w:val="22"/>
              </w:rPr>
              <w:t>23</w:t>
            </w:r>
          </w:p>
        </w:tc>
        <w:tc>
          <w:tcPr>
            <w:tcW w:w="1539" w:type="dxa"/>
          </w:tcPr>
          <w:p>
            <w:pPr>
              <w:pStyle w:val="TableParagraph"/>
              <w:rPr>
                <w:b/>
                <w:sz w:val="30"/>
              </w:rPr>
            </w:pPr>
          </w:p>
          <w:p>
            <w:pPr>
              <w:pStyle w:val="TableParagraph"/>
              <w:ind w:left="175" w:right="175"/>
              <w:jc w:val="center"/>
              <w:rPr>
                <w:sz w:val="22"/>
              </w:rPr>
            </w:pPr>
            <w:r>
              <w:rPr>
                <w:sz w:val="22"/>
              </w:rPr>
              <w:t>1.91</w:t>
            </w:r>
          </w:p>
        </w:tc>
      </w:tr>
      <w:tr>
        <w:trPr>
          <w:trHeight w:val="613" w:hRule="exact"/>
        </w:trPr>
        <w:tc>
          <w:tcPr>
            <w:tcW w:w="679" w:type="dxa"/>
          </w:tcPr>
          <w:p>
            <w:pPr>
              <w:pStyle w:val="TableParagraph"/>
              <w:spacing w:before="1"/>
              <w:rPr>
                <w:b/>
                <w:sz w:val="30"/>
              </w:rPr>
            </w:pPr>
          </w:p>
          <w:p>
            <w:pPr>
              <w:pStyle w:val="TableParagraph"/>
              <w:ind w:right="271"/>
              <w:jc w:val="right"/>
              <w:rPr>
                <w:sz w:val="22"/>
              </w:rPr>
            </w:pPr>
            <w:r>
              <w:rPr>
                <w:w w:val="100"/>
                <w:sz w:val="22"/>
              </w:rPr>
              <w:t>9</w:t>
            </w:r>
          </w:p>
        </w:tc>
        <w:tc>
          <w:tcPr>
            <w:tcW w:w="4662" w:type="dxa"/>
          </w:tcPr>
          <w:p>
            <w:pPr>
              <w:pStyle w:val="TableParagraph"/>
              <w:spacing w:before="94"/>
              <w:ind w:left="64" w:right="838"/>
              <w:rPr>
                <w:sz w:val="22"/>
              </w:rPr>
            </w:pPr>
            <w:r>
              <w:rPr>
                <w:sz w:val="22"/>
              </w:rPr>
              <w:t>La conmutación regional en Chile y su impacto en la Región de Antofagasta</w:t>
            </w:r>
          </w:p>
        </w:tc>
        <w:tc>
          <w:tcPr>
            <w:tcW w:w="941" w:type="dxa"/>
          </w:tcPr>
          <w:p>
            <w:pPr>
              <w:pStyle w:val="TableParagraph"/>
              <w:spacing w:before="1"/>
              <w:rPr>
                <w:b/>
                <w:sz w:val="30"/>
              </w:rPr>
            </w:pPr>
          </w:p>
          <w:p>
            <w:pPr>
              <w:pStyle w:val="TableParagraph"/>
              <w:ind w:left="174" w:right="176"/>
              <w:jc w:val="center"/>
              <w:rPr>
                <w:sz w:val="22"/>
              </w:rPr>
            </w:pPr>
            <w:r>
              <w:rPr>
                <w:sz w:val="22"/>
              </w:rPr>
              <w:t>21</w:t>
            </w:r>
          </w:p>
        </w:tc>
        <w:tc>
          <w:tcPr>
            <w:tcW w:w="1539" w:type="dxa"/>
          </w:tcPr>
          <w:p>
            <w:pPr>
              <w:pStyle w:val="TableParagraph"/>
              <w:spacing w:before="1"/>
              <w:rPr>
                <w:b/>
                <w:sz w:val="30"/>
              </w:rPr>
            </w:pPr>
          </w:p>
          <w:p>
            <w:pPr>
              <w:pStyle w:val="TableParagraph"/>
              <w:ind w:left="175" w:right="175"/>
              <w:jc w:val="center"/>
              <w:rPr>
                <w:sz w:val="22"/>
              </w:rPr>
            </w:pPr>
            <w:r>
              <w:rPr>
                <w:sz w:val="22"/>
              </w:rPr>
              <w:t>1.74</w:t>
            </w:r>
          </w:p>
        </w:tc>
      </w:tr>
      <w:tr>
        <w:trPr>
          <w:trHeight w:val="610" w:hRule="exact"/>
        </w:trPr>
        <w:tc>
          <w:tcPr>
            <w:tcW w:w="679" w:type="dxa"/>
          </w:tcPr>
          <w:p>
            <w:pPr>
              <w:pStyle w:val="TableParagraph"/>
              <w:spacing w:before="9"/>
              <w:rPr>
                <w:b/>
                <w:sz w:val="29"/>
              </w:rPr>
            </w:pPr>
          </w:p>
          <w:p>
            <w:pPr>
              <w:pStyle w:val="TableParagraph"/>
              <w:ind w:right="211"/>
              <w:jc w:val="right"/>
              <w:rPr>
                <w:sz w:val="22"/>
              </w:rPr>
            </w:pPr>
            <w:r>
              <w:rPr>
                <w:sz w:val="22"/>
              </w:rPr>
              <w:t>10</w:t>
            </w:r>
          </w:p>
        </w:tc>
        <w:tc>
          <w:tcPr>
            <w:tcW w:w="4662" w:type="dxa"/>
          </w:tcPr>
          <w:p>
            <w:pPr>
              <w:pStyle w:val="TableParagraph"/>
              <w:spacing w:before="91"/>
              <w:ind w:left="64" w:right="325"/>
              <w:rPr>
                <w:sz w:val="22"/>
              </w:rPr>
            </w:pPr>
            <w:r>
              <w:rPr>
                <w:sz w:val="22"/>
              </w:rPr>
              <w:t>Innovación, redes, recursos patrimoniales y desarrollo territorial</w:t>
            </w:r>
          </w:p>
        </w:tc>
        <w:tc>
          <w:tcPr>
            <w:tcW w:w="941" w:type="dxa"/>
          </w:tcPr>
          <w:p>
            <w:pPr>
              <w:pStyle w:val="TableParagraph"/>
              <w:spacing w:before="9"/>
              <w:rPr>
                <w:b/>
                <w:sz w:val="29"/>
              </w:rPr>
            </w:pPr>
          </w:p>
          <w:p>
            <w:pPr>
              <w:pStyle w:val="TableParagraph"/>
              <w:ind w:left="174" w:right="176"/>
              <w:jc w:val="center"/>
              <w:rPr>
                <w:sz w:val="22"/>
              </w:rPr>
            </w:pPr>
            <w:r>
              <w:rPr>
                <w:sz w:val="22"/>
              </w:rPr>
              <w:t>18</w:t>
            </w:r>
          </w:p>
        </w:tc>
        <w:tc>
          <w:tcPr>
            <w:tcW w:w="1539" w:type="dxa"/>
          </w:tcPr>
          <w:p>
            <w:pPr>
              <w:pStyle w:val="TableParagraph"/>
              <w:spacing w:before="9"/>
              <w:rPr>
                <w:b/>
                <w:sz w:val="29"/>
              </w:rPr>
            </w:pPr>
          </w:p>
          <w:p>
            <w:pPr>
              <w:pStyle w:val="TableParagraph"/>
              <w:ind w:left="175" w:right="175"/>
              <w:jc w:val="center"/>
              <w:rPr>
                <w:sz w:val="22"/>
              </w:rPr>
            </w:pPr>
            <w:r>
              <w:rPr>
                <w:sz w:val="22"/>
              </w:rPr>
              <w:t>1.49</w:t>
            </w:r>
          </w:p>
        </w:tc>
      </w:tr>
      <w:tr>
        <w:trPr>
          <w:trHeight w:val="984" w:hRule="exact"/>
        </w:trPr>
        <w:tc>
          <w:tcPr>
            <w:tcW w:w="679" w:type="dxa"/>
          </w:tcPr>
          <w:p>
            <w:pPr>
              <w:pStyle w:val="TableParagraph"/>
              <w:rPr>
                <w:b/>
                <w:sz w:val="22"/>
              </w:rPr>
            </w:pPr>
          </w:p>
          <w:p>
            <w:pPr>
              <w:pStyle w:val="TableParagraph"/>
              <w:rPr>
                <w:b/>
                <w:sz w:val="22"/>
              </w:rPr>
            </w:pPr>
          </w:p>
          <w:p>
            <w:pPr>
              <w:pStyle w:val="TableParagraph"/>
              <w:spacing w:before="7"/>
              <w:rPr>
                <w:b/>
                <w:sz w:val="18"/>
              </w:rPr>
            </w:pPr>
          </w:p>
          <w:p>
            <w:pPr>
              <w:pStyle w:val="TableParagraph"/>
              <w:ind w:right="211"/>
              <w:jc w:val="right"/>
              <w:rPr>
                <w:sz w:val="22"/>
              </w:rPr>
            </w:pPr>
            <w:r>
              <w:rPr>
                <w:sz w:val="22"/>
              </w:rPr>
              <w:t>11</w:t>
            </w:r>
          </w:p>
        </w:tc>
        <w:tc>
          <w:tcPr>
            <w:tcW w:w="4662" w:type="dxa"/>
          </w:tcPr>
          <w:p>
            <w:pPr>
              <w:pStyle w:val="TableParagraph"/>
              <w:spacing w:before="6"/>
              <w:rPr>
                <w:b/>
                <w:sz w:val="18"/>
              </w:rPr>
            </w:pPr>
          </w:p>
          <w:p>
            <w:pPr>
              <w:pStyle w:val="TableParagraph"/>
              <w:ind w:left="64" w:right="238"/>
              <w:rPr>
                <w:sz w:val="22"/>
              </w:rPr>
            </w:pPr>
            <w:r>
              <w:rPr>
                <w:sz w:val="22"/>
              </w:rPr>
              <w:t>Cambio en los patrones de crecimiento en una ciudad intermedia: el caso de Chillán en Chile Central</w:t>
            </w:r>
          </w:p>
        </w:tc>
        <w:tc>
          <w:tcPr>
            <w:tcW w:w="941" w:type="dxa"/>
          </w:tcPr>
          <w:p>
            <w:pPr>
              <w:pStyle w:val="TableParagraph"/>
              <w:rPr>
                <w:b/>
                <w:sz w:val="22"/>
              </w:rPr>
            </w:pPr>
          </w:p>
          <w:p>
            <w:pPr>
              <w:pStyle w:val="TableParagraph"/>
              <w:rPr>
                <w:b/>
                <w:sz w:val="22"/>
              </w:rPr>
            </w:pPr>
          </w:p>
          <w:p>
            <w:pPr>
              <w:pStyle w:val="TableParagraph"/>
              <w:spacing w:before="7"/>
              <w:rPr>
                <w:b/>
                <w:sz w:val="18"/>
              </w:rPr>
            </w:pPr>
          </w:p>
          <w:p>
            <w:pPr>
              <w:pStyle w:val="TableParagraph"/>
              <w:ind w:left="174" w:right="176"/>
              <w:jc w:val="center"/>
              <w:rPr>
                <w:sz w:val="22"/>
              </w:rPr>
            </w:pPr>
            <w:r>
              <w:rPr>
                <w:sz w:val="22"/>
              </w:rPr>
              <w:t>18</w:t>
            </w:r>
          </w:p>
        </w:tc>
        <w:tc>
          <w:tcPr>
            <w:tcW w:w="1539" w:type="dxa"/>
          </w:tcPr>
          <w:p>
            <w:pPr>
              <w:pStyle w:val="TableParagraph"/>
              <w:rPr>
                <w:b/>
                <w:sz w:val="22"/>
              </w:rPr>
            </w:pPr>
          </w:p>
          <w:p>
            <w:pPr>
              <w:pStyle w:val="TableParagraph"/>
              <w:rPr>
                <w:b/>
                <w:sz w:val="22"/>
              </w:rPr>
            </w:pPr>
          </w:p>
          <w:p>
            <w:pPr>
              <w:pStyle w:val="TableParagraph"/>
              <w:spacing w:before="7"/>
              <w:rPr>
                <w:b/>
                <w:sz w:val="18"/>
              </w:rPr>
            </w:pPr>
          </w:p>
          <w:p>
            <w:pPr>
              <w:pStyle w:val="TableParagraph"/>
              <w:ind w:left="175" w:right="175"/>
              <w:jc w:val="center"/>
              <w:rPr>
                <w:sz w:val="22"/>
              </w:rPr>
            </w:pPr>
            <w:r>
              <w:rPr>
                <w:sz w:val="22"/>
              </w:rPr>
              <w:t>1.49</w:t>
            </w:r>
          </w:p>
        </w:tc>
      </w:tr>
      <w:tr>
        <w:trPr>
          <w:trHeight w:val="610" w:hRule="exact"/>
        </w:trPr>
        <w:tc>
          <w:tcPr>
            <w:tcW w:w="679" w:type="dxa"/>
          </w:tcPr>
          <w:p>
            <w:pPr>
              <w:pStyle w:val="TableParagraph"/>
              <w:rPr>
                <w:b/>
                <w:sz w:val="30"/>
              </w:rPr>
            </w:pPr>
          </w:p>
          <w:p>
            <w:pPr>
              <w:pStyle w:val="TableParagraph"/>
              <w:ind w:right="211"/>
              <w:jc w:val="right"/>
              <w:rPr>
                <w:sz w:val="22"/>
              </w:rPr>
            </w:pPr>
            <w:r>
              <w:rPr>
                <w:sz w:val="22"/>
              </w:rPr>
              <w:t>12</w:t>
            </w:r>
          </w:p>
        </w:tc>
        <w:tc>
          <w:tcPr>
            <w:tcW w:w="4662" w:type="dxa"/>
          </w:tcPr>
          <w:p>
            <w:pPr>
              <w:pStyle w:val="TableParagraph"/>
              <w:spacing w:before="91"/>
              <w:ind w:left="64" w:right="397"/>
              <w:rPr>
                <w:sz w:val="22"/>
              </w:rPr>
            </w:pPr>
            <w:r>
              <w:rPr>
                <w:sz w:val="22"/>
              </w:rPr>
              <w:t>La segregación, los guetos y la integración social urbana: mitos y claves</w:t>
            </w:r>
          </w:p>
        </w:tc>
        <w:tc>
          <w:tcPr>
            <w:tcW w:w="941" w:type="dxa"/>
          </w:tcPr>
          <w:p>
            <w:pPr>
              <w:pStyle w:val="TableParagraph"/>
              <w:rPr>
                <w:b/>
                <w:sz w:val="30"/>
              </w:rPr>
            </w:pPr>
          </w:p>
          <w:p>
            <w:pPr>
              <w:pStyle w:val="TableParagraph"/>
              <w:ind w:left="174" w:right="176"/>
              <w:jc w:val="center"/>
              <w:rPr>
                <w:sz w:val="22"/>
              </w:rPr>
            </w:pPr>
            <w:r>
              <w:rPr>
                <w:sz w:val="22"/>
              </w:rPr>
              <w:t>16</w:t>
            </w:r>
          </w:p>
        </w:tc>
        <w:tc>
          <w:tcPr>
            <w:tcW w:w="1539" w:type="dxa"/>
          </w:tcPr>
          <w:p>
            <w:pPr>
              <w:pStyle w:val="TableParagraph"/>
              <w:rPr>
                <w:b/>
                <w:sz w:val="30"/>
              </w:rPr>
            </w:pPr>
          </w:p>
          <w:p>
            <w:pPr>
              <w:pStyle w:val="TableParagraph"/>
              <w:ind w:left="175" w:right="175"/>
              <w:jc w:val="center"/>
              <w:rPr>
                <w:sz w:val="22"/>
              </w:rPr>
            </w:pPr>
            <w:r>
              <w:rPr>
                <w:sz w:val="22"/>
              </w:rPr>
              <w:t>1.33</w:t>
            </w:r>
          </w:p>
        </w:tc>
      </w:tr>
    </w:tbl>
    <w:p>
      <w:pPr>
        <w:spacing w:after="0"/>
        <w:jc w:val="center"/>
        <w:rPr>
          <w:sz w:val="22"/>
        </w:rPr>
        <w:sectPr>
          <w:pgSz w:w="12240" w:h="15840"/>
          <w:pgMar w:header="0" w:footer="629" w:top="1360" w:bottom="880" w:left="1600" w:right="1580"/>
        </w:sectPr>
      </w:pPr>
    </w:p>
    <w:tbl>
      <w:tblPr>
        <w:tblW w:w="0" w:type="auto"/>
        <w:jc w:val="left"/>
        <w:tblInd w:w="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9"/>
        <w:gridCol w:w="4662"/>
        <w:gridCol w:w="941"/>
        <w:gridCol w:w="1539"/>
      </w:tblGrid>
      <w:tr>
        <w:trPr>
          <w:trHeight w:val="770" w:hRule="exact"/>
        </w:trPr>
        <w:tc>
          <w:tcPr>
            <w:tcW w:w="679" w:type="dxa"/>
            <w:shd w:val="clear" w:color="auto" w:fill="808080"/>
          </w:tcPr>
          <w:p>
            <w:pPr/>
          </w:p>
        </w:tc>
        <w:tc>
          <w:tcPr>
            <w:tcW w:w="4662" w:type="dxa"/>
            <w:shd w:val="clear" w:color="auto" w:fill="808080"/>
          </w:tcPr>
          <w:p>
            <w:pPr>
              <w:pStyle w:val="TableParagraph"/>
              <w:rPr>
                <w:b/>
                <w:sz w:val="22"/>
              </w:rPr>
            </w:pPr>
          </w:p>
          <w:p>
            <w:pPr>
              <w:pStyle w:val="TableParagraph"/>
              <w:spacing w:before="3"/>
              <w:rPr>
                <w:b/>
                <w:sz w:val="21"/>
              </w:rPr>
            </w:pPr>
          </w:p>
          <w:p>
            <w:pPr>
              <w:pStyle w:val="TableParagraph"/>
              <w:ind w:left="1889" w:right="1891"/>
              <w:jc w:val="center"/>
              <w:rPr>
                <w:b/>
                <w:sz w:val="22"/>
              </w:rPr>
            </w:pPr>
            <w:r>
              <w:rPr>
                <w:b/>
                <w:color w:val="FFFFFF"/>
                <w:sz w:val="22"/>
              </w:rPr>
              <w:t>Artículo</w:t>
            </w:r>
          </w:p>
        </w:tc>
        <w:tc>
          <w:tcPr>
            <w:tcW w:w="941" w:type="dxa"/>
            <w:shd w:val="clear" w:color="auto" w:fill="808080"/>
          </w:tcPr>
          <w:p>
            <w:pPr>
              <w:pStyle w:val="TableParagraph"/>
              <w:rPr>
                <w:b/>
                <w:sz w:val="22"/>
              </w:rPr>
            </w:pPr>
          </w:p>
          <w:p>
            <w:pPr>
              <w:pStyle w:val="TableParagraph"/>
              <w:spacing w:before="3"/>
              <w:rPr>
                <w:b/>
                <w:sz w:val="21"/>
              </w:rPr>
            </w:pPr>
          </w:p>
          <w:p>
            <w:pPr>
              <w:pStyle w:val="TableParagraph"/>
              <w:ind w:left="176" w:right="176"/>
              <w:jc w:val="center"/>
              <w:rPr>
                <w:b/>
                <w:sz w:val="22"/>
              </w:rPr>
            </w:pPr>
            <w:r>
              <w:rPr>
                <w:b/>
                <w:color w:val="FFFFFF"/>
                <w:sz w:val="22"/>
              </w:rPr>
              <w:t>Citas</w:t>
            </w:r>
          </w:p>
        </w:tc>
        <w:tc>
          <w:tcPr>
            <w:tcW w:w="1539" w:type="dxa"/>
            <w:shd w:val="clear" w:color="auto" w:fill="808080"/>
          </w:tcPr>
          <w:p>
            <w:pPr>
              <w:pStyle w:val="TableParagraph"/>
              <w:ind w:left="175" w:right="176"/>
              <w:jc w:val="center"/>
              <w:rPr>
                <w:b/>
                <w:sz w:val="22"/>
              </w:rPr>
            </w:pPr>
            <w:r>
              <w:rPr>
                <w:b/>
                <w:color w:val="FFFFFF"/>
                <w:sz w:val="22"/>
              </w:rPr>
              <w:t>% respecto</w:t>
            </w:r>
            <w:r>
              <w:rPr>
                <w:b/>
                <w:color w:val="FFFFFF"/>
                <w:w w:val="100"/>
                <w:sz w:val="22"/>
              </w:rPr>
              <w:t> </w:t>
            </w:r>
            <w:r>
              <w:rPr>
                <w:b/>
                <w:color w:val="FFFFFF"/>
                <w:sz w:val="22"/>
              </w:rPr>
              <w:t>al total de citas</w:t>
            </w:r>
          </w:p>
        </w:tc>
      </w:tr>
      <w:tr>
        <w:trPr>
          <w:trHeight w:val="910" w:hRule="exact"/>
        </w:trPr>
        <w:tc>
          <w:tcPr>
            <w:tcW w:w="679" w:type="dxa"/>
          </w:tcPr>
          <w:p>
            <w:pPr>
              <w:pStyle w:val="TableParagraph"/>
              <w:rPr>
                <w:b/>
                <w:sz w:val="22"/>
              </w:rPr>
            </w:pPr>
          </w:p>
          <w:p>
            <w:pPr>
              <w:pStyle w:val="TableParagraph"/>
              <w:rPr>
                <w:b/>
                <w:sz w:val="22"/>
              </w:rPr>
            </w:pPr>
          </w:p>
          <w:p>
            <w:pPr>
              <w:pStyle w:val="TableParagraph"/>
              <w:spacing w:before="137"/>
              <w:ind w:left="211"/>
              <w:rPr>
                <w:sz w:val="22"/>
              </w:rPr>
            </w:pPr>
            <w:r>
              <w:rPr>
                <w:sz w:val="22"/>
              </w:rPr>
              <w:t>13</w:t>
            </w:r>
          </w:p>
        </w:tc>
        <w:tc>
          <w:tcPr>
            <w:tcW w:w="4662" w:type="dxa"/>
          </w:tcPr>
          <w:p>
            <w:pPr>
              <w:pStyle w:val="TableParagraph"/>
              <w:spacing w:before="136"/>
              <w:ind w:left="64" w:right="226"/>
              <w:rPr>
                <w:sz w:val="22"/>
              </w:rPr>
            </w:pPr>
            <w:r>
              <w:rPr>
                <w:sz w:val="22"/>
              </w:rPr>
              <w:t>Evaluación ambiental del proceso de urbanización de las cuencas del piedemonte andino de Santiago de Chile</w:t>
            </w:r>
          </w:p>
        </w:tc>
        <w:tc>
          <w:tcPr>
            <w:tcW w:w="941" w:type="dxa"/>
          </w:tcPr>
          <w:p>
            <w:pPr>
              <w:pStyle w:val="TableParagraph"/>
              <w:rPr>
                <w:b/>
                <w:sz w:val="22"/>
              </w:rPr>
            </w:pPr>
          </w:p>
          <w:p>
            <w:pPr>
              <w:pStyle w:val="TableParagraph"/>
              <w:rPr>
                <w:b/>
                <w:sz w:val="22"/>
              </w:rPr>
            </w:pPr>
          </w:p>
          <w:p>
            <w:pPr>
              <w:pStyle w:val="TableParagraph"/>
              <w:spacing w:before="137"/>
              <w:ind w:left="174" w:right="176"/>
              <w:jc w:val="center"/>
              <w:rPr>
                <w:sz w:val="22"/>
              </w:rPr>
            </w:pPr>
            <w:r>
              <w:rPr>
                <w:sz w:val="22"/>
              </w:rPr>
              <w:t>15</w:t>
            </w:r>
          </w:p>
        </w:tc>
        <w:tc>
          <w:tcPr>
            <w:tcW w:w="1539" w:type="dxa"/>
          </w:tcPr>
          <w:p>
            <w:pPr>
              <w:pStyle w:val="TableParagraph"/>
              <w:rPr>
                <w:b/>
                <w:sz w:val="22"/>
              </w:rPr>
            </w:pPr>
          </w:p>
          <w:p>
            <w:pPr>
              <w:pStyle w:val="TableParagraph"/>
              <w:rPr>
                <w:b/>
                <w:sz w:val="22"/>
              </w:rPr>
            </w:pPr>
          </w:p>
          <w:p>
            <w:pPr>
              <w:pStyle w:val="TableParagraph"/>
              <w:spacing w:before="137"/>
              <w:ind w:left="175" w:right="175"/>
              <w:jc w:val="center"/>
              <w:rPr>
                <w:sz w:val="22"/>
              </w:rPr>
            </w:pPr>
            <w:r>
              <w:rPr>
                <w:sz w:val="22"/>
              </w:rPr>
              <w:t>1.24</w:t>
            </w:r>
          </w:p>
        </w:tc>
      </w:tr>
      <w:tr>
        <w:trPr>
          <w:trHeight w:val="610" w:hRule="exact"/>
        </w:trPr>
        <w:tc>
          <w:tcPr>
            <w:tcW w:w="679" w:type="dxa"/>
          </w:tcPr>
          <w:p>
            <w:pPr>
              <w:pStyle w:val="TableParagraph"/>
              <w:spacing w:before="9"/>
              <w:rPr>
                <w:b/>
                <w:sz w:val="29"/>
              </w:rPr>
            </w:pPr>
          </w:p>
          <w:p>
            <w:pPr>
              <w:pStyle w:val="TableParagraph"/>
              <w:ind w:left="211"/>
              <w:rPr>
                <w:sz w:val="22"/>
              </w:rPr>
            </w:pPr>
            <w:r>
              <w:rPr>
                <w:sz w:val="22"/>
              </w:rPr>
              <w:t>14</w:t>
            </w:r>
          </w:p>
        </w:tc>
        <w:tc>
          <w:tcPr>
            <w:tcW w:w="4662" w:type="dxa"/>
          </w:tcPr>
          <w:p>
            <w:pPr>
              <w:pStyle w:val="TableParagraph"/>
              <w:spacing w:before="88"/>
              <w:ind w:left="64" w:right="618"/>
              <w:rPr>
                <w:sz w:val="22"/>
              </w:rPr>
            </w:pPr>
            <w:r>
              <w:rPr>
                <w:sz w:val="22"/>
              </w:rPr>
              <w:t>Trayectorias industriales metropolitanas: nuevos procesos, nuevos contrastes</w:t>
            </w:r>
          </w:p>
        </w:tc>
        <w:tc>
          <w:tcPr>
            <w:tcW w:w="941" w:type="dxa"/>
          </w:tcPr>
          <w:p>
            <w:pPr>
              <w:pStyle w:val="TableParagraph"/>
              <w:spacing w:before="9"/>
              <w:rPr>
                <w:b/>
                <w:sz w:val="29"/>
              </w:rPr>
            </w:pPr>
          </w:p>
          <w:p>
            <w:pPr>
              <w:pStyle w:val="TableParagraph"/>
              <w:ind w:left="174" w:right="176"/>
              <w:jc w:val="center"/>
              <w:rPr>
                <w:sz w:val="22"/>
              </w:rPr>
            </w:pPr>
            <w:r>
              <w:rPr>
                <w:sz w:val="22"/>
              </w:rPr>
              <w:t>15</w:t>
            </w:r>
          </w:p>
        </w:tc>
        <w:tc>
          <w:tcPr>
            <w:tcW w:w="1539" w:type="dxa"/>
          </w:tcPr>
          <w:p>
            <w:pPr>
              <w:pStyle w:val="TableParagraph"/>
              <w:spacing w:before="9"/>
              <w:rPr>
                <w:b/>
                <w:sz w:val="29"/>
              </w:rPr>
            </w:pPr>
          </w:p>
          <w:p>
            <w:pPr>
              <w:pStyle w:val="TableParagraph"/>
              <w:ind w:left="175" w:right="175"/>
              <w:jc w:val="center"/>
              <w:rPr>
                <w:sz w:val="22"/>
              </w:rPr>
            </w:pPr>
            <w:r>
              <w:rPr>
                <w:sz w:val="22"/>
              </w:rPr>
              <w:t>1.24</w:t>
            </w:r>
          </w:p>
        </w:tc>
      </w:tr>
      <w:tr>
        <w:trPr>
          <w:trHeight w:val="310" w:hRule="exact"/>
        </w:trPr>
        <w:tc>
          <w:tcPr>
            <w:tcW w:w="679" w:type="dxa"/>
          </w:tcPr>
          <w:p>
            <w:pPr>
              <w:pStyle w:val="TableParagraph"/>
              <w:spacing w:before="43"/>
              <w:ind w:left="211"/>
              <w:rPr>
                <w:sz w:val="22"/>
              </w:rPr>
            </w:pPr>
            <w:r>
              <w:rPr>
                <w:sz w:val="22"/>
              </w:rPr>
              <w:t>15</w:t>
            </w:r>
          </w:p>
        </w:tc>
        <w:tc>
          <w:tcPr>
            <w:tcW w:w="4662" w:type="dxa"/>
          </w:tcPr>
          <w:p>
            <w:pPr>
              <w:pStyle w:val="TableParagraph"/>
              <w:spacing w:before="43"/>
              <w:ind w:left="64" w:right="165"/>
              <w:rPr>
                <w:sz w:val="22"/>
              </w:rPr>
            </w:pPr>
            <w:r>
              <w:rPr>
                <w:sz w:val="22"/>
              </w:rPr>
              <w:t>El turismo urbano y la geografía de la ciudad</w:t>
            </w:r>
          </w:p>
        </w:tc>
        <w:tc>
          <w:tcPr>
            <w:tcW w:w="941" w:type="dxa"/>
          </w:tcPr>
          <w:p>
            <w:pPr>
              <w:pStyle w:val="TableParagraph"/>
              <w:spacing w:before="43"/>
              <w:ind w:left="174" w:right="176"/>
              <w:jc w:val="center"/>
              <w:rPr>
                <w:sz w:val="22"/>
              </w:rPr>
            </w:pPr>
            <w:r>
              <w:rPr>
                <w:sz w:val="22"/>
              </w:rPr>
              <w:t>15</w:t>
            </w:r>
          </w:p>
        </w:tc>
        <w:tc>
          <w:tcPr>
            <w:tcW w:w="1539" w:type="dxa"/>
          </w:tcPr>
          <w:p>
            <w:pPr>
              <w:pStyle w:val="TableParagraph"/>
              <w:spacing w:before="43"/>
              <w:ind w:left="175" w:right="175"/>
              <w:jc w:val="center"/>
              <w:rPr>
                <w:sz w:val="22"/>
              </w:rPr>
            </w:pPr>
            <w:r>
              <w:rPr>
                <w:sz w:val="22"/>
              </w:rPr>
              <w:t>1.24</w:t>
            </w:r>
          </w:p>
        </w:tc>
      </w:tr>
      <w:tr>
        <w:trPr>
          <w:trHeight w:val="771" w:hRule="exact"/>
        </w:trPr>
        <w:tc>
          <w:tcPr>
            <w:tcW w:w="679" w:type="dxa"/>
          </w:tcPr>
          <w:p>
            <w:pPr>
              <w:pStyle w:val="TableParagraph"/>
              <w:rPr>
                <w:b/>
                <w:sz w:val="22"/>
              </w:rPr>
            </w:pPr>
          </w:p>
          <w:p>
            <w:pPr>
              <w:pStyle w:val="TableParagraph"/>
              <w:spacing w:before="7"/>
              <w:rPr>
                <w:b/>
                <w:sz w:val="21"/>
              </w:rPr>
            </w:pPr>
          </w:p>
          <w:p>
            <w:pPr>
              <w:pStyle w:val="TableParagraph"/>
              <w:ind w:left="211"/>
              <w:rPr>
                <w:sz w:val="22"/>
              </w:rPr>
            </w:pPr>
            <w:r>
              <w:rPr>
                <w:sz w:val="22"/>
              </w:rPr>
              <w:t>16</w:t>
            </w:r>
          </w:p>
        </w:tc>
        <w:tc>
          <w:tcPr>
            <w:tcW w:w="4662" w:type="dxa"/>
          </w:tcPr>
          <w:p>
            <w:pPr>
              <w:pStyle w:val="TableParagraph"/>
              <w:ind w:left="64" w:right="165"/>
              <w:rPr>
                <w:sz w:val="22"/>
              </w:rPr>
            </w:pPr>
            <w:r>
              <w:rPr>
                <w:sz w:val="22"/>
              </w:rPr>
              <w:t>Las mega-ciudades y las periferias expandidas. Ampliando el concepto en Ciudad de México</w:t>
            </w:r>
          </w:p>
        </w:tc>
        <w:tc>
          <w:tcPr>
            <w:tcW w:w="941" w:type="dxa"/>
          </w:tcPr>
          <w:p>
            <w:pPr>
              <w:pStyle w:val="TableParagraph"/>
              <w:rPr>
                <w:b/>
                <w:sz w:val="22"/>
              </w:rPr>
            </w:pPr>
          </w:p>
          <w:p>
            <w:pPr>
              <w:pStyle w:val="TableParagraph"/>
              <w:spacing w:before="7"/>
              <w:rPr>
                <w:b/>
                <w:sz w:val="21"/>
              </w:rPr>
            </w:pPr>
          </w:p>
          <w:p>
            <w:pPr>
              <w:pStyle w:val="TableParagraph"/>
              <w:ind w:left="174" w:right="176"/>
              <w:jc w:val="center"/>
              <w:rPr>
                <w:sz w:val="22"/>
              </w:rPr>
            </w:pPr>
            <w:r>
              <w:rPr>
                <w:sz w:val="22"/>
              </w:rPr>
              <w:t>15</w:t>
            </w:r>
          </w:p>
        </w:tc>
        <w:tc>
          <w:tcPr>
            <w:tcW w:w="1539" w:type="dxa"/>
          </w:tcPr>
          <w:p>
            <w:pPr>
              <w:pStyle w:val="TableParagraph"/>
              <w:rPr>
                <w:b/>
                <w:sz w:val="22"/>
              </w:rPr>
            </w:pPr>
          </w:p>
          <w:p>
            <w:pPr>
              <w:pStyle w:val="TableParagraph"/>
              <w:spacing w:before="7"/>
              <w:rPr>
                <w:b/>
                <w:sz w:val="21"/>
              </w:rPr>
            </w:pPr>
          </w:p>
          <w:p>
            <w:pPr>
              <w:pStyle w:val="TableParagraph"/>
              <w:ind w:left="175" w:right="175"/>
              <w:jc w:val="center"/>
              <w:rPr>
                <w:sz w:val="22"/>
              </w:rPr>
            </w:pPr>
            <w:r>
              <w:rPr>
                <w:sz w:val="22"/>
              </w:rPr>
              <w:t>1.24</w:t>
            </w:r>
          </w:p>
        </w:tc>
      </w:tr>
      <w:tr>
        <w:trPr>
          <w:trHeight w:val="1020" w:hRule="exact"/>
        </w:trPr>
        <w:tc>
          <w:tcPr>
            <w:tcW w:w="679" w:type="dxa"/>
          </w:tcPr>
          <w:p>
            <w:pPr>
              <w:pStyle w:val="TableParagraph"/>
              <w:rPr>
                <w:b/>
                <w:sz w:val="22"/>
              </w:rPr>
            </w:pPr>
          </w:p>
          <w:p>
            <w:pPr>
              <w:pStyle w:val="TableParagraph"/>
              <w:rPr>
                <w:b/>
                <w:sz w:val="22"/>
              </w:rPr>
            </w:pPr>
          </w:p>
          <w:p>
            <w:pPr>
              <w:pStyle w:val="TableParagraph"/>
              <w:spacing w:before="5"/>
              <w:rPr>
                <w:b/>
                <w:sz w:val="21"/>
              </w:rPr>
            </w:pPr>
          </w:p>
          <w:p>
            <w:pPr>
              <w:pStyle w:val="TableParagraph"/>
              <w:ind w:left="211"/>
              <w:rPr>
                <w:sz w:val="22"/>
              </w:rPr>
            </w:pPr>
            <w:r>
              <w:rPr>
                <w:sz w:val="22"/>
              </w:rPr>
              <w:t>17</w:t>
            </w:r>
          </w:p>
        </w:tc>
        <w:tc>
          <w:tcPr>
            <w:tcW w:w="4662" w:type="dxa"/>
          </w:tcPr>
          <w:p>
            <w:pPr>
              <w:pStyle w:val="TableParagraph"/>
              <w:ind w:left="64" w:right="397"/>
              <w:rPr>
                <w:sz w:val="22"/>
              </w:rPr>
            </w:pPr>
            <w:r>
              <w:rPr>
                <w:sz w:val="22"/>
              </w:rPr>
              <w:t>El reposicionamiento de las ciudades y regiones urbanas en una economía global: ampliando las opciones de políticas y gobernanza</w:t>
            </w:r>
          </w:p>
        </w:tc>
        <w:tc>
          <w:tcPr>
            <w:tcW w:w="941" w:type="dxa"/>
          </w:tcPr>
          <w:p>
            <w:pPr>
              <w:pStyle w:val="TableParagraph"/>
              <w:rPr>
                <w:b/>
                <w:sz w:val="22"/>
              </w:rPr>
            </w:pPr>
          </w:p>
          <w:p>
            <w:pPr>
              <w:pStyle w:val="TableParagraph"/>
              <w:rPr>
                <w:b/>
                <w:sz w:val="22"/>
              </w:rPr>
            </w:pPr>
          </w:p>
          <w:p>
            <w:pPr>
              <w:pStyle w:val="TableParagraph"/>
              <w:spacing w:before="5"/>
              <w:rPr>
                <w:b/>
                <w:sz w:val="21"/>
              </w:rPr>
            </w:pPr>
          </w:p>
          <w:p>
            <w:pPr>
              <w:pStyle w:val="TableParagraph"/>
              <w:ind w:left="174" w:right="176"/>
              <w:jc w:val="center"/>
              <w:rPr>
                <w:sz w:val="22"/>
              </w:rPr>
            </w:pPr>
            <w:r>
              <w:rPr>
                <w:sz w:val="22"/>
              </w:rPr>
              <w:t>14</w:t>
            </w:r>
          </w:p>
        </w:tc>
        <w:tc>
          <w:tcPr>
            <w:tcW w:w="1539" w:type="dxa"/>
          </w:tcPr>
          <w:p>
            <w:pPr>
              <w:pStyle w:val="TableParagraph"/>
              <w:rPr>
                <w:b/>
                <w:sz w:val="22"/>
              </w:rPr>
            </w:pPr>
          </w:p>
          <w:p>
            <w:pPr>
              <w:pStyle w:val="TableParagraph"/>
              <w:rPr>
                <w:b/>
                <w:sz w:val="22"/>
              </w:rPr>
            </w:pPr>
          </w:p>
          <w:p>
            <w:pPr>
              <w:pStyle w:val="TableParagraph"/>
              <w:spacing w:before="5"/>
              <w:rPr>
                <w:b/>
                <w:sz w:val="21"/>
              </w:rPr>
            </w:pPr>
          </w:p>
          <w:p>
            <w:pPr>
              <w:pStyle w:val="TableParagraph"/>
              <w:ind w:left="175" w:right="175"/>
              <w:jc w:val="center"/>
              <w:rPr>
                <w:sz w:val="22"/>
              </w:rPr>
            </w:pPr>
            <w:r>
              <w:rPr>
                <w:sz w:val="22"/>
              </w:rPr>
              <w:t>1.16</w:t>
            </w:r>
          </w:p>
        </w:tc>
      </w:tr>
      <w:tr>
        <w:trPr>
          <w:trHeight w:val="312" w:hRule="exact"/>
        </w:trPr>
        <w:tc>
          <w:tcPr>
            <w:tcW w:w="679" w:type="dxa"/>
          </w:tcPr>
          <w:p>
            <w:pPr>
              <w:pStyle w:val="TableParagraph"/>
              <w:spacing w:before="43"/>
              <w:ind w:left="211"/>
              <w:rPr>
                <w:sz w:val="22"/>
              </w:rPr>
            </w:pPr>
            <w:r>
              <w:rPr>
                <w:sz w:val="22"/>
              </w:rPr>
              <w:t>18</w:t>
            </w:r>
          </w:p>
        </w:tc>
        <w:tc>
          <w:tcPr>
            <w:tcW w:w="4662" w:type="dxa"/>
          </w:tcPr>
          <w:p>
            <w:pPr>
              <w:pStyle w:val="TableParagraph"/>
              <w:spacing w:before="43"/>
              <w:ind w:left="64" w:right="165"/>
              <w:rPr>
                <w:sz w:val="22"/>
              </w:rPr>
            </w:pPr>
            <w:r>
              <w:rPr>
                <w:sz w:val="22"/>
              </w:rPr>
              <w:t>Localizando ciudades en circuitos globales</w:t>
            </w:r>
          </w:p>
        </w:tc>
        <w:tc>
          <w:tcPr>
            <w:tcW w:w="941" w:type="dxa"/>
          </w:tcPr>
          <w:p>
            <w:pPr>
              <w:pStyle w:val="TableParagraph"/>
              <w:spacing w:before="43"/>
              <w:ind w:left="174" w:right="176"/>
              <w:jc w:val="center"/>
              <w:rPr>
                <w:sz w:val="22"/>
              </w:rPr>
            </w:pPr>
            <w:r>
              <w:rPr>
                <w:sz w:val="22"/>
              </w:rPr>
              <w:t>14</w:t>
            </w:r>
          </w:p>
        </w:tc>
        <w:tc>
          <w:tcPr>
            <w:tcW w:w="1539" w:type="dxa"/>
          </w:tcPr>
          <w:p>
            <w:pPr>
              <w:pStyle w:val="TableParagraph"/>
              <w:spacing w:before="43"/>
              <w:ind w:left="175" w:right="175"/>
              <w:jc w:val="center"/>
              <w:rPr>
                <w:sz w:val="22"/>
              </w:rPr>
            </w:pPr>
            <w:r>
              <w:rPr>
                <w:sz w:val="22"/>
              </w:rPr>
              <w:t>1.16</w:t>
            </w:r>
          </w:p>
        </w:tc>
      </w:tr>
      <w:tr>
        <w:trPr>
          <w:trHeight w:val="910" w:hRule="exact"/>
        </w:trPr>
        <w:tc>
          <w:tcPr>
            <w:tcW w:w="679" w:type="dxa"/>
          </w:tcPr>
          <w:p>
            <w:pPr>
              <w:pStyle w:val="TableParagraph"/>
              <w:rPr>
                <w:b/>
                <w:sz w:val="22"/>
              </w:rPr>
            </w:pPr>
          </w:p>
          <w:p>
            <w:pPr>
              <w:pStyle w:val="TableParagraph"/>
              <w:rPr>
                <w:b/>
                <w:sz w:val="22"/>
              </w:rPr>
            </w:pPr>
          </w:p>
          <w:p>
            <w:pPr>
              <w:pStyle w:val="TableParagraph"/>
              <w:spacing w:before="134"/>
              <w:ind w:left="211"/>
              <w:rPr>
                <w:sz w:val="22"/>
              </w:rPr>
            </w:pPr>
            <w:r>
              <w:rPr>
                <w:sz w:val="22"/>
              </w:rPr>
              <w:t>19</w:t>
            </w:r>
          </w:p>
        </w:tc>
        <w:tc>
          <w:tcPr>
            <w:tcW w:w="4662" w:type="dxa"/>
          </w:tcPr>
          <w:p>
            <w:pPr>
              <w:pStyle w:val="TableParagraph"/>
              <w:spacing w:before="136"/>
              <w:ind w:left="64" w:right="214"/>
              <w:rPr>
                <w:sz w:val="22"/>
              </w:rPr>
            </w:pPr>
            <w:r>
              <w:rPr>
                <w:sz w:val="22"/>
              </w:rPr>
              <w:t>Mercado metropolitano de trabajo y desigualdades sociales en el Gran Santiago.</w:t>
            </w:r>
          </w:p>
          <w:p>
            <w:pPr>
              <w:pStyle w:val="TableParagraph"/>
              <w:spacing w:line="252" w:lineRule="exact"/>
              <w:ind w:left="64" w:right="165"/>
              <w:rPr>
                <w:sz w:val="22"/>
              </w:rPr>
            </w:pPr>
            <w:r>
              <w:rPr>
                <w:sz w:val="22"/>
              </w:rPr>
              <w:t>¿Una ciudad dual?</w:t>
            </w:r>
          </w:p>
        </w:tc>
        <w:tc>
          <w:tcPr>
            <w:tcW w:w="941" w:type="dxa"/>
          </w:tcPr>
          <w:p>
            <w:pPr>
              <w:pStyle w:val="TableParagraph"/>
              <w:rPr>
                <w:b/>
                <w:sz w:val="22"/>
              </w:rPr>
            </w:pPr>
          </w:p>
          <w:p>
            <w:pPr>
              <w:pStyle w:val="TableParagraph"/>
              <w:rPr>
                <w:b/>
                <w:sz w:val="22"/>
              </w:rPr>
            </w:pPr>
          </w:p>
          <w:p>
            <w:pPr>
              <w:pStyle w:val="TableParagraph"/>
              <w:spacing w:before="134"/>
              <w:ind w:left="174" w:right="176"/>
              <w:jc w:val="center"/>
              <w:rPr>
                <w:sz w:val="22"/>
              </w:rPr>
            </w:pPr>
            <w:r>
              <w:rPr>
                <w:sz w:val="22"/>
              </w:rPr>
              <w:t>14</w:t>
            </w:r>
          </w:p>
        </w:tc>
        <w:tc>
          <w:tcPr>
            <w:tcW w:w="1539" w:type="dxa"/>
          </w:tcPr>
          <w:p>
            <w:pPr>
              <w:pStyle w:val="TableParagraph"/>
              <w:rPr>
                <w:b/>
                <w:sz w:val="22"/>
              </w:rPr>
            </w:pPr>
          </w:p>
          <w:p>
            <w:pPr>
              <w:pStyle w:val="TableParagraph"/>
              <w:rPr>
                <w:b/>
                <w:sz w:val="22"/>
              </w:rPr>
            </w:pPr>
          </w:p>
          <w:p>
            <w:pPr>
              <w:pStyle w:val="TableParagraph"/>
              <w:spacing w:before="134"/>
              <w:ind w:left="175" w:right="175"/>
              <w:jc w:val="center"/>
              <w:rPr>
                <w:sz w:val="22"/>
              </w:rPr>
            </w:pPr>
            <w:r>
              <w:rPr>
                <w:sz w:val="22"/>
              </w:rPr>
              <w:t>1.16</w:t>
            </w:r>
          </w:p>
        </w:tc>
      </w:tr>
      <w:tr>
        <w:trPr>
          <w:trHeight w:val="768" w:hRule="exact"/>
        </w:trPr>
        <w:tc>
          <w:tcPr>
            <w:tcW w:w="679" w:type="dxa"/>
          </w:tcPr>
          <w:p>
            <w:pPr>
              <w:pStyle w:val="TableParagraph"/>
              <w:rPr>
                <w:b/>
                <w:sz w:val="22"/>
              </w:rPr>
            </w:pPr>
          </w:p>
          <w:p>
            <w:pPr>
              <w:pStyle w:val="TableParagraph"/>
              <w:spacing w:before="6"/>
              <w:rPr>
                <w:b/>
                <w:sz w:val="21"/>
              </w:rPr>
            </w:pPr>
          </w:p>
          <w:p>
            <w:pPr>
              <w:pStyle w:val="TableParagraph"/>
              <w:ind w:left="211"/>
              <w:rPr>
                <w:sz w:val="22"/>
              </w:rPr>
            </w:pPr>
            <w:r>
              <w:rPr>
                <w:sz w:val="22"/>
              </w:rPr>
              <w:t>20</w:t>
            </w:r>
          </w:p>
        </w:tc>
        <w:tc>
          <w:tcPr>
            <w:tcW w:w="4662" w:type="dxa"/>
          </w:tcPr>
          <w:p>
            <w:pPr>
              <w:pStyle w:val="TableParagraph"/>
              <w:ind w:left="64" w:right="312"/>
              <w:rPr>
                <w:sz w:val="22"/>
              </w:rPr>
            </w:pPr>
            <w:r>
              <w:rPr>
                <w:sz w:val="22"/>
              </w:rPr>
              <w:t>Indicadores sintéticos de calidad ambiental: un modelo general para grandes zonas urbanas</w:t>
            </w:r>
          </w:p>
        </w:tc>
        <w:tc>
          <w:tcPr>
            <w:tcW w:w="941" w:type="dxa"/>
          </w:tcPr>
          <w:p>
            <w:pPr>
              <w:pStyle w:val="TableParagraph"/>
              <w:rPr>
                <w:b/>
                <w:sz w:val="22"/>
              </w:rPr>
            </w:pPr>
          </w:p>
          <w:p>
            <w:pPr>
              <w:pStyle w:val="TableParagraph"/>
              <w:spacing w:before="6"/>
              <w:rPr>
                <w:b/>
                <w:sz w:val="21"/>
              </w:rPr>
            </w:pPr>
          </w:p>
          <w:p>
            <w:pPr>
              <w:pStyle w:val="TableParagraph"/>
              <w:ind w:left="174" w:right="176"/>
              <w:jc w:val="center"/>
              <w:rPr>
                <w:sz w:val="22"/>
              </w:rPr>
            </w:pPr>
            <w:r>
              <w:rPr>
                <w:sz w:val="22"/>
              </w:rPr>
              <w:t>13</w:t>
            </w:r>
          </w:p>
        </w:tc>
        <w:tc>
          <w:tcPr>
            <w:tcW w:w="1539" w:type="dxa"/>
          </w:tcPr>
          <w:p>
            <w:pPr>
              <w:pStyle w:val="TableParagraph"/>
              <w:rPr>
                <w:b/>
                <w:sz w:val="22"/>
              </w:rPr>
            </w:pPr>
          </w:p>
          <w:p>
            <w:pPr>
              <w:pStyle w:val="TableParagraph"/>
              <w:spacing w:before="6"/>
              <w:rPr>
                <w:b/>
                <w:sz w:val="21"/>
              </w:rPr>
            </w:pPr>
          </w:p>
          <w:p>
            <w:pPr>
              <w:pStyle w:val="TableParagraph"/>
              <w:ind w:left="175" w:right="175"/>
              <w:jc w:val="center"/>
              <w:rPr>
                <w:sz w:val="22"/>
              </w:rPr>
            </w:pPr>
            <w:r>
              <w:rPr>
                <w:sz w:val="22"/>
              </w:rPr>
              <w:t>1.08</w:t>
            </w:r>
          </w:p>
        </w:tc>
      </w:tr>
      <w:tr>
        <w:trPr>
          <w:trHeight w:val="310" w:hRule="exact"/>
        </w:trPr>
        <w:tc>
          <w:tcPr>
            <w:tcW w:w="679" w:type="dxa"/>
          </w:tcPr>
          <w:p>
            <w:pPr>
              <w:pStyle w:val="TableParagraph"/>
              <w:spacing w:before="43"/>
              <w:ind w:left="211"/>
              <w:rPr>
                <w:sz w:val="22"/>
              </w:rPr>
            </w:pPr>
            <w:r>
              <w:rPr>
                <w:sz w:val="22"/>
              </w:rPr>
              <w:t>21</w:t>
            </w:r>
          </w:p>
        </w:tc>
        <w:tc>
          <w:tcPr>
            <w:tcW w:w="4662" w:type="dxa"/>
          </w:tcPr>
          <w:p>
            <w:pPr>
              <w:pStyle w:val="TableParagraph"/>
              <w:spacing w:before="43"/>
              <w:ind w:left="64" w:right="165"/>
              <w:rPr>
                <w:sz w:val="22"/>
              </w:rPr>
            </w:pPr>
            <w:r>
              <w:rPr>
                <w:sz w:val="22"/>
              </w:rPr>
              <w:t>El problema de vivienda de los "con techo"</w:t>
            </w:r>
          </w:p>
        </w:tc>
        <w:tc>
          <w:tcPr>
            <w:tcW w:w="941" w:type="dxa"/>
          </w:tcPr>
          <w:p>
            <w:pPr>
              <w:pStyle w:val="TableParagraph"/>
              <w:spacing w:before="43"/>
              <w:ind w:left="174" w:right="176"/>
              <w:jc w:val="center"/>
              <w:rPr>
                <w:sz w:val="22"/>
              </w:rPr>
            </w:pPr>
            <w:r>
              <w:rPr>
                <w:sz w:val="22"/>
              </w:rPr>
              <w:t>13</w:t>
            </w:r>
          </w:p>
        </w:tc>
        <w:tc>
          <w:tcPr>
            <w:tcW w:w="1539" w:type="dxa"/>
          </w:tcPr>
          <w:p>
            <w:pPr>
              <w:pStyle w:val="TableParagraph"/>
              <w:spacing w:before="43"/>
              <w:ind w:left="175" w:right="175"/>
              <w:jc w:val="center"/>
              <w:rPr>
                <w:sz w:val="22"/>
              </w:rPr>
            </w:pPr>
            <w:r>
              <w:rPr>
                <w:sz w:val="22"/>
              </w:rPr>
              <w:t>1.08</w:t>
            </w:r>
          </w:p>
        </w:tc>
      </w:tr>
      <w:tr>
        <w:trPr>
          <w:trHeight w:val="770" w:hRule="exact"/>
        </w:trPr>
        <w:tc>
          <w:tcPr>
            <w:tcW w:w="679" w:type="dxa"/>
          </w:tcPr>
          <w:p>
            <w:pPr>
              <w:pStyle w:val="TableParagraph"/>
              <w:rPr>
                <w:b/>
                <w:sz w:val="22"/>
              </w:rPr>
            </w:pPr>
          </w:p>
          <w:p>
            <w:pPr>
              <w:pStyle w:val="TableParagraph"/>
              <w:spacing w:before="6"/>
              <w:rPr>
                <w:b/>
                <w:sz w:val="21"/>
              </w:rPr>
            </w:pPr>
          </w:p>
          <w:p>
            <w:pPr>
              <w:pStyle w:val="TableParagraph"/>
              <w:ind w:left="211"/>
              <w:rPr>
                <w:sz w:val="22"/>
              </w:rPr>
            </w:pPr>
            <w:r>
              <w:rPr>
                <w:sz w:val="22"/>
              </w:rPr>
              <w:t>22</w:t>
            </w:r>
          </w:p>
        </w:tc>
        <w:tc>
          <w:tcPr>
            <w:tcW w:w="4662" w:type="dxa"/>
          </w:tcPr>
          <w:p>
            <w:pPr>
              <w:pStyle w:val="TableParagraph"/>
              <w:spacing w:line="252" w:lineRule="exact" w:before="2"/>
              <w:ind w:left="64" w:right="415"/>
              <w:jc w:val="both"/>
              <w:rPr>
                <w:sz w:val="22"/>
              </w:rPr>
            </w:pPr>
            <w:r>
              <w:rPr>
                <w:sz w:val="22"/>
              </w:rPr>
              <w:t>Desarrollo territorial y descentralización. El desarrollo en el lugar y en las manos de la gente</w:t>
            </w:r>
          </w:p>
        </w:tc>
        <w:tc>
          <w:tcPr>
            <w:tcW w:w="941" w:type="dxa"/>
          </w:tcPr>
          <w:p>
            <w:pPr>
              <w:pStyle w:val="TableParagraph"/>
              <w:rPr>
                <w:b/>
                <w:sz w:val="22"/>
              </w:rPr>
            </w:pPr>
          </w:p>
          <w:p>
            <w:pPr>
              <w:pStyle w:val="TableParagraph"/>
              <w:spacing w:before="6"/>
              <w:rPr>
                <w:b/>
                <w:sz w:val="21"/>
              </w:rPr>
            </w:pPr>
          </w:p>
          <w:p>
            <w:pPr>
              <w:pStyle w:val="TableParagraph"/>
              <w:ind w:left="174" w:right="176"/>
              <w:jc w:val="center"/>
              <w:rPr>
                <w:sz w:val="22"/>
              </w:rPr>
            </w:pPr>
            <w:r>
              <w:rPr>
                <w:sz w:val="22"/>
              </w:rPr>
              <w:t>13</w:t>
            </w:r>
          </w:p>
        </w:tc>
        <w:tc>
          <w:tcPr>
            <w:tcW w:w="1539" w:type="dxa"/>
          </w:tcPr>
          <w:p>
            <w:pPr>
              <w:pStyle w:val="TableParagraph"/>
              <w:rPr>
                <w:b/>
                <w:sz w:val="22"/>
              </w:rPr>
            </w:pPr>
          </w:p>
          <w:p>
            <w:pPr>
              <w:pStyle w:val="TableParagraph"/>
              <w:spacing w:before="6"/>
              <w:rPr>
                <w:b/>
                <w:sz w:val="21"/>
              </w:rPr>
            </w:pPr>
          </w:p>
          <w:p>
            <w:pPr>
              <w:pStyle w:val="TableParagraph"/>
              <w:ind w:left="175" w:right="175"/>
              <w:jc w:val="center"/>
              <w:rPr>
                <w:sz w:val="22"/>
              </w:rPr>
            </w:pPr>
            <w:r>
              <w:rPr>
                <w:sz w:val="22"/>
              </w:rPr>
              <w:t>1.08</w:t>
            </w:r>
          </w:p>
        </w:tc>
      </w:tr>
      <w:tr>
        <w:trPr>
          <w:trHeight w:val="610" w:hRule="exact"/>
        </w:trPr>
        <w:tc>
          <w:tcPr>
            <w:tcW w:w="679" w:type="dxa"/>
          </w:tcPr>
          <w:p>
            <w:pPr>
              <w:pStyle w:val="TableParagraph"/>
              <w:spacing w:before="9"/>
              <w:rPr>
                <w:b/>
                <w:sz w:val="29"/>
              </w:rPr>
            </w:pPr>
          </w:p>
          <w:p>
            <w:pPr>
              <w:pStyle w:val="TableParagraph"/>
              <w:ind w:left="211"/>
              <w:rPr>
                <w:sz w:val="22"/>
              </w:rPr>
            </w:pPr>
            <w:r>
              <w:rPr>
                <w:sz w:val="22"/>
              </w:rPr>
              <w:t>23</w:t>
            </w:r>
          </w:p>
        </w:tc>
        <w:tc>
          <w:tcPr>
            <w:tcW w:w="4662" w:type="dxa"/>
          </w:tcPr>
          <w:p>
            <w:pPr>
              <w:pStyle w:val="TableParagraph"/>
              <w:spacing w:before="88"/>
              <w:ind w:left="64" w:right="190"/>
              <w:rPr>
                <w:sz w:val="22"/>
              </w:rPr>
            </w:pPr>
            <w:r>
              <w:rPr>
                <w:sz w:val="22"/>
              </w:rPr>
              <w:t>Los imaginarios urbanos y el constructivismo geográfico: los hologramas espaciales</w:t>
            </w:r>
          </w:p>
        </w:tc>
        <w:tc>
          <w:tcPr>
            <w:tcW w:w="941" w:type="dxa"/>
          </w:tcPr>
          <w:p>
            <w:pPr>
              <w:pStyle w:val="TableParagraph"/>
              <w:spacing w:before="9"/>
              <w:rPr>
                <w:b/>
                <w:sz w:val="29"/>
              </w:rPr>
            </w:pPr>
          </w:p>
          <w:p>
            <w:pPr>
              <w:pStyle w:val="TableParagraph"/>
              <w:ind w:left="174" w:right="176"/>
              <w:jc w:val="center"/>
              <w:rPr>
                <w:sz w:val="22"/>
              </w:rPr>
            </w:pPr>
            <w:r>
              <w:rPr>
                <w:sz w:val="22"/>
              </w:rPr>
              <w:t>12</w:t>
            </w:r>
          </w:p>
        </w:tc>
        <w:tc>
          <w:tcPr>
            <w:tcW w:w="1539" w:type="dxa"/>
          </w:tcPr>
          <w:p>
            <w:pPr>
              <w:pStyle w:val="TableParagraph"/>
              <w:spacing w:before="9"/>
              <w:rPr>
                <w:b/>
                <w:sz w:val="29"/>
              </w:rPr>
            </w:pPr>
          </w:p>
          <w:p>
            <w:pPr>
              <w:pStyle w:val="TableParagraph"/>
              <w:ind w:left="175" w:right="175"/>
              <w:jc w:val="center"/>
              <w:rPr>
                <w:sz w:val="22"/>
              </w:rPr>
            </w:pPr>
            <w:r>
              <w:rPr>
                <w:sz w:val="22"/>
              </w:rPr>
              <w:t>1.00</w:t>
            </w:r>
          </w:p>
        </w:tc>
      </w:tr>
      <w:tr>
        <w:trPr>
          <w:trHeight w:val="610" w:hRule="exact"/>
        </w:trPr>
        <w:tc>
          <w:tcPr>
            <w:tcW w:w="679" w:type="dxa"/>
          </w:tcPr>
          <w:p>
            <w:pPr>
              <w:pStyle w:val="TableParagraph"/>
              <w:spacing w:before="9"/>
              <w:rPr>
                <w:b/>
                <w:sz w:val="29"/>
              </w:rPr>
            </w:pPr>
          </w:p>
          <w:p>
            <w:pPr>
              <w:pStyle w:val="TableParagraph"/>
              <w:ind w:left="211"/>
              <w:rPr>
                <w:sz w:val="22"/>
              </w:rPr>
            </w:pPr>
            <w:r>
              <w:rPr>
                <w:sz w:val="22"/>
              </w:rPr>
              <w:t>24</w:t>
            </w:r>
          </w:p>
        </w:tc>
        <w:tc>
          <w:tcPr>
            <w:tcW w:w="4662" w:type="dxa"/>
          </w:tcPr>
          <w:p>
            <w:pPr>
              <w:pStyle w:val="TableParagraph"/>
              <w:spacing w:before="88"/>
              <w:ind w:left="64" w:right="263"/>
              <w:rPr>
                <w:sz w:val="22"/>
              </w:rPr>
            </w:pPr>
            <w:r>
              <w:rPr>
                <w:sz w:val="22"/>
              </w:rPr>
              <w:t>Ciudades-modelo: estrategias convergentes para su difusión internacional</w:t>
            </w:r>
          </w:p>
        </w:tc>
        <w:tc>
          <w:tcPr>
            <w:tcW w:w="941" w:type="dxa"/>
          </w:tcPr>
          <w:p>
            <w:pPr>
              <w:pStyle w:val="TableParagraph"/>
              <w:spacing w:before="9"/>
              <w:rPr>
                <w:b/>
                <w:sz w:val="29"/>
              </w:rPr>
            </w:pPr>
          </w:p>
          <w:p>
            <w:pPr>
              <w:pStyle w:val="TableParagraph"/>
              <w:ind w:left="174" w:right="176"/>
              <w:jc w:val="center"/>
              <w:rPr>
                <w:sz w:val="22"/>
              </w:rPr>
            </w:pPr>
            <w:r>
              <w:rPr>
                <w:sz w:val="22"/>
              </w:rPr>
              <w:t>12</w:t>
            </w:r>
          </w:p>
        </w:tc>
        <w:tc>
          <w:tcPr>
            <w:tcW w:w="1539" w:type="dxa"/>
          </w:tcPr>
          <w:p>
            <w:pPr>
              <w:pStyle w:val="TableParagraph"/>
              <w:spacing w:before="9"/>
              <w:rPr>
                <w:b/>
                <w:sz w:val="29"/>
              </w:rPr>
            </w:pPr>
          </w:p>
          <w:p>
            <w:pPr>
              <w:pStyle w:val="TableParagraph"/>
              <w:ind w:left="175" w:right="175"/>
              <w:jc w:val="center"/>
              <w:rPr>
                <w:sz w:val="22"/>
              </w:rPr>
            </w:pPr>
            <w:r>
              <w:rPr>
                <w:sz w:val="22"/>
              </w:rPr>
              <w:t>1.00</w:t>
            </w:r>
          </w:p>
        </w:tc>
      </w:tr>
      <w:tr>
        <w:trPr>
          <w:trHeight w:val="1023" w:hRule="exact"/>
        </w:trPr>
        <w:tc>
          <w:tcPr>
            <w:tcW w:w="679" w:type="dxa"/>
          </w:tcPr>
          <w:p>
            <w:pPr>
              <w:pStyle w:val="TableParagraph"/>
              <w:rPr>
                <w:b/>
                <w:sz w:val="22"/>
              </w:rPr>
            </w:pPr>
          </w:p>
          <w:p>
            <w:pPr>
              <w:pStyle w:val="TableParagraph"/>
              <w:rPr>
                <w:b/>
                <w:sz w:val="22"/>
              </w:rPr>
            </w:pPr>
          </w:p>
          <w:p>
            <w:pPr>
              <w:pStyle w:val="TableParagraph"/>
              <w:spacing w:before="6"/>
              <w:rPr>
                <w:b/>
                <w:sz w:val="21"/>
              </w:rPr>
            </w:pPr>
          </w:p>
          <w:p>
            <w:pPr>
              <w:pStyle w:val="TableParagraph"/>
              <w:ind w:left="211"/>
              <w:rPr>
                <w:sz w:val="22"/>
              </w:rPr>
            </w:pPr>
            <w:r>
              <w:rPr>
                <w:sz w:val="22"/>
              </w:rPr>
              <w:t>25</w:t>
            </w:r>
          </w:p>
        </w:tc>
        <w:tc>
          <w:tcPr>
            <w:tcW w:w="4662" w:type="dxa"/>
          </w:tcPr>
          <w:p>
            <w:pPr>
              <w:pStyle w:val="TableParagraph"/>
              <w:ind w:left="64" w:right="55"/>
              <w:rPr>
                <w:sz w:val="22"/>
              </w:rPr>
            </w:pPr>
            <w:r>
              <w:rPr>
                <w:sz w:val="22"/>
              </w:rPr>
              <w:t>Tendencias de desarrollo en las metrópolis latinoamericanas en la era de la globalización: los casos de Ciudad de México y Santiago de Chile</w:t>
            </w:r>
          </w:p>
        </w:tc>
        <w:tc>
          <w:tcPr>
            <w:tcW w:w="941" w:type="dxa"/>
          </w:tcPr>
          <w:p>
            <w:pPr>
              <w:pStyle w:val="TableParagraph"/>
              <w:rPr>
                <w:b/>
                <w:sz w:val="22"/>
              </w:rPr>
            </w:pPr>
          </w:p>
          <w:p>
            <w:pPr>
              <w:pStyle w:val="TableParagraph"/>
              <w:rPr>
                <w:b/>
                <w:sz w:val="22"/>
              </w:rPr>
            </w:pPr>
          </w:p>
          <w:p>
            <w:pPr>
              <w:pStyle w:val="TableParagraph"/>
              <w:spacing w:before="6"/>
              <w:rPr>
                <w:b/>
                <w:sz w:val="21"/>
              </w:rPr>
            </w:pPr>
          </w:p>
          <w:p>
            <w:pPr>
              <w:pStyle w:val="TableParagraph"/>
              <w:ind w:left="174" w:right="176"/>
              <w:jc w:val="center"/>
              <w:rPr>
                <w:sz w:val="22"/>
              </w:rPr>
            </w:pPr>
            <w:r>
              <w:rPr>
                <w:sz w:val="22"/>
              </w:rPr>
              <w:t>12</w:t>
            </w:r>
          </w:p>
        </w:tc>
        <w:tc>
          <w:tcPr>
            <w:tcW w:w="1539" w:type="dxa"/>
          </w:tcPr>
          <w:p>
            <w:pPr>
              <w:pStyle w:val="TableParagraph"/>
              <w:rPr>
                <w:b/>
                <w:sz w:val="22"/>
              </w:rPr>
            </w:pPr>
          </w:p>
          <w:p>
            <w:pPr>
              <w:pStyle w:val="TableParagraph"/>
              <w:rPr>
                <w:b/>
                <w:sz w:val="22"/>
              </w:rPr>
            </w:pPr>
          </w:p>
          <w:p>
            <w:pPr>
              <w:pStyle w:val="TableParagraph"/>
              <w:spacing w:before="6"/>
              <w:rPr>
                <w:b/>
                <w:sz w:val="21"/>
              </w:rPr>
            </w:pPr>
          </w:p>
          <w:p>
            <w:pPr>
              <w:pStyle w:val="TableParagraph"/>
              <w:ind w:left="175" w:right="175"/>
              <w:jc w:val="center"/>
              <w:rPr>
                <w:sz w:val="22"/>
              </w:rPr>
            </w:pPr>
            <w:r>
              <w:rPr>
                <w:sz w:val="22"/>
              </w:rPr>
              <w:t>1.00</w:t>
            </w:r>
          </w:p>
        </w:tc>
      </w:tr>
      <w:tr>
        <w:trPr>
          <w:trHeight w:val="910" w:hRule="exact"/>
        </w:trPr>
        <w:tc>
          <w:tcPr>
            <w:tcW w:w="679" w:type="dxa"/>
          </w:tcPr>
          <w:p>
            <w:pPr>
              <w:pStyle w:val="TableParagraph"/>
              <w:rPr>
                <w:b/>
                <w:sz w:val="22"/>
              </w:rPr>
            </w:pPr>
          </w:p>
          <w:p>
            <w:pPr>
              <w:pStyle w:val="TableParagraph"/>
              <w:rPr>
                <w:b/>
                <w:sz w:val="22"/>
              </w:rPr>
            </w:pPr>
          </w:p>
          <w:p>
            <w:pPr>
              <w:pStyle w:val="TableParagraph"/>
              <w:spacing w:before="137"/>
              <w:ind w:left="211"/>
              <w:rPr>
                <w:sz w:val="22"/>
              </w:rPr>
            </w:pPr>
            <w:r>
              <w:rPr>
                <w:sz w:val="22"/>
              </w:rPr>
              <w:t>26</w:t>
            </w:r>
          </w:p>
        </w:tc>
        <w:tc>
          <w:tcPr>
            <w:tcW w:w="4662" w:type="dxa"/>
          </w:tcPr>
          <w:p>
            <w:pPr>
              <w:pStyle w:val="TableParagraph"/>
              <w:spacing w:before="136"/>
              <w:ind w:left="64" w:right="214"/>
              <w:rPr>
                <w:sz w:val="22"/>
              </w:rPr>
            </w:pPr>
            <w:r>
              <w:rPr>
                <w:sz w:val="22"/>
              </w:rPr>
              <w:t>Globalización y desigualdades socioterritoriales: la expansión de la periferia metropolitana de Caracas</w:t>
            </w:r>
          </w:p>
        </w:tc>
        <w:tc>
          <w:tcPr>
            <w:tcW w:w="941" w:type="dxa"/>
          </w:tcPr>
          <w:p>
            <w:pPr>
              <w:pStyle w:val="TableParagraph"/>
              <w:rPr>
                <w:b/>
                <w:sz w:val="22"/>
              </w:rPr>
            </w:pPr>
          </w:p>
          <w:p>
            <w:pPr>
              <w:pStyle w:val="TableParagraph"/>
              <w:rPr>
                <w:b/>
                <w:sz w:val="22"/>
              </w:rPr>
            </w:pPr>
          </w:p>
          <w:p>
            <w:pPr>
              <w:pStyle w:val="TableParagraph"/>
              <w:spacing w:before="137"/>
              <w:ind w:left="174" w:right="176"/>
              <w:jc w:val="center"/>
              <w:rPr>
                <w:sz w:val="22"/>
              </w:rPr>
            </w:pPr>
            <w:r>
              <w:rPr>
                <w:sz w:val="22"/>
              </w:rPr>
              <w:t>12</w:t>
            </w:r>
          </w:p>
        </w:tc>
        <w:tc>
          <w:tcPr>
            <w:tcW w:w="1539" w:type="dxa"/>
          </w:tcPr>
          <w:p>
            <w:pPr>
              <w:pStyle w:val="TableParagraph"/>
              <w:rPr>
                <w:b/>
                <w:sz w:val="22"/>
              </w:rPr>
            </w:pPr>
          </w:p>
          <w:p>
            <w:pPr>
              <w:pStyle w:val="TableParagraph"/>
              <w:rPr>
                <w:b/>
                <w:sz w:val="22"/>
              </w:rPr>
            </w:pPr>
          </w:p>
          <w:p>
            <w:pPr>
              <w:pStyle w:val="TableParagraph"/>
              <w:spacing w:before="137"/>
              <w:ind w:left="175" w:right="175"/>
              <w:jc w:val="center"/>
              <w:rPr>
                <w:sz w:val="22"/>
              </w:rPr>
            </w:pPr>
            <w:r>
              <w:rPr>
                <w:sz w:val="22"/>
              </w:rPr>
              <w:t>1.00</w:t>
            </w:r>
          </w:p>
        </w:tc>
      </w:tr>
      <w:tr>
        <w:trPr>
          <w:trHeight w:val="910" w:hRule="exact"/>
        </w:trPr>
        <w:tc>
          <w:tcPr>
            <w:tcW w:w="679" w:type="dxa"/>
          </w:tcPr>
          <w:p>
            <w:pPr>
              <w:pStyle w:val="TableParagraph"/>
              <w:rPr>
                <w:b/>
                <w:sz w:val="22"/>
              </w:rPr>
            </w:pPr>
          </w:p>
          <w:p>
            <w:pPr>
              <w:pStyle w:val="TableParagraph"/>
              <w:rPr>
                <w:b/>
                <w:sz w:val="22"/>
              </w:rPr>
            </w:pPr>
          </w:p>
          <w:p>
            <w:pPr>
              <w:pStyle w:val="TableParagraph"/>
              <w:spacing w:before="137"/>
              <w:ind w:left="211"/>
              <w:rPr>
                <w:sz w:val="22"/>
              </w:rPr>
            </w:pPr>
            <w:r>
              <w:rPr>
                <w:sz w:val="22"/>
              </w:rPr>
              <w:t>27</w:t>
            </w:r>
          </w:p>
        </w:tc>
        <w:tc>
          <w:tcPr>
            <w:tcW w:w="4662" w:type="dxa"/>
          </w:tcPr>
          <w:p>
            <w:pPr>
              <w:pStyle w:val="TableParagraph"/>
              <w:spacing w:before="136"/>
              <w:ind w:left="64" w:right="458"/>
              <w:rPr>
                <w:sz w:val="22"/>
              </w:rPr>
            </w:pPr>
            <w:r>
              <w:rPr>
                <w:sz w:val="22"/>
              </w:rPr>
              <w:t>La formación de la ciudad global y el re- escalamiento del espacio del Estado en la Europa Occidental post-fordista</w:t>
            </w:r>
          </w:p>
        </w:tc>
        <w:tc>
          <w:tcPr>
            <w:tcW w:w="941" w:type="dxa"/>
          </w:tcPr>
          <w:p>
            <w:pPr>
              <w:pStyle w:val="TableParagraph"/>
              <w:rPr>
                <w:b/>
                <w:sz w:val="22"/>
              </w:rPr>
            </w:pPr>
          </w:p>
          <w:p>
            <w:pPr>
              <w:pStyle w:val="TableParagraph"/>
              <w:rPr>
                <w:b/>
                <w:sz w:val="22"/>
              </w:rPr>
            </w:pPr>
          </w:p>
          <w:p>
            <w:pPr>
              <w:pStyle w:val="TableParagraph"/>
              <w:spacing w:before="137"/>
              <w:ind w:left="174" w:right="176"/>
              <w:jc w:val="center"/>
              <w:rPr>
                <w:sz w:val="22"/>
              </w:rPr>
            </w:pPr>
            <w:r>
              <w:rPr>
                <w:sz w:val="22"/>
              </w:rPr>
              <w:t>12</w:t>
            </w:r>
          </w:p>
        </w:tc>
        <w:tc>
          <w:tcPr>
            <w:tcW w:w="1539" w:type="dxa"/>
          </w:tcPr>
          <w:p>
            <w:pPr>
              <w:pStyle w:val="TableParagraph"/>
              <w:rPr>
                <w:b/>
                <w:sz w:val="22"/>
              </w:rPr>
            </w:pPr>
          </w:p>
          <w:p>
            <w:pPr>
              <w:pStyle w:val="TableParagraph"/>
              <w:rPr>
                <w:b/>
                <w:sz w:val="22"/>
              </w:rPr>
            </w:pPr>
          </w:p>
          <w:p>
            <w:pPr>
              <w:pStyle w:val="TableParagraph"/>
              <w:spacing w:before="137"/>
              <w:ind w:left="175" w:right="175"/>
              <w:jc w:val="center"/>
              <w:rPr>
                <w:sz w:val="22"/>
              </w:rPr>
            </w:pPr>
            <w:r>
              <w:rPr>
                <w:sz w:val="22"/>
              </w:rPr>
              <w:t>1.00</w:t>
            </w:r>
          </w:p>
        </w:tc>
      </w:tr>
      <w:tr>
        <w:trPr>
          <w:trHeight w:val="1212" w:hRule="exact"/>
        </w:trPr>
        <w:tc>
          <w:tcPr>
            <w:tcW w:w="679" w:type="dxa"/>
          </w:tcPr>
          <w:p>
            <w:pPr>
              <w:pStyle w:val="TableParagraph"/>
              <w:rPr>
                <w:b/>
                <w:sz w:val="22"/>
              </w:rPr>
            </w:pPr>
          </w:p>
          <w:p>
            <w:pPr>
              <w:pStyle w:val="TableParagraph"/>
              <w:rPr>
                <w:b/>
                <w:sz w:val="22"/>
              </w:rPr>
            </w:pPr>
          </w:p>
          <w:p>
            <w:pPr>
              <w:pStyle w:val="TableParagraph"/>
              <w:rPr>
                <w:b/>
                <w:sz w:val="22"/>
              </w:rPr>
            </w:pPr>
          </w:p>
          <w:p>
            <w:pPr>
              <w:pStyle w:val="TableParagraph"/>
              <w:spacing w:before="183"/>
              <w:ind w:left="211"/>
              <w:rPr>
                <w:sz w:val="22"/>
              </w:rPr>
            </w:pPr>
            <w:r>
              <w:rPr>
                <w:sz w:val="22"/>
              </w:rPr>
              <w:t>28</w:t>
            </w:r>
          </w:p>
        </w:tc>
        <w:tc>
          <w:tcPr>
            <w:tcW w:w="4662" w:type="dxa"/>
          </w:tcPr>
          <w:p>
            <w:pPr>
              <w:pStyle w:val="TableParagraph"/>
              <w:spacing w:before="184"/>
              <w:ind w:left="64" w:right="128"/>
              <w:rPr>
                <w:sz w:val="22"/>
              </w:rPr>
            </w:pPr>
            <w:r>
              <w:rPr>
                <w:sz w:val="22"/>
              </w:rPr>
              <w:t>La zonificación y evaluación de los riesgos naturales de tipo geomorfológico: un instrumento para la planificación urbana en la ciudad de Concepción</w:t>
            </w:r>
          </w:p>
        </w:tc>
        <w:tc>
          <w:tcPr>
            <w:tcW w:w="941" w:type="dxa"/>
          </w:tcPr>
          <w:p>
            <w:pPr>
              <w:pStyle w:val="TableParagraph"/>
              <w:rPr>
                <w:b/>
                <w:sz w:val="22"/>
              </w:rPr>
            </w:pPr>
          </w:p>
          <w:p>
            <w:pPr>
              <w:pStyle w:val="TableParagraph"/>
              <w:rPr>
                <w:b/>
                <w:sz w:val="22"/>
              </w:rPr>
            </w:pPr>
          </w:p>
          <w:p>
            <w:pPr>
              <w:pStyle w:val="TableParagraph"/>
              <w:rPr>
                <w:b/>
                <w:sz w:val="22"/>
              </w:rPr>
            </w:pPr>
          </w:p>
          <w:p>
            <w:pPr>
              <w:pStyle w:val="TableParagraph"/>
              <w:spacing w:before="183"/>
              <w:ind w:left="174" w:right="176"/>
              <w:jc w:val="center"/>
              <w:rPr>
                <w:sz w:val="22"/>
              </w:rPr>
            </w:pPr>
            <w:r>
              <w:rPr>
                <w:sz w:val="22"/>
              </w:rPr>
              <w:t>12</w:t>
            </w:r>
          </w:p>
        </w:tc>
        <w:tc>
          <w:tcPr>
            <w:tcW w:w="1539" w:type="dxa"/>
          </w:tcPr>
          <w:p>
            <w:pPr>
              <w:pStyle w:val="TableParagraph"/>
              <w:rPr>
                <w:b/>
                <w:sz w:val="22"/>
              </w:rPr>
            </w:pPr>
          </w:p>
          <w:p>
            <w:pPr>
              <w:pStyle w:val="TableParagraph"/>
              <w:rPr>
                <w:b/>
                <w:sz w:val="22"/>
              </w:rPr>
            </w:pPr>
          </w:p>
          <w:p>
            <w:pPr>
              <w:pStyle w:val="TableParagraph"/>
              <w:rPr>
                <w:b/>
                <w:sz w:val="22"/>
              </w:rPr>
            </w:pPr>
          </w:p>
          <w:p>
            <w:pPr>
              <w:pStyle w:val="TableParagraph"/>
              <w:spacing w:before="183"/>
              <w:ind w:left="175" w:right="175"/>
              <w:jc w:val="center"/>
              <w:rPr>
                <w:sz w:val="22"/>
              </w:rPr>
            </w:pPr>
            <w:r>
              <w:rPr>
                <w:sz w:val="22"/>
              </w:rPr>
              <w:t>1.00</w:t>
            </w:r>
          </w:p>
        </w:tc>
      </w:tr>
    </w:tbl>
    <w:p>
      <w:pPr>
        <w:spacing w:after="0"/>
        <w:jc w:val="center"/>
        <w:rPr>
          <w:sz w:val="22"/>
        </w:rPr>
        <w:sectPr>
          <w:pgSz w:w="12240" w:h="15840"/>
          <w:pgMar w:header="0" w:footer="629" w:top="1420" w:bottom="820" w:left="1720" w:right="1580"/>
        </w:sectPr>
      </w:pPr>
    </w:p>
    <w:tbl>
      <w:tblPr>
        <w:tblW w:w="0" w:type="auto"/>
        <w:jc w:val="left"/>
        <w:tblInd w:w="6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9"/>
        <w:gridCol w:w="4662"/>
        <w:gridCol w:w="941"/>
        <w:gridCol w:w="1539"/>
      </w:tblGrid>
      <w:tr>
        <w:trPr>
          <w:trHeight w:val="770" w:hRule="exact"/>
        </w:trPr>
        <w:tc>
          <w:tcPr>
            <w:tcW w:w="679" w:type="dxa"/>
            <w:shd w:val="clear" w:color="auto" w:fill="808080"/>
          </w:tcPr>
          <w:p>
            <w:pPr/>
          </w:p>
        </w:tc>
        <w:tc>
          <w:tcPr>
            <w:tcW w:w="4662" w:type="dxa"/>
            <w:shd w:val="clear" w:color="auto" w:fill="808080"/>
          </w:tcPr>
          <w:p>
            <w:pPr>
              <w:pStyle w:val="TableParagraph"/>
              <w:rPr>
                <w:b/>
                <w:sz w:val="22"/>
              </w:rPr>
            </w:pPr>
          </w:p>
          <w:p>
            <w:pPr>
              <w:pStyle w:val="TableParagraph"/>
              <w:spacing w:before="3"/>
              <w:rPr>
                <w:b/>
                <w:sz w:val="21"/>
              </w:rPr>
            </w:pPr>
          </w:p>
          <w:p>
            <w:pPr>
              <w:pStyle w:val="TableParagraph"/>
              <w:ind w:left="1889" w:right="1891"/>
              <w:jc w:val="center"/>
              <w:rPr>
                <w:b/>
                <w:sz w:val="22"/>
              </w:rPr>
            </w:pPr>
            <w:r>
              <w:rPr>
                <w:b/>
                <w:color w:val="FFFFFF"/>
                <w:sz w:val="22"/>
              </w:rPr>
              <w:t>Artículo</w:t>
            </w:r>
          </w:p>
        </w:tc>
        <w:tc>
          <w:tcPr>
            <w:tcW w:w="941" w:type="dxa"/>
            <w:shd w:val="clear" w:color="auto" w:fill="808080"/>
          </w:tcPr>
          <w:p>
            <w:pPr>
              <w:pStyle w:val="TableParagraph"/>
              <w:rPr>
                <w:b/>
                <w:sz w:val="22"/>
              </w:rPr>
            </w:pPr>
          </w:p>
          <w:p>
            <w:pPr>
              <w:pStyle w:val="TableParagraph"/>
              <w:spacing w:before="3"/>
              <w:rPr>
                <w:b/>
                <w:sz w:val="21"/>
              </w:rPr>
            </w:pPr>
          </w:p>
          <w:p>
            <w:pPr>
              <w:pStyle w:val="TableParagraph"/>
              <w:ind w:left="176" w:right="176"/>
              <w:jc w:val="center"/>
              <w:rPr>
                <w:b/>
                <w:sz w:val="22"/>
              </w:rPr>
            </w:pPr>
            <w:r>
              <w:rPr>
                <w:b/>
                <w:color w:val="FFFFFF"/>
                <w:sz w:val="22"/>
              </w:rPr>
              <w:t>Citas</w:t>
            </w:r>
          </w:p>
        </w:tc>
        <w:tc>
          <w:tcPr>
            <w:tcW w:w="1539" w:type="dxa"/>
            <w:shd w:val="clear" w:color="auto" w:fill="808080"/>
          </w:tcPr>
          <w:p>
            <w:pPr>
              <w:pStyle w:val="TableParagraph"/>
              <w:ind w:left="175" w:right="176"/>
              <w:jc w:val="center"/>
              <w:rPr>
                <w:b/>
                <w:sz w:val="22"/>
              </w:rPr>
            </w:pPr>
            <w:r>
              <w:rPr>
                <w:b/>
                <w:color w:val="FFFFFF"/>
                <w:sz w:val="22"/>
              </w:rPr>
              <w:t>% respecto</w:t>
            </w:r>
            <w:r>
              <w:rPr>
                <w:b/>
                <w:color w:val="FFFFFF"/>
                <w:w w:val="100"/>
                <w:sz w:val="22"/>
              </w:rPr>
              <w:t> </w:t>
            </w:r>
            <w:r>
              <w:rPr>
                <w:b/>
                <w:color w:val="FFFFFF"/>
                <w:sz w:val="22"/>
              </w:rPr>
              <w:t>al total de citas</w:t>
            </w:r>
          </w:p>
        </w:tc>
      </w:tr>
      <w:tr>
        <w:trPr>
          <w:trHeight w:val="910" w:hRule="exact"/>
        </w:trPr>
        <w:tc>
          <w:tcPr>
            <w:tcW w:w="679" w:type="dxa"/>
          </w:tcPr>
          <w:p>
            <w:pPr>
              <w:pStyle w:val="TableParagraph"/>
              <w:rPr>
                <w:b/>
                <w:sz w:val="22"/>
              </w:rPr>
            </w:pPr>
          </w:p>
          <w:p>
            <w:pPr>
              <w:pStyle w:val="TableParagraph"/>
              <w:rPr>
                <w:b/>
                <w:sz w:val="22"/>
              </w:rPr>
            </w:pPr>
          </w:p>
          <w:p>
            <w:pPr>
              <w:pStyle w:val="TableParagraph"/>
              <w:spacing w:before="137"/>
              <w:ind w:left="211"/>
              <w:rPr>
                <w:sz w:val="22"/>
              </w:rPr>
            </w:pPr>
            <w:r>
              <w:rPr>
                <w:sz w:val="22"/>
              </w:rPr>
              <w:t>29</w:t>
            </w:r>
          </w:p>
        </w:tc>
        <w:tc>
          <w:tcPr>
            <w:tcW w:w="4662" w:type="dxa"/>
          </w:tcPr>
          <w:p>
            <w:pPr>
              <w:pStyle w:val="TableParagraph"/>
              <w:spacing w:before="136"/>
              <w:ind w:left="64" w:right="434"/>
              <w:rPr>
                <w:sz w:val="22"/>
              </w:rPr>
            </w:pPr>
            <w:r>
              <w:rPr>
                <w:sz w:val="22"/>
              </w:rPr>
              <w:t>Entre el Estado y el mercado: resonancias geográficas y sustentabilidad social en Santiago de Chile</w:t>
            </w:r>
          </w:p>
        </w:tc>
        <w:tc>
          <w:tcPr>
            <w:tcW w:w="941" w:type="dxa"/>
          </w:tcPr>
          <w:p>
            <w:pPr>
              <w:pStyle w:val="TableParagraph"/>
              <w:rPr>
                <w:b/>
                <w:sz w:val="22"/>
              </w:rPr>
            </w:pPr>
          </w:p>
          <w:p>
            <w:pPr>
              <w:pStyle w:val="TableParagraph"/>
              <w:rPr>
                <w:b/>
                <w:sz w:val="22"/>
              </w:rPr>
            </w:pPr>
          </w:p>
          <w:p>
            <w:pPr>
              <w:pStyle w:val="TableParagraph"/>
              <w:spacing w:before="137"/>
              <w:ind w:left="174" w:right="176"/>
              <w:jc w:val="center"/>
              <w:rPr>
                <w:sz w:val="22"/>
              </w:rPr>
            </w:pPr>
            <w:r>
              <w:rPr>
                <w:sz w:val="22"/>
              </w:rPr>
              <w:t>12</w:t>
            </w:r>
          </w:p>
        </w:tc>
        <w:tc>
          <w:tcPr>
            <w:tcW w:w="1539" w:type="dxa"/>
          </w:tcPr>
          <w:p>
            <w:pPr>
              <w:pStyle w:val="TableParagraph"/>
              <w:rPr>
                <w:b/>
                <w:sz w:val="22"/>
              </w:rPr>
            </w:pPr>
          </w:p>
          <w:p>
            <w:pPr>
              <w:pStyle w:val="TableParagraph"/>
              <w:rPr>
                <w:b/>
                <w:sz w:val="22"/>
              </w:rPr>
            </w:pPr>
          </w:p>
          <w:p>
            <w:pPr>
              <w:pStyle w:val="TableParagraph"/>
              <w:spacing w:before="137"/>
              <w:ind w:left="175" w:right="175"/>
              <w:jc w:val="center"/>
              <w:rPr>
                <w:sz w:val="22"/>
              </w:rPr>
            </w:pPr>
            <w:r>
              <w:rPr>
                <w:sz w:val="22"/>
              </w:rPr>
              <w:t>1.00</w:t>
            </w:r>
          </w:p>
        </w:tc>
      </w:tr>
      <w:tr>
        <w:trPr>
          <w:trHeight w:val="610" w:hRule="exact"/>
        </w:trPr>
        <w:tc>
          <w:tcPr>
            <w:tcW w:w="679" w:type="dxa"/>
          </w:tcPr>
          <w:p>
            <w:pPr>
              <w:pStyle w:val="TableParagraph"/>
              <w:spacing w:before="9"/>
              <w:rPr>
                <w:b/>
                <w:sz w:val="29"/>
              </w:rPr>
            </w:pPr>
          </w:p>
          <w:p>
            <w:pPr>
              <w:pStyle w:val="TableParagraph"/>
              <w:ind w:left="211"/>
              <w:rPr>
                <w:sz w:val="22"/>
              </w:rPr>
            </w:pPr>
            <w:r>
              <w:rPr>
                <w:sz w:val="22"/>
              </w:rPr>
              <w:t>30</w:t>
            </w:r>
          </w:p>
        </w:tc>
        <w:tc>
          <w:tcPr>
            <w:tcW w:w="4662" w:type="dxa"/>
          </w:tcPr>
          <w:p>
            <w:pPr>
              <w:pStyle w:val="TableParagraph"/>
              <w:spacing w:before="88"/>
              <w:ind w:left="64" w:right="948"/>
              <w:rPr>
                <w:sz w:val="22"/>
              </w:rPr>
            </w:pPr>
            <w:r>
              <w:rPr>
                <w:sz w:val="22"/>
              </w:rPr>
              <w:t>El territorio de las nuevas economías metropolitanas</w:t>
            </w:r>
          </w:p>
        </w:tc>
        <w:tc>
          <w:tcPr>
            <w:tcW w:w="941" w:type="dxa"/>
          </w:tcPr>
          <w:p>
            <w:pPr>
              <w:pStyle w:val="TableParagraph"/>
              <w:spacing w:before="9"/>
              <w:rPr>
                <w:b/>
                <w:sz w:val="29"/>
              </w:rPr>
            </w:pPr>
          </w:p>
          <w:p>
            <w:pPr>
              <w:pStyle w:val="TableParagraph"/>
              <w:ind w:left="174" w:right="176"/>
              <w:jc w:val="center"/>
              <w:rPr>
                <w:sz w:val="22"/>
              </w:rPr>
            </w:pPr>
            <w:r>
              <w:rPr>
                <w:sz w:val="22"/>
              </w:rPr>
              <w:t>11</w:t>
            </w:r>
          </w:p>
        </w:tc>
        <w:tc>
          <w:tcPr>
            <w:tcW w:w="1539" w:type="dxa"/>
          </w:tcPr>
          <w:p>
            <w:pPr>
              <w:pStyle w:val="TableParagraph"/>
              <w:spacing w:before="9"/>
              <w:rPr>
                <w:b/>
                <w:sz w:val="29"/>
              </w:rPr>
            </w:pPr>
          </w:p>
          <w:p>
            <w:pPr>
              <w:pStyle w:val="TableParagraph"/>
              <w:ind w:left="175" w:right="175"/>
              <w:jc w:val="center"/>
              <w:rPr>
                <w:sz w:val="22"/>
              </w:rPr>
            </w:pPr>
            <w:r>
              <w:rPr>
                <w:sz w:val="22"/>
              </w:rPr>
              <w:t>0.91</w:t>
            </w:r>
          </w:p>
        </w:tc>
      </w:tr>
      <w:tr>
        <w:trPr>
          <w:trHeight w:val="310" w:hRule="exact"/>
        </w:trPr>
        <w:tc>
          <w:tcPr>
            <w:tcW w:w="679" w:type="dxa"/>
            <w:shd w:val="clear" w:color="auto" w:fill="808080"/>
          </w:tcPr>
          <w:p>
            <w:pPr/>
          </w:p>
        </w:tc>
        <w:tc>
          <w:tcPr>
            <w:tcW w:w="4662" w:type="dxa"/>
            <w:shd w:val="clear" w:color="auto" w:fill="808080"/>
          </w:tcPr>
          <w:p>
            <w:pPr>
              <w:pStyle w:val="TableParagraph"/>
              <w:spacing w:before="43"/>
              <w:ind w:left="64" w:right="165"/>
              <w:rPr>
                <w:sz w:val="22"/>
              </w:rPr>
            </w:pPr>
            <w:r>
              <w:rPr>
                <w:color w:val="FFFFFF"/>
                <w:sz w:val="22"/>
              </w:rPr>
              <w:t>Total</w:t>
            </w:r>
          </w:p>
        </w:tc>
        <w:tc>
          <w:tcPr>
            <w:tcW w:w="941" w:type="dxa"/>
            <w:shd w:val="clear" w:color="auto" w:fill="808080"/>
          </w:tcPr>
          <w:p>
            <w:pPr>
              <w:pStyle w:val="TableParagraph"/>
              <w:spacing w:before="43"/>
              <w:ind w:left="176" w:right="176"/>
              <w:jc w:val="center"/>
              <w:rPr>
                <w:sz w:val="22"/>
              </w:rPr>
            </w:pPr>
            <w:r>
              <w:rPr>
                <w:color w:val="FFFFFF"/>
                <w:sz w:val="22"/>
              </w:rPr>
              <w:t>603</w:t>
            </w:r>
          </w:p>
        </w:tc>
        <w:tc>
          <w:tcPr>
            <w:tcW w:w="1539" w:type="dxa"/>
            <w:shd w:val="clear" w:color="auto" w:fill="808080"/>
          </w:tcPr>
          <w:p>
            <w:pPr>
              <w:pStyle w:val="TableParagraph"/>
              <w:spacing w:before="43"/>
              <w:ind w:left="175" w:right="173"/>
              <w:jc w:val="center"/>
              <w:rPr>
                <w:sz w:val="22"/>
              </w:rPr>
            </w:pPr>
            <w:r>
              <w:rPr>
                <w:color w:val="FFFFFF"/>
                <w:sz w:val="22"/>
              </w:rPr>
              <w:t>50.87</w:t>
            </w:r>
          </w:p>
        </w:tc>
      </w:tr>
    </w:tbl>
    <w:p>
      <w:pPr>
        <w:spacing w:line="224" w:lineRule="exact" w:before="0"/>
        <w:ind w:left="102" w:right="0" w:firstLine="0"/>
        <w:jc w:val="both"/>
        <w:rPr>
          <w:sz w:val="20"/>
        </w:rPr>
      </w:pPr>
      <w:r>
        <w:rPr>
          <w:sz w:val="20"/>
        </w:rPr>
        <w:t>Fuente: Elaboración a partir de datos ISI de 2015</w:t>
      </w:r>
    </w:p>
    <w:p>
      <w:pPr>
        <w:pStyle w:val="BodyText"/>
        <w:rPr>
          <w:sz w:val="20"/>
        </w:rPr>
      </w:pPr>
    </w:p>
    <w:p>
      <w:pPr>
        <w:pStyle w:val="BodyText"/>
        <w:spacing w:before="3"/>
        <w:rPr>
          <w:sz w:val="26"/>
        </w:rPr>
      </w:pPr>
    </w:p>
    <w:p>
      <w:pPr>
        <w:pStyle w:val="BodyText"/>
        <w:spacing w:line="360" w:lineRule="auto"/>
        <w:ind w:left="102" w:right="116"/>
        <w:jc w:val="both"/>
      </w:pPr>
      <w:r>
        <w:rPr/>
        <w:t>Destacan los artículos Segregación residencial en las principales ciudades  chilenas Tendencias de las tres últimas décadas y posibles cursos de acción y El nuevo modelo de la ciudad latinoamericana: fragmentación y privatización porque hasta 2015 habían obtenido 63 y 53 citas respectivamente; en 2013 estos artículos tenían 37 y 26 citas por lo que en ese año también se mantenían como los dos primeros artículos más</w:t>
      </w:r>
      <w:r>
        <w:rPr>
          <w:spacing w:val="-13"/>
        </w:rPr>
        <w:t> </w:t>
      </w:r>
      <w:r>
        <w:rPr/>
        <w:t>citados.</w:t>
      </w:r>
    </w:p>
    <w:p>
      <w:pPr>
        <w:pStyle w:val="BodyText"/>
      </w:pPr>
    </w:p>
    <w:p>
      <w:pPr>
        <w:pStyle w:val="BodyText"/>
        <w:spacing w:before="142"/>
        <w:ind w:left="102"/>
        <w:jc w:val="both"/>
      </w:pPr>
      <w:r>
        <w:rPr/>
        <w:t>Los artículos con más de 20 citas están</w:t>
      </w:r>
    </w:p>
    <w:p>
      <w:pPr>
        <w:pStyle w:val="BodyText"/>
      </w:pPr>
    </w:p>
    <w:p>
      <w:pPr>
        <w:pStyle w:val="BodyText"/>
      </w:pPr>
    </w:p>
    <w:p>
      <w:pPr>
        <w:pStyle w:val="ListParagraph"/>
        <w:numPr>
          <w:ilvl w:val="1"/>
          <w:numId w:val="15"/>
        </w:numPr>
        <w:tabs>
          <w:tab w:pos="821" w:val="left" w:leader="none"/>
          <w:tab w:pos="822" w:val="left" w:leader="none"/>
        </w:tabs>
        <w:spacing w:line="240" w:lineRule="auto" w:before="0" w:after="0"/>
        <w:ind w:left="822" w:right="0" w:hanging="360"/>
        <w:jc w:val="left"/>
        <w:rPr>
          <w:sz w:val="24"/>
        </w:rPr>
      </w:pPr>
      <w:r>
        <w:rPr>
          <w:sz w:val="24"/>
        </w:rPr>
        <w:t>Cómo modelar el desarrollo y la dinámica de la ciudad</w:t>
      </w:r>
      <w:r>
        <w:rPr>
          <w:spacing w:val="-25"/>
          <w:sz w:val="24"/>
        </w:rPr>
        <w:t> </w:t>
      </w:r>
      <w:r>
        <w:rPr>
          <w:sz w:val="24"/>
        </w:rPr>
        <w:t>latinoamericana</w:t>
      </w:r>
    </w:p>
    <w:p>
      <w:pPr>
        <w:pStyle w:val="ListParagraph"/>
        <w:numPr>
          <w:ilvl w:val="1"/>
          <w:numId w:val="15"/>
        </w:numPr>
        <w:tabs>
          <w:tab w:pos="821" w:val="left" w:leader="none"/>
          <w:tab w:pos="822" w:val="left" w:leader="none"/>
        </w:tabs>
        <w:spacing w:line="352" w:lineRule="auto" w:before="135" w:after="0"/>
        <w:ind w:left="822" w:right="540" w:hanging="360"/>
        <w:jc w:val="left"/>
        <w:rPr>
          <w:sz w:val="24"/>
        </w:rPr>
      </w:pPr>
      <w:r>
        <w:rPr>
          <w:sz w:val="24"/>
        </w:rPr>
        <w:t>Reforma de los mercados de suelo en Santiago, Chile: efectos sobre</w:t>
      </w:r>
      <w:r>
        <w:rPr>
          <w:spacing w:val="-23"/>
          <w:sz w:val="24"/>
        </w:rPr>
        <w:t> </w:t>
      </w:r>
      <w:r>
        <w:rPr>
          <w:sz w:val="24"/>
        </w:rPr>
        <w:t>los precios de la tierra y la segregación</w:t>
      </w:r>
      <w:r>
        <w:rPr>
          <w:spacing w:val="-14"/>
          <w:sz w:val="24"/>
        </w:rPr>
        <w:t> </w:t>
      </w:r>
      <w:r>
        <w:rPr>
          <w:sz w:val="24"/>
        </w:rPr>
        <w:t>residencial</w:t>
      </w:r>
    </w:p>
    <w:p>
      <w:pPr>
        <w:pStyle w:val="ListParagraph"/>
        <w:numPr>
          <w:ilvl w:val="1"/>
          <w:numId w:val="15"/>
        </w:numPr>
        <w:tabs>
          <w:tab w:pos="821" w:val="left" w:leader="none"/>
          <w:tab w:pos="822" w:val="left" w:leader="none"/>
        </w:tabs>
        <w:spacing w:line="350" w:lineRule="auto" w:before="11" w:after="0"/>
        <w:ind w:left="822" w:right="706" w:hanging="360"/>
        <w:jc w:val="left"/>
        <w:rPr>
          <w:sz w:val="24"/>
        </w:rPr>
      </w:pPr>
      <w:r>
        <w:rPr>
          <w:sz w:val="24"/>
        </w:rPr>
        <w:t>De los pequeños condominios a la ciudad vallada: las urbanizaciones cerradas y la nueva geografía social en Santiago de Chile</w:t>
      </w:r>
      <w:r>
        <w:rPr>
          <w:spacing w:val="-20"/>
          <w:sz w:val="24"/>
        </w:rPr>
        <w:t> </w:t>
      </w:r>
      <w:r>
        <w:rPr>
          <w:sz w:val="24"/>
        </w:rPr>
        <w:t>(1990-2000)</w:t>
      </w:r>
    </w:p>
    <w:p>
      <w:pPr>
        <w:pStyle w:val="ListParagraph"/>
        <w:numPr>
          <w:ilvl w:val="1"/>
          <w:numId w:val="15"/>
        </w:numPr>
        <w:tabs>
          <w:tab w:pos="821" w:val="left" w:leader="none"/>
          <w:tab w:pos="822" w:val="left" w:leader="none"/>
        </w:tabs>
        <w:spacing w:line="240" w:lineRule="auto" w:before="16" w:after="0"/>
        <w:ind w:left="822" w:right="0" w:hanging="360"/>
        <w:jc w:val="left"/>
        <w:rPr>
          <w:sz w:val="24"/>
        </w:rPr>
      </w:pPr>
      <w:r>
        <w:rPr>
          <w:sz w:val="24"/>
        </w:rPr>
        <w:t>Innovación y desarrollo territorial:  algunos debates teóricos</w:t>
      </w:r>
      <w:r>
        <w:rPr>
          <w:spacing w:val="-32"/>
          <w:sz w:val="24"/>
        </w:rPr>
        <w:t> </w:t>
      </w:r>
      <w:r>
        <w:rPr>
          <w:sz w:val="24"/>
        </w:rPr>
        <w:t>recientes</w:t>
      </w:r>
    </w:p>
    <w:p>
      <w:pPr>
        <w:pStyle w:val="ListParagraph"/>
        <w:numPr>
          <w:ilvl w:val="1"/>
          <w:numId w:val="15"/>
        </w:numPr>
        <w:tabs>
          <w:tab w:pos="821" w:val="left" w:leader="none"/>
          <w:tab w:pos="822" w:val="left" w:leader="none"/>
        </w:tabs>
        <w:spacing w:line="350" w:lineRule="auto" w:before="136" w:after="0"/>
        <w:ind w:left="822" w:right="1116" w:hanging="360"/>
        <w:jc w:val="left"/>
        <w:rPr>
          <w:sz w:val="24"/>
        </w:rPr>
      </w:pPr>
      <w:r>
        <w:rPr>
          <w:sz w:val="24"/>
        </w:rPr>
        <w:t>Transformación de las ciudades latinoamericanas. ¿Impactos de</w:t>
      </w:r>
      <w:r>
        <w:rPr>
          <w:spacing w:val="-25"/>
          <w:sz w:val="24"/>
        </w:rPr>
        <w:t> </w:t>
      </w:r>
      <w:r>
        <w:rPr>
          <w:sz w:val="24"/>
        </w:rPr>
        <w:t>la globalización?</w:t>
      </w:r>
    </w:p>
    <w:p>
      <w:pPr>
        <w:pStyle w:val="ListParagraph"/>
        <w:numPr>
          <w:ilvl w:val="1"/>
          <w:numId w:val="15"/>
        </w:numPr>
        <w:tabs>
          <w:tab w:pos="821" w:val="left" w:leader="none"/>
          <w:tab w:pos="822" w:val="left" w:leader="none"/>
        </w:tabs>
        <w:spacing w:line="240" w:lineRule="auto" w:before="16" w:after="0"/>
        <w:ind w:left="822" w:right="0" w:hanging="360"/>
        <w:jc w:val="left"/>
        <w:rPr>
          <w:sz w:val="24"/>
        </w:rPr>
      </w:pPr>
      <w:r>
        <w:rPr>
          <w:sz w:val="24"/>
        </w:rPr>
        <w:t>Cambios socioterritoriales en Buenos Aires durante la década de</w:t>
      </w:r>
      <w:r>
        <w:rPr>
          <w:spacing w:val="-26"/>
          <w:sz w:val="24"/>
        </w:rPr>
        <w:t> </w:t>
      </w:r>
      <w:r>
        <w:rPr>
          <w:sz w:val="24"/>
        </w:rPr>
        <w:t>1990</w:t>
      </w:r>
    </w:p>
    <w:p>
      <w:pPr>
        <w:pStyle w:val="ListParagraph"/>
        <w:numPr>
          <w:ilvl w:val="1"/>
          <w:numId w:val="15"/>
        </w:numPr>
        <w:tabs>
          <w:tab w:pos="821" w:val="left" w:leader="none"/>
          <w:tab w:pos="822" w:val="left" w:leader="none"/>
        </w:tabs>
        <w:spacing w:line="240" w:lineRule="auto" w:before="135" w:after="0"/>
        <w:ind w:left="822" w:right="0" w:hanging="360"/>
        <w:jc w:val="left"/>
        <w:rPr>
          <w:sz w:val="24"/>
        </w:rPr>
      </w:pPr>
      <w:r>
        <w:rPr>
          <w:sz w:val="24"/>
        </w:rPr>
        <w:t>La conmutación regional en Chile y su impacto en la Región de</w:t>
      </w:r>
      <w:r>
        <w:rPr>
          <w:spacing w:val="-24"/>
          <w:sz w:val="24"/>
        </w:rPr>
        <w:t> </w:t>
      </w:r>
      <w:r>
        <w:rPr>
          <w:sz w:val="24"/>
        </w:rPr>
        <w:t>Antofagasta</w:t>
      </w:r>
    </w:p>
    <w:p>
      <w:pPr>
        <w:pStyle w:val="BodyText"/>
      </w:pPr>
    </w:p>
    <w:p>
      <w:pPr>
        <w:pStyle w:val="BodyText"/>
        <w:spacing w:before="9"/>
        <w:rPr>
          <w:sz w:val="23"/>
        </w:rPr>
      </w:pPr>
    </w:p>
    <w:p>
      <w:pPr>
        <w:pStyle w:val="BodyText"/>
        <w:spacing w:line="360" w:lineRule="auto"/>
        <w:ind w:left="102" w:right="124"/>
        <w:jc w:val="both"/>
      </w:pPr>
      <w:r>
        <w:rPr/>
        <w:t>Al igual que los dos primeros artículos con mayor cantidad de citas, hay una consolidación como los principales temas dentro de la investigación urbana que se presenta en la revista Eure, esto a partir del incremento de citas y permanencia en</w:t>
      </w:r>
    </w:p>
    <w:p>
      <w:pPr>
        <w:spacing w:after="0" w:line="360" w:lineRule="auto"/>
        <w:jc w:val="both"/>
        <w:sectPr>
          <w:pgSz w:w="12240" w:h="15840"/>
          <w:pgMar w:header="0" w:footer="629" w:top="1420" w:bottom="820" w:left="1600" w:right="1580"/>
        </w:sectPr>
      </w:pPr>
    </w:p>
    <w:p>
      <w:pPr>
        <w:pStyle w:val="BodyText"/>
        <w:spacing w:line="360" w:lineRule="auto" w:before="54"/>
        <w:ind w:left="122" w:right="124"/>
        <w:jc w:val="both"/>
      </w:pPr>
      <w:r>
        <w:rPr/>
        <w:t>los primeros lugares de la clasificación que obtuvieron de 2013 a 2015, la siguiente gráfica nos muestra este comportamiento (el número en el  X corresponde al número del artículo en la tabla de los 30 artículos más</w:t>
      </w:r>
      <w:r>
        <w:rPr>
          <w:spacing w:val="-27"/>
        </w:rPr>
        <w:t> </w:t>
      </w:r>
      <w:r>
        <w:rPr/>
        <w:t>citados.</w:t>
      </w:r>
    </w:p>
    <w:p>
      <w:pPr>
        <w:pStyle w:val="BodyText"/>
      </w:pPr>
    </w:p>
    <w:p>
      <w:pPr>
        <w:pStyle w:val="BodyText"/>
        <w:spacing w:line="360" w:lineRule="auto" w:before="142"/>
        <w:ind w:left="122" w:right="127"/>
        <w:jc w:val="both"/>
      </w:pPr>
      <w:r>
        <w:rPr/>
        <w:t>La permanencia de los temas y sobre todo el incremento de citas, el cual se realizó de 2013 a la fecha, nos muestra los temas preferidos dentro de la investigación urbana</w:t>
      </w:r>
      <w:r>
        <w:rPr>
          <w:spacing w:val="-12"/>
        </w:rPr>
        <w:t> </w:t>
      </w:r>
      <w:r>
        <w:rPr/>
        <w:t>latinoamericana.</w:t>
      </w:r>
    </w:p>
    <w:p>
      <w:pPr>
        <w:pStyle w:val="BodyText"/>
      </w:pPr>
    </w:p>
    <w:p>
      <w:pPr>
        <w:pStyle w:val="Heading1"/>
        <w:spacing w:before="140"/>
        <w:ind w:left="2385" w:right="2385"/>
      </w:pPr>
      <w:r>
        <w:rPr/>
        <w:t>Figura 16</w:t>
      </w:r>
    </w:p>
    <w:p>
      <w:pPr>
        <w:pStyle w:val="Heading1"/>
        <w:ind w:left="2385" w:right="2382"/>
      </w:pPr>
      <w:r>
        <w:rPr/>
        <w:pict>
          <v:group style="position:absolute;margin-left:84.675003pt;margin-top:27.420881pt;width:442.65pt;height:280.55pt;mso-position-horizontal-relative:page;mso-position-vertical-relative:paragraph;z-index:-398248" coordorigin="1694,548" coordsize="8853,5611">
            <v:shape style="position:absolute;left:7954;top:4590;width:932;height:2" coordorigin="7954,4590" coordsize="932,0" path="m8782,4590l8885,4590m8575,4590l8678,4590m8369,4590l8472,4590m8162,4590l8266,4590m7954,4590l8057,4590e" filled="false" stroked="true" strokeweight=".72pt" strokecolor="#858585">
              <v:path arrowok="t"/>
            </v:shape>
            <v:rect style="position:absolute;left:7954;top:4655;width:103;height:571" filled="true" fillcolor="#4f81bc" stroked="false">
              <v:fill type="solid"/>
            </v:rect>
            <v:shape style="position:absolute;left:5477;top:4590;width:2374;height:2" coordorigin="5477,4590" coordsize="2374,0" path="m7747,4590l7850,4590m7541,4590l7644,4590m7334,4590l7438,4590m7128,4590l7231,4590m6922,4590l7025,4590m6715,4590l6818,4590m6509,4590l6612,4590m6302,4590l6406,4590m6096,4590l6199,4590m5890,4590l5993,4590m5683,4590l5786,4590m5477,4590l5580,4590e" filled="false" stroked="true" strokeweight=".72pt" strokecolor="#858585">
              <v:path arrowok="t"/>
            </v:shape>
            <v:rect style="position:absolute;left:5477;top:4590;width:103;height:636" filled="true" fillcolor="#4f81bc" stroked="false">
              <v:fill type="solid"/>
            </v:rect>
            <v:shape style="position:absolute;left:2791;top:1412;width:6197;height:3178" coordorigin="2791,1412" coordsize="6197,3178" path="m5270,4590l5374,4590m5062,4590l5167,4590m4649,4590l4752,4590m4442,4590l4546,4590m4030,4590l4133,4590m3410,4590l3514,4590m3410,3956l3514,3956m3204,3956l3307,3956m3204,3320l3307,3320m2998,3320l3101,3320m2998,2684l3101,2684m2791,2684l2894,2684m2998,2048l3101,2048m2791,2048l2894,2048m2998,1412l8988,1412m2791,1412l2894,1412e" filled="false" stroked="true" strokeweight=".72pt" strokecolor="#858585">
              <v:path arrowok="t"/>
            </v:shape>
            <v:shape style="position:absolute;left:2791;top:2874;width:310;height:2352" coordorigin="2791,2874" coordsize="310,2352" path="m2894,2874l2791,2874,2791,5226,2894,5226,2894,2874m3101,3575l2998,3575,2998,5226,3101,5226,3101,3575e" filled="true" fillcolor="#4f81bc" stroked="false">
              <v:path arrowok="t"/>
              <v:fill type="solid"/>
            </v:shape>
            <v:rect style="position:absolute;left:2894;top:1223;width:103;height:4003" filled="true" fillcolor="#c0504d" stroked="false">
              <v:fill type="solid"/>
            </v:rect>
            <v:shape style="position:absolute;left:3204;top:2048;width:5784;height:636" coordorigin="3204,2048" coordsize="5784,636" path="m3204,2684l3307,2684m3204,2048l8988,2048e" filled="false" stroked="true" strokeweight=".72pt" strokecolor="#858585">
              <v:path arrowok="t"/>
            </v:shape>
            <v:rect style="position:absolute;left:3204;top:4335;width:103;height:890" filled="true" fillcolor="#4f81bc" stroked="false">
              <v:fill type="solid"/>
            </v:rect>
            <v:rect style="position:absolute;left:3101;top:1859;width:103;height:3367" filled="true" fillcolor="#c0504d" stroked="false">
              <v:fill type="solid"/>
            </v:rect>
            <v:shape style="position:absolute;left:3410;top:2684;width:5578;height:636" coordorigin="3410,2684" coordsize="5578,636" path="m3410,3320l3514,3320m3410,2684l8988,2684e" filled="false" stroked="true" strokeweight=".72pt" strokecolor="#858585">
              <v:path arrowok="t"/>
            </v:shape>
            <v:rect style="position:absolute;left:3307;top:2240;width:103;height:2986" filled="true" fillcolor="#c0504d" stroked="false">
              <v:fill type="solid"/>
            </v:rect>
            <v:shape style="position:absolute;left:3617;top:3320;width:5372;height:636" coordorigin="3617,3320" coordsize="5372,636" path="m3617,3956l3720,3956m3617,3320l8988,3320e" filled="false" stroked="true" strokeweight=".72pt" strokecolor="#858585">
              <v:path arrowok="t"/>
            </v:shape>
            <v:rect style="position:absolute;left:3617;top:4208;width:103;height:1018" filled="true" fillcolor="#4f81bc" stroked="false">
              <v:fill type="solid"/>
            </v:rect>
            <v:rect style="position:absolute;left:3514;top:3255;width:103;height:1970" filled="true" fillcolor="#c0504d" stroked="false">
              <v:fill type="solid"/>
            </v:rect>
            <v:line style="position:absolute" from="3823,3956" to="3926,3956" stroked="true" strokeweight=".72pt" strokecolor="#858585"/>
            <v:rect style="position:absolute;left:3823;top:4400;width:103;height:826" filled="true" fillcolor="#4f81bc" stroked="false">
              <v:fill type="solid"/>
            </v:rect>
            <v:rect style="position:absolute;left:3720;top:3575;width:103;height:1651" filled="true" fillcolor="#c0504d" stroked="false">
              <v:fill type="solid"/>
            </v:rect>
            <v:line style="position:absolute" from="4030,3956" to="4133,3956" stroked="true" strokeweight=".72pt" strokecolor="#858585"/>
            <v:rect style="position:absolute;left:3926;top:3575;width:103;height:1651" filled="true" fillcolor="#c0504d" stroked="false">
              <v:fill type="solid"/>
            </v:rect>
            <v:line style="position:absolute" from="4236,3956" to="4339,3956" stroked="true" strokeweight=".72pt" strokecolor="#858585"/>
            <v:rect style="position:absolute;left:4236;top:4273;width:103;height:953" filled="true" fillcolor="#4f81bc" stroked="false">
              <v:fill type="solid"/>
            </v:rect>
            <v:rect style="position:absolute;left:4133;top:3637;width:103;height:1589" filled="true" fillcolor="#c0504d" stroked="false">
              <v:fill type="solid"/>
            </v:rect>
            <v:line style="position:absolute" from="4442,3956" to="4546,3956" stroked="true" strokeweight=".72pt" strokecolor="#858585"/>
            <v:rect style="position:absolute;left:4442;top:4844;width:103;height:382" filled="true" fillcolor="#4f81bc" stroked="false">
              <v:fill type="solid"/>
            </v:rect>
            <v:rect style="position:absolute;left:4339;top:3764;width:103;height:1462" filled="true" fillcolor="#c0504d" stroked="false">
              <v:fill type="solid"/>
            </v:rect>
            <v:line style="position:absolute" from="4649,3956" to="8988,3956" stroked="true" strokeweight=".72pt" strokecolor="#858585"/>
            <v:rect style="position:absolute;left:4546;top:3891;width:103;height:1334" filled="true" fillcolor="#c0504d" stroked="false">
              <v:fill type="solid"/>
            </v:rect>
            <v:rect style="position:absolute;left:4855;top:4527;width:103;height:698" filled="true" fillcolor="#4f81bc" stroked="false">
              <v:fill type="solid"/>
            </v:rect>
            <v:shape style="position:absolute;left:4752;top:4083;width:310;height:1143" coordorigin="4752,4083" coordsize="310,1143" path="m4855,4083l4752,4083,4752,5226,4855,5226,4855,4083m5062,4083l4958,4083,4958,5226,5062,5226,5062,4083e" filled="true" fillcolor="#c0504d" stroked="false">
              <v:path arrowok="t"/>
              <v:fill type="solid"/>
            </v:shape>
            <v:rect style="position:absolute;left:5270;top:4782;width:103;height:444" filled="true" fillcolor="#4f81bc" stroked="false">
              <v:fill type="solid"/>
            </v:rect>
            <v:shape style="position:absolute;left:5167;top:4208;width:310;height:1018" coordorigin="5167,4208" coordsize="310,1018" path="m5270,4208l5167,4208,5167,5226,5270,5226,5270,4208m5477,4273l5374,4273,5374,5226,5477,5226,5477,4273e" filled="true" fillcolor="#c0504d" stroked="false">
              <v:path arrowok="t"/>
              <v:fill type="solid"/>
            </v:shape>
            <v:rect style="position:absolute;left:5683;top:4844;width:103;height:382" filled="true" fillcolor="#4f81bc" stroked="false">
              <v:fill type="solid"/>
            </v:rect>
            <v:rect style="position:absolute;left:5580;top:4273;width:103;height:953" filled="true" fillcolor="#c0504d" stroked="false">
              <v:fill type="solid"/>
            </v:rect>
            <v:rect style="position:absolute;left:5890;top:4717;width:103;height:509" filled="true" fillcolor="#4f81bc" stroked="false">
              <v:fill type="solid"/>
            </v:rect>
            <v:rect style="position:absolute;left:5786;top:4273;width:103;height:953" filled="true" fillcolor="#c0504d" stroked="false">
              <v:fill type="solid"/>
            </v:rect>
            <v:rect style="position:absolute;left:6096;top:4844;width:103;height:382" filled="true" fillcolor="#4f81bc" stroked="false">
              <v:fill type="solid"/>
            </v:rect>
            <v:rect style="position:absolute;left:5993;top:4273;width:103;height:953" filled="true" fillcolor="#c0504d" stroked="false">
              <v:fill type="solid"/>
            </v:rect>
            <v:rect style="position:absolute;left:6302;top:4782;width:103;height:444" filled="true" fillcolor="#4f81bc" stroked="false">
              <v:fill type="solid"/>
            </v:rect>
            <v:shape style="position:absolute;left:6199;top:4335;width:310;height:891" coordorigin="6199,4335" coordsize="310,891" path="m6302,4335l6199,4335,6199,5226,6302,5226,6302,4335m6509,4335l6406,4335,6406,5226,6509,5226,6509,4335e" filled="true" fillcolor="#c0504d" stroked="false">
              <v:path arrowok="t"/>
              <v:fill type="solid"/>
            </v:shape>
            <v:rect style="position:absolute;left:6715;top:4844;width:103;height:382" filled="true" fillcolor="#4f81bc" stroked="false">
              <v:fill type="solid"/>
            </v:rect>
            <v:shape style="position:absolute;left:6612;top:4335;width:1342;height:891" coordorigin="6612,4335" coordsize="1342,891" path="m6715,4335l6612,4335,6612,5226,6715,5226,6715,4335m6922,4400l6818,4400,6818,5226,6922,5226,6922,4400m7128,4400l7025,4400,7025,5226,7128,5226,7128,4400m7334,4400l7231,4400,7231,5226,7334,5226,7334,4400m7541,4463l7438,4463,7438,5226,7541,5226,7541,4463m7747,4463l7644,4463,7644,5226,7747,5226,7747,4463m7954,4463l7850,4463,7850,5226,7954,5226,7954,4463e" filled="true" fillcolor="#c0504d" stroked="false">
              <v:path arrowok="t"/>
              <v:fill type="solid"/>
            </v:shape>
            <v:rect style="position:absolute;left:8162;top:4782;width:103;height:444" filled="true" fillcolor="#4f81bc" stroked="false">
              <v:fill type="solid"/>
            </v:rect>
            <v:rect style="position:absolute;left:8057;top:4463;width:106;height:763" filled="true" fillcolor="#c0504d" stroked="false">
              <v:fill type="solid"/>
            </v:rect>
            <v:rect style="position:absolute;left:8369;top:4844;width:103;height:382" filled="true" fillcolor="#4f81bc" stroked="false">
              <v:fill type="solid"/>
            </v:rect>
            <v:shape style="position:absolute;left:8266;top:4463;width:310;height:764" coordorigin="8266,4463" coordsize="310,764" path="m8369,4463l8266,4463,8266,5226,8369,5226,8369,4463m8575,4463l8472,4463,8472,5226,8575,5226,8575,4463e" filled="true" fillcolor="#c0504d" stroked="false">
              <v:path arrowok="t"/>
              <v:fill type="solid"/>
            </v:shape>
            <v:rect style="position:absolute;left:8782;top:4782;width:103;height:444" filled="true" fillcolor="#4f81bc" stroked="false">
              <v:fill type="solid"/>
            </v:rect>
            <v:shape style="position:absolute;left:8678;top:4463;width:310;height:764" coordorigin="8678,4463" coordsize="310,764" path="m8782,4463l8678,4463,8678,5226,8782,5226,8782,4463m8988,4527l8885,4527,8885,5226,8988,5226,8988,4527e" filled="true" fillcolor="#c0504d" stroked="false">
              <v:path arrowok="t"/>
              <v:fill type="solid"/>
            </v:shape>
            <v:shape style="position:absolute;left:2726;top:779;width:6262;height:4448" coordorigin="2726,779" coordsize="6262,4448" path="m2791,779l8988,779m2791,5226l2791,779m2726,5226l2791,5226m2726,4590l2791,4590m2726,3956l2791,3956m2726,3320l2791,3320m2726,2684l2791,2684m2726,2048l2791,2048m2726,1412l2791,1412m2726,779l2791,779m2791,5226l8988,5226e" filled="false" stroked="true" strokeweight=".72pt" strokecolor="#858585">
              <v:path arrowok="t"/>
            </v:shape>
            <v:rect style="position:absolute;left:9307;top:3119;width:110;height:108" filled="true" fillcolor="#4f81bc" stroked="false">
              <v:fill type="solid"/>
            </v:rect>
            <v:rect style="position:absolute;left:9307;top:3479;width:110;height:110" filled="true" fillcolor="#c0504d" stroked="false">
              <v:fill type="solid"/>
            </v:rect>
            <v:rect style="position:absolute;left:1701;top:556;width:8838;height:5596" filled="false" stroked="true" strokeweight=".75pt" strokecolor="#858585"/>
            <v:shape style="position:absolute;left:2402;top:68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70</w:t>
                    </w:r>
                  </w:p>
                </w:txbxContent>
              </v:textbox>
              <w10:wrap type="none"/>
            </v:shape>
            <v:shape style="position:absolute;left:2402;top:1322;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2402;top:195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2402;top:259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2402;top:322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9466;top:3082;width:872;height:561" type="#_x0000_t202" filled="false" stroked="false">
              <v:textbox inset="0,0,0,0">
                <w:txbxContent>
                  <w:p>
                    <w:pPr>
                      <w:spacing w:line="203" w:lineRule="exact" w:before="0"/>
                      <w:ind w:left="0" w:right="0" w:firstLine="0"/>
                      <w:jc w:val="left"/>
                      <w:rPr>
                        <w:rFonts w:ascii="Calibri"/>
                        <w:sz w:val="20"/>
                      </w:rPr>
                    </w:pPr>
                    <w:r>
                      <w:rPr>
                        <w:rFonts w:ascii="Calibri"/>
                        <w:w w:val="95"/>
                        <w:sz w:val="20"/>
                      </w:rPr>
                      <w:t>2001-2013</w:t>
                    </w:r>
                  </w:p>
                  <w:p>
                    <w:pPr>
                      <w:spacing w:line="240" w:lineRule="exact" w:before="117"/>
                      <w:ind w:left="0" w:right="0" w:firstLine="0"/>
                      <w:jc w:val="left"/>
                      <w:rPr>
                        <w:rFonts w:ascii="Calibri"/>
                        <w:sz w:val="20"/>
                      </w:rPr>
                    </w:pPr>
                    <w:r>
                      <w:rPr>
                        <w:rFonts w:ascii="Calibri"/>
                        <w:w w:val="95"/>
                        <w:sz w:val="20"/>
                      </w:rPr>
                      <w:t>2001-2015</w:t>
                    </w:r>
                  </w:p>
                </w:txbxContent>
              </v:textbox>
              <w10:wrap type="none"/>
            </v:shape>
            <v:shape style="position:absolute;left:2402;top:386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2402;top:450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2504;top:513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2843;top:5396;width:6143;height:504" type="#_x0000_t202" filled="false" stroked="false">
              <v:textbox inset="0,0,0,0">
                <w:txbxContent>
                  <w:p>
                    <w:pPr>
                      <w:spacing w:line="203" w:lineRule="exact" w:before="0"/>
                      <w:ind w:left="14" w:right="14" w:firstLine="0"/>
                      <w:jc w:val="center"/>
                      <w:rPr>
                        <w:rFonts w:ascii="Calibri"/>
                        <w:sz w:val="20"/>
                      </w:rPr>
                    </w:pPr>
                    <w:r>
                      <w:rPr>
                        <w:rFonts w:ascii="Calibri"/>
                        <w:sz w:val="20"/>
                      </w:rPr>
                      <w:t>1  2  3  4  5  6  7  8     9 101112131415161718192021222324252627282930</w:t>
                    </w:r>
                  </w:p>
                  <w:p>
                    <w:pPr>
                      <w:spacing w:line="240" w:lineRule="exact" w:before="60"/>
                      <w:ind w:left="14" w:right="63" w:firstLine="0"/>
                      <w:jc w:val="center"/>
                      <w:rPr>
                        <w:rFonts w:ascii="Calibri" w:hAnsi="Calibri"/>
                        <w:b/>
                        <w:sz w:val="20"/>
                      </w:rPr>
                    </w:pPr>
                    <w:r>
                      <w:rPr>
                        <w:rFonts w:ascii="Calibri" w:hAnsi="Calibri"/>
                        <w:b/>
                        <w:sz w:val="20"/>
                      </w:rPr>
                      <w:t>Artículos más citados 2001-2015</w:t>
                    </w:r>
                  </w:p>
                </w:txbxContent>
              </v:textbox>
              <w10:wrap type="none"/>
            </v:shape>
            <w10:wrap type="none"/>
          </v:group>
        </w:pict>
      </w:r>
      <w:r>
        <w:rPr/>
        <w:pict>
          <v:shape style="position:absolute;margin-left:99.830002pt;margin-top:133.175751pt;width:18pt;height:34.050pt;mso-position-horizontal-relative:page;mso-position-vertical-relative:paragraph;z-index:3880" type="#_x0000_t202" filled="false" stroked="false">
            <v:textbox inset="0,0,0,0" style="layout-flow:vertical;mso-layout-flow-alt:bottom-to-top">
              <w:txbxContent>
                <w:p>
                  <w:pPr>
                    <w:spacing w:line="345" w:lineRule="exact" w:before="0"/>
                    <w:ind w:left="20" w:right="-318" w:firstLine="0"/>
                    <w:jc w:val="left"/>
                    <w:rPr>
                      <w:rFonts w:ascii="Calibri"/>
                      <w:b/>
                      <w:sz w:val="32"/>
                    </w:rPr>
                  </w:pPr>
                  <w:r>
                    <w:rPr>
                      <w:rFonts w:ascii="Calibri"/>
                      <w:b/>
                      <w:spacing w:val="-1"/>
                      <w:w w:val="99"/>
                      <w:sz w:val="32"/>
                    </w:rPr>
                    <w:t>Ci</w:t>
                  </w:r>
                  <w:r>
                    <w:rPr>
                      <w:rFonts w:ascii="Calibri"/>
                      <w:b/>
                      <w:spacing w:val="-3"/>
                      <w:w w:val="99"/>
                      <w:sz w:val="32"/>
                    </w:rPr>
                    <w:t>t</w:t>
                  </w:r>
                  <w:r>
                    <w:rPr>
                      <w:rFonts w:ascii="Calibri"/>
                      <w:b/>
                      <w:w w:val="99"/>
                      <w:sz w:val="32"/>
                    </w:rPr>
                    <w:t>as</w:t>
                  </w:r>
                </w:p>
              </w:txbxContent>
            </v:textbox>
            <w10:wrap type="none"/>
          </v:shape>
        </w:pict>
      </w:r>
      <w:r>
        <w:rPr/>
        <w:t>30 artículos más citados de 2015 Incremento de citas de 2013 a 2015</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3"/>
        <w:rPr>
          <w:b/>
          <w:sz w:val="32"/>
        </w:rPr>
      </w:pPr>
    </w:p>
    <w:p>
      <w:pPr>
        <w:pStyle w:val="BodyText"/>
        <w:spacing w:line="360" w:lineRule="auto"/>
        <w:ind w:left="122" w:right="126"/>
        <w:jc w:val="both"/>
      </w:pPr>
      <w:r>
        <w:rPr/>
        <w:t>De los 212 artículos citados podemos hacer una clasificación respecto a su temática, de esta forma obtenemos la siguiente clasificación,</w:t>
      </w:r>
    </w:p>
    <w:p>
      <w:pPr>
        <w:pStyle w:val="BodyText"/>
      </w:pPr>
    </w:p>
    <w:p>
      <w:pPr>
        <w:pStyle w:val="BodyText"/>
        <w:spacing w:before="139"/>
        <w:ind w:left="122" w:right="126"/>
        <w:jc w:val="both"/>
      </w:pPr>
      <w:r>
        <w:rPr/>
        <w:t>La primera categoría corresponde a los temas de segregación urbana y como ejemplo podemos mencionar a los artículos:</w:t>
      </w:r>
    </w:p>
    <w:p>
      <w:pPr>
        <w:spacing w:after="0"/>
        <w:jc w:val="both"/>
        <w:sectPr>
          <w:pgSz w:w="12240" w:h="15840"/>
          <w:pgMar w:header="0" w:footer="629" w:top="1360" w:bottom="880" w:left="1580" w:right="1580"/>
        </w:sectPr>
      </w:pPr>
    </w:p>
    <w:p>
      <w:pPr>
        <w:pStyle w:val="ListParagraph"/>
        <w:numPr>
          <w:ilvl w:val="1"/>
          <w:numId w:val="15"/>
        </w:numPr>
        <w:tabs>
          <w:tab w:pos="821" w:val="left" w:leader="none"/>
          <w:tab w:pos="822" w:val="left" w:leader="none"/>
        </w:tabs>
        <w:spacing w:line="352" w:lineRule="auto" w:before="35" w:after="0"/>
        <w:ind w:left="822" w:right="124" w:hanging="360"/>
        <w:jc w:val="left"/>
        <w:rPr>
          <w:sz w:val="24"/>
        </w:rPr>
      </w:pPr>
      <w:r>
        <w:rPr>
          <w:sz w:val="24"/>
        </w:rPr>
        <w:t>Segregación residencial en las principales ciudades chilenas Tendencias de las tres últimas décadas y posibles cursos de</w:t>
      </w:r>
      <w:r>
        <w:rPr>
          <w:spacing w:val="-6"/>
          <w:sz w:val="24"/>
        </w:rPr>
        <w:t> </w:t>
      </w:r>
      <w:r>
        <w:rPr>
          <w:sz w:val="24"/>
        </w:rPr>
        <w:t>acción.</w:t>
      </w:r>
    </w:p>
    <w:p>
      <w:pPr>
        <w:pStyle w:val="ListParagraph"/>
        <w:numPr>
          <w:ilvl w:val="1"/>
          <w:numId w:val="15"/>
        </w:numPr>
        <w:tabs>
          <w:tab w:pos="821" w:val="left" w:leader="none"/>
          <w:tab w:pos="822" w:val="left" w:leader="none"/>
          <w:tab w:pos="1272" w:val="left" w:leader="none"/>
          <w:tab w:pos="2164" w:val="left" w:leader="none"/>
          <w:tab w:pos="3185" w:val="left" w:leader="none"/>
          <w:tab w:pos="3691" w:val="left" w:leader="none"/>
          <w:tab w:pos="4115" w:val="left" w:leader="none"/>
          <w:tab w:pos="5060" w:val="left" w:leader="none"/>
          <w:tab w:pos="7055" w:val="left" w:leader="none"/>
          <w:tab w:pos="8813" w:val="left" w:leader="none"/>
        </w:tabs>
        <w:spacing w:line="350" w:lineRule="auto" w:before="11" w:after="0"/>
        <w:ind w:left="822" w:right="124" w:hanging="360"/>
        <w:jc w:val="left"/>
        <w:rPr>
          <w:sz w:val="24"/>
        </w:rPr>
      </w:pPr>
      <w:r>
        <w:rPr>
          <w:sz w:val="24"/>
        </w:rPr>
        <w:t>El</w:t>
        <w:tab/>
        <w:t>nuevo</w:t>
        <w:tab/>
        <w:t>modelo</w:t>
        <w:tab/>
        <w:t>de</w:t>
        <w:tab/>
        <w:t>la</w:t>
        <w:tab/>
        <w:t>ciudad</w:t>
        <w:tab/>
        <w:t>latinoamericana:</w:t>
        <w:tab/>
        <w:t>fragmentación</w:t>
        <w:tab/>
        <w:t>y privatización (Janoschka,</w:t>
      </w:r>
      <w:r>
        <w:rPr>
          <w:spacing w:val="-11"/>
          <w:sz w:val="24"/>
        </w:rPr>
        <w:t> </w:t>
      </w:r>
      <w:r>
        <w:rPr>
          <w:sz w:val="24"/>
        </w:rPr>
        <w:t>M).</w:t>
      </w:r>
    </w:p>
    <w:p>
      <w:pPr>
        <w:pStyle w:val="ListParagraph"/>
        <w:numPr>
          <w:ilvl w:val="1"/>
          <w:numId w:val="15"/>
        </w:numPr>
        <w:tabs>
          <w:tab w:pos="821" w:val="left" w:leader="none"/>
          <w:tab w:pos="822" w:val="left" w:leader="none"/>
        </w:tabs>
        <w:spacing w:line="350" w:lineRule="auto" w:before="16" w:after="0"/>
        <w:ind w:left="822" w:right="124" w:hanging="360"/>
        <w:jc w:val="left"/>
        <w:rPr>
          <w:sz w:val="24"/>
        </w:rPr>
      </w:pPr>
      <w:r>
        <w:rPr>
          <w:sz w:val="24"/>
        </w:rPr>
        <w:t>Reforma de los mercados de suelo en Santiago, Chile: efectos sobre los precios de la tierra y la segregación</w:t>
      </w:r>
      <w:r>
        <w:rPr>
          <w:spacing w:val="-10"/>
          <w:sz w:val="24"/>
        </w:rPr>
        <w:t> </w:t>
      </w:r>
      <w:r>
        <w:rPr>
          <w:sz w:val="24"/>
        </w:rPr>
        <w:t>residencial.</w:t>
      </w:r>
    </w:p>
    <w:p>
      <w:pPr>
        <w:pStyle w:val="ListParagraph"/>
        <w:numPr>
          <w:ilvl w:val="1"/>
          <w:numId w:val="15"/>
        </w:numPr>
        <w:tabs>
          <w:tab w:pos="821" w:val="left" w:leader="none"/>
          <w:tab w:pos="822" w:val="left" w:leader="none"/>
        </w:tabs>
        <w:spacing w:line="350" w:lineRule="auto" w:before="16" w:after="0"/>
        <w:ind w:left="822" w:right="124" w:hanging="360"/>
        <w:jc w:val="left"/>
        <w:rPr>
          <w:sz w:val="24"/>
        </w:rPr>
      </w:pPr>
      <w:r>
        <w:rPr>
          <w:sz w:val="24"/>
        </w:rPr>
        <w:t>De los pequeños condominios a la ciudad vallada: las urbanizaciones cerradas y la nueva geografía social en Santiago de Chile</w:t>
      </w:r>
      <w:r>
        <w:rPr>
          <w:spacing w:val="-17"/>
          <w:sz w:val="24"/>
        </w:rPr>
        <w:t> </w:t>
      </w:r>
      <w:r>
        <w:rPr>
          <w:sz w:val="24"/>
        </w:rPr>
        <w:t>(1990-2000).</w:t>
      </w:r>
    </w:p>
    <w:p>
      <w:pPr>
        <w:pStyle w:val="ListParagraph"/>
        <w:numPr>
          <w:ilvl w:val="1"/>
          <w:numId w:val="15"/>
        </w:numPr>
        <w:tabs>
          <w:tab w:pos="821" w:val="left" w:leader="none"/>
          <w:tab w:pos="822" w:val="left" w:leader="none"/>
        </w:tabs>
        <w:spacing w:line="240" w:lineRule="auto" w:before="14" w:after="0"/>
        <w:ind w:left="822" w:right="0" w:hanging="360"/>
        <w:jc w:val="left"/>
        <w:rPr>
          <w:sz w:val="24"/>
        </w:rPr>
      </w:pPr>
      <w:r>
        <w:rPr>
          <w:sz w:val="24"/>
        </w:rPr>
        <w:t>Cambios socioterritoriales en Buenos Aires durante la década de</w:t>
      </w:r>
      <w:r>
        <w:rPr>
          <w:spacing w:val="-18"/>
          <w:sz w:val="24"/>
        </w:rPr>
        <w:t> </w:t>
      </w:r>
      <w:r>
        <w:rPr>
          <w:sz w:val="24"/>
        </w:rPr>
        <w:t>1990.</w:t>
      </w:r>
    </w:p>
    <w:p>
      <w:pPr>
        <w:pStyle w:val="ListParagraph"/>
        <w:numPr>
          <w:ilvl w:val="1"/>
          <w:numId w:val="15"/>
        </w:numPr>
        <w:tabs>
          <w:tab w:pos="821" w:val="left" w:leader="none"/>
          <w:tab w:pos="822" w:val="left" w:leader="none"/>
        </w:tabs>
        <w:spacing w:line="240" w:lineRule="auto" w:before="135" w:after="0"/>
        <w:ind w:left="822" w:right="0" w:hanging="360"/>
        <w:jc w:val="left"/>
        <w:rPr>
          <w:sz w:val="24"/>
        </w:rPr>
      </w:pPr>
      <w:r>
        <w:rPr>
          <w:sz w:val="24"/>
        </w:rPr>
        <w:t>Cómo modelar el desarrollo y la dinámica de la ciudad</w:t>
      </w:r>
      <w:r>
        <w:rPr>
          <w:spacing w:val="-20"/>
          <w:sz w:val="24"/>
        </w:rPr>
        <w:t> </w:t>
      </w:r>
      <w:r>
        <w:rPr>
          <w:sz w:val="24"/>
        </w:rPr>
        <w:t>latinoamericana.</w:t>
      </w:r>
    </w:p>
    <w:p>
      <w:pPr>
        <w:pStyle w:val="ListParagraph"/>
        <w:numPr>
          <w:ilvl w:val="1"/>
          <w:numId w:val="15"/>
        </w:numPr>
        <w:tabs>
          <w:tab w:pos="821" w:val="left" w:leader="none"/>
          <w:tab w:pos="822" w:val="left" w:leader="none"/>
        </w:tabs>
        <w:spacing w:line="240" w:lineRule="auto" w:before="138" w:after="0"/>
        <w:ind w:left="822" w:right="0" w:hanging="360"/>
        <w:jc w:val="left"/>
        <w:rPr>
          <w:sz w:val="24"/>
        </w:rPr>
      </w:pPr>
      <w:r>
        <w:rPr>
          <w:sz w:val="24"/>
        </w:rPr>
        <w:t>Innovación y desarrollo territorial:  algunos debates teóricos</w:t>
      </w:r>
      <w:r>
        <w:rPr>
          <w:spacing w:val="-24"/>
          <w:sz w:val="24"/>
        </w:rPr>
        <w:t> </w:t>
      </w:r>
      <w:r>
        <w:rPr>
          <w:sz w:val="24"/>
        </w:rPr>
        <w:t>recientes.</w:t>
      </w:r>
    </w:p>
    <w:p>
      <w:pPr>
        <w:pStyle w:val="ListParagraph"/>
        <w:numPr>
          <w:ilvl w:val="1"/>
          <w:numId w:val="15"/>
        </w:numPr>
        <w:tabs>
          <w:tab w:pos="821" w:val="left" w:leader="none"/>
          <w:tab w:pos="822" w:val="left" w:leader="none"/>
        </w:tabs>
        <w:spacing w:line="350" w:lineRule="auto" w:before="135" w:after="0"/>
        <w:ind w:left="822" w:right="123" w:hanging="360"/>
        <w:jc w:val="left"/>
        <w:rPr>
          <w:sz w:val="24"/>
        </w:rPr>
      </w:pPr>
      <w:r>
        <w:rPr>
          <w:sz w:val="24"/>
        </w:rPr>
        <w:t>Cambio en los patrones de crecimiento en una ciudad intermedia: el caso  de Chillán en Chile</w:t>
      </w:r>
      <w:r>
        <w:rPr>
          <w:spacing w:val="-6"/>
          <w:sz w:val="24"/>
        </w:rPr>
        <w:t> </w:t>
      </w:r>
      <w:r>
        <w:rPr>
          <w:sz w:val="24"/>
        </w:rPr>
        <w:t>Central.</w:t>
      </w:r>
    </w:p>
    <w:p>
      <w:pPr>
        <w:pStyle w:val="ListParagraph"/>
        <w:numPr>
          <w:ilvl w:val="1"/>
          <w:numId w:val="15"/>
        </w:numPr>
        <w:tabs>
          <w:tab w:pos="821" w:val="left" w:leader="none"/>
          <w:tab w:pos="822" w:val="left" w:leader="none"/>
        </w:tabs>
        <w:spacing w:line="240" w:lineRule="auto" w:before="16" w:after="0"/>
        <w:ind w:left="822" w:right="0" w:hanging="360"/>
        <w:jc w:val="left"/>
        <w:rPr>
          <w:sz w:val="24"/>
        </w:rPr>
      </w:pPr>
      <w:r>
        <w:rPr>
          <w:sz w:val="24"/>
        </w:rPr>
        <w:t>La segregación, los guetos y la integración social urbana: mitos y</w:t>
      </w:r>
      <w:r>
        <w:rPr>
          <w:spacing w:val="-18"/>
          <w:sz w:val="24"/>
        </w:rPr>
        <w:t> </w:t>
      </w:r>
      <w:r>
        <w:rPr>
          <w:sz w:val="24"/>
        </w:rPr>
        <w:t>claves.</w:t>
      </w:r>
    </w:p>
    <w:p>
      <w:pPr>
        <w:pStyle w:val="ListParagraph"/>
        <w:numPr>
          <w:ilvl w:val="1"/>
          <w:numId w:val="15"/>
        </w:numPr>
        <w:tabs>
          <w:tab w:pos="821" w:val="left" w:leader="none"/>
          <w:tab w:pos="822" w:val="left" w:leader="none"/>
        </w:tabs>
        <w:spacing w:line="350" w:lineRule="auto" w:before="135" w:after="0"/>
        <w:ind w:left="822" w:right="126" w:hanging="360"/>
        <w:jc w:val="left"/>
        <w:rPr>
          <w:sz w:val="24"/>
        </w:rPr>
      </w:pPr>
      <w:r>
        <w:rPr>
          <w:sz w:val="24"/>
        </w:rPr>
        <w:t>Dispersión urbana y nuevos desafíos para la gobernanza (metropolitana) en América Latina: el caso de Santiago de</w:t>
      </w:r>
      <w:r>
        <w:rPr>
          <w:spacing w:val="-15"/>
          <w:sz w:val="24"/>
        </w:rPr>
        <w:t> </w:t>
      </w:r>
      <w:r>
        <w:rPr>
          <w:sz w:val="24"/>
        </w:rPr>
        <w:t>Chile.</w:t>
      </w:r>
    </w:p>
    <w:p>
      <w:pPr>
        <w:pStyle w:val="BodyText"/>
        <w:spacing w:before="4"/>
        <w:rPr>
          <w:sz w:val="25"/>
        </w:rPr>
      </w:pPr>
    </w:p>
    <w:p>
      <w:pPr>
        <w:pStyle w:val="BodyText"/>
        <w:spacing w:line="360" w:lineRule="auto"/>
        <w:ind w:left="102"/>
      </w:pPr>
      <w:r>
        <w:rPr/>
        <w:t>En la segunda categoría están los artículos sobre los temas de globalización y cambios territoriales:</w:t>
      </w:r>
    </w:p>
    <w:p>
      <w:pPr>
        <w:pStyle w:val="BodyText"/>
      </w:pPr>
    </w:p>
    <w:p>
      <w:pPr>
        <w:pStyle w:val="ListParagraph"/>
        <w:numPr>
          <w:ilvl w:val="1"/>
          <w:numId w:val="15"/>
        </w:numPr>
        <w:tabs>
          <w:tab w:pos="821" w:val="left" w:leader="none"/>
          <w:tab w:pos="822" w:val="left" w:leader="none"/>
          <w:tab w:pos="2721" w:val="left" w:leader="none"/>
          <w:tab w:pos="3222" w:val="left" w:leader="none"/>
          <w:tab w:pos="3759" w:val="left" w:leader="none"/>
          <w:tab w:pos="4953" w:val="left" w:leader="none"/>
          <w:tab w:pos="8254" w:val="left" w:leader="none"/>
          <w:tab w:pos="8755" w:val="left" w:leader="none"/>
        </w:tabs>
        <w:spacing w:line="350" w:lineRule="auto" w:before="142" w:after="0"/>
        <w:ind w:left="822" w:right="118" w:hanging="360"/>
        <w:jc w:val="left"/>
        <w:rPr>
          <w:sz w:val="24"/>
        </w:rPr>
      </w:pPr>
      <w:r>
        <w:rPr>
          <w:sz w:val="24"/>
        </w:rPr>
        <w:t>Transformación</w:t>
        <w:tab/>
        <w:t>de</w:t>
        <w:tab/>
        <w:t>las</w:t>
        <w:tab/>
        <w:t>ciudades</w:t>
        <w:tab/>
        <w:t>latinoamericanas.</w:t>
      </w:r>
      <w:r>
        <w:rPr>
          <w:spacing w:val="2"/>
          <w:sz w:val="24"/>
        </w:rPr>
        <w:t> </w:t>
      </w:r>
      <w:r>
        <w:rPr>
          <w:sz w:val="24"/>
        </w:rPr>
        <w:t>¿Impactos</w:t>
        <w:tab/>
        <w:t>de</w:t>
        <w:tab/>
      </w:r>
      <w:r>
        <w:rPr>
          <w:spacing w:val="-1"/>
          <w:sz w:val="24"/>
        </w:rPr>
        <w:t>la </w:t>
      </w:r>
      <w:r>
        <w:rPr>
          <w:sz w:val="24"/>
        </w:rPr>
        <w:t>globalización?</w:t>
      </w:r>
    </w:p>
    <w:p>
      <w:pPr>
        <w:pStyle w:val="ListParagraph"/>
        <w:numPr>
          <w:ilvl w:val="1"/>
          <w:numId w:val="15"/>
        </w:numPr>
        <w:tabs>
          <w:tab w:pos="821" w:val="left" w:leader="none"/>
          <w:tab w:pos="822" w:val="left" w:leader="none"/>
        </w:tabs>
        <w:spacing w:line="350" w:lineRule="auto" w:before="16" w:after="0"/>
        <w:ind w:left="822" w:right="119" w:hanging="360"/>
        <w:jc w:val="left"/>
        <w:rPr>
          <w:sz w:val="24"/>
        </w:rPr>
      </w:pPr>
      <w:r>
        <w:rPr>
          <w:sz w:val="24"/>
        </w:rPr>
        <w:t>Tendencias de desarrollo en las metrópolis latinoamericanas en la era de la globalización: los casos de Ciudad de México y Santiago de</w:t>
      </w:r>
      <w:r>
        <w:rPr>
          <w:spacing w:val="-17"/>
          <w:sz w:val="24"/>
        </w:rPr>
        <w:t> </w:t>
      </w:r>
      <w:r>
        <w:rPr>
          <w:sz w:val="24"/>
        </w:rPr>
        <w:t>Chile.</w:t>
      </w:r>
    </w:p>
    <w:p>
      <w:pPr>
        <w:pStyle w:val="ListParagraph"/>
        <w:numPr>
          <w:ilvl w:val="1"/>
          <w:numId w:val="15"/>
        </w:numPr>
        <w:tabs>
          <w:tab w:pos="821" w:val="left" w:leader="none"/>
          <w:tab w:pos="822" w:val="left" w:leader="none"/>
        </w:tabs>
        <w:spacing w:line="240" w:lineRule="auto" w:before="14" w:after="0"/>
        <w:ind w:left="822" w:right="0" w:hanging="360"/>
        <w:jc w:val="left"/>
        <w:rPr>
          <w:sz w:val="24"/>
        </w:rPr>
      </w:pPr>
      <w:r>
        <w:rPr>
          <w:sz w:val="24"/>
        </w:rPr>
        <w:t>Dimensión metropolitana de la globalización: Lima a fines del siglo</w:t>
      </w:r>
      <w:r>
        <w:rPr>
          <w:spacing w:val="-21"/>
          <w:sz w:val="24"/>
        </w:rPr>
        <w:t> </w:t>
      </w:r>
      <w:r>
        <w:rPr>
          <w:sz w:val="24"/>
        </w:rPr>
        <w:t>XX.</w:t>
      </w:r>
    </w:p>
    <w:p>
      <w:pPr>
        <w:pStyle w:val="ListParagraph"/>
        <w:numPr>
          <w:ilvl w:val="1"/>
          <w:numId w:val="15"/>
        </w:numPr>
        <w:tabs>
          <w:tab w:pos="821" w:val="left" w:leader="none"/>
          <w:tab w:pos="822" w:val="left" w:leader="none"/>
        </w:tabs>
        <w:spacing w:line="240" w:lineRule="auto" w:before="138" w:after="0"/>
        <w:ind w:left="822" w:right="0" w:hanging="360"/>
        <w:jc w:val="left"/>
        <w:rPr>
          <w:sz w:val="24"/>
        </w:rPr>
      </w:pPr>
      <w:r>
        <w:rPr>
          <w:sz w:val="24"/>
        </w:rPr>
        <w:t>Transporte urbano y globalización. Políticas y efectos en América</w:t>
      </w:r>
      <w:r>
        <w:rPr>
          <w:spacing w:val="-18"/>
          <w:sz w:val="24"/>
        </w:rPr>
        <w:t> </w:t>
      </w:r>
      <w:r>
        <w:rPr>
          <w:sz w:val="24"/>
        </w:rPr>
        <w:t>Latina.</w:t>
      </w:r>
    </w:p>
    <w:p>
      <w:pPr>
        <w:pStyle w:val="ListParagraph"/>
        <w:numPr>
          <w:ilvl w:val="1"/>
          <w:numId w:val="15"/>
        </w:numPr>
        <w:tabs>
          <w:tab w:pos="821" w:val="left" w:leader="none"/>
          <w:tab w:pos="822" w:val="left" w:leader="none"/>
        </w:tabs>
        <w:spacing w:line="350" w:lineRule="auto" w:before="135" w:after="0"/>
        <w:ind w:left="822" w:right="121" w:hanging="360"/>
        <w:jc w:val="left"/>
        <w:rPr>
          <w:sz w:val="24"/>
        </w:rPr>
      </w:pPr>
      <w:r>
        <w:rPr>
          <w:sz w:val="24"/>
        </w:rPr>
        <w:t>Revolución y contrarrevolución en la ciudad global: las expectativas frustradas por la globalización de nuestras</w:t>
      </w:r>
      <w:r>
        <w:rPr>
          <w:spacing w:val="-13"/>
          <w:sz w:val="24"/>
        </w:rPr>
        <w:t> </w:t>
      </w:r>
      <w:r>
        <w:rPr>
          <w:sz w:val="24"/>
        </w:rPr>
        <w:t>ciudades.</w:t>
      </w:r>
    </w:p>
    <w:p>
      <w:pPr>
        <w:pStyle w:val="ListParagraph"/>
        <w:numPr>
          <w:ilvl w:val="1"/>
          <w:numId w:val="15"/>
        </w:numPr>
        <w:tabs>
          <w:tab w:pos="821" w:val="left" w:leader="none"/>
          <w:tab w:pos="822" w:val="left" w:leader="none"/>
        </w:tabs>
        <w:spacing w:line="240" w:lineRule="auto" w:before="16" w:after="0"/>
        <w:ind w:left="822" w:right="0" w:hanging="360"/>
        <w:jc w:val="left"/>
        <w:rPr>
          <w:sz w:val="24"/>
        </w:rPr>
      </w:pPr>
      <w:r>
        <w:rPr>
          <w:sz w:val="24"/>
        </w:rPr>
        <w:t>La metrópoli fragmentada. Caracas entre la pobreza y la</w:t>
      </w:r>
      <w:r>
        <w:rPr>
          <w:spacing w:val="-19"/>
          <w:sz w:val="24"/>
        </w:rPr>
        <w:t> </w:t>
      </w:r>
      <w:r>
        <w:rPr>
          <w:sz w:val="24"/>
        </w:rPr>
        <w:t>globalización.</w:t>
      </w:r>
    </w:p>
    <w:p>
      <w:pPr>
        <w:pStyle w:val="ListParagraph"/>
        <w:numPr>
          <w:ilvl w:val="1"/>
          <w:numId w:val="15"/>
        </w:numPr>
        <w:tabs>
          <w:tab w:pos="821" w:val="left" w:leader="none"/>
          <w:tab w:pos="822" w:val="left" w:leader="none"/>
        </w:tabs>
        <w:spacing w:line="240" w:lineRule="auto" w:before="135" w:after="0"/>
        <w:ind w:left="822" w:right="0" w:hanging="360"/>
        <w:jc w:val="left"/>
        <w:rPr>
          <w:sz w:val="24"/>
        </w:rPr>
      </w:pPr>
      <w:r>
        <w:rPr>
          <w:sz w:val="24"/>
        </w:rPr>
        <w:t>Santiago de Chile. Metropolización, globalización,</w:t>
      </w:r>
      <w:r>
        <w:rPr>
          <w:spacing w:val="-18"/>
          <w:sz w:val="24"/>
        </w:rPr>
        <w:t> </w:t>
      </w:r>
      <w:r>
        <w:rPr>
          <w:sz w:val="24"/>
        </w:rPr>
        <w:t>desigualdad.</w:t>
      </w:r>
    </w:p>
    <w:p>
      <w:pPr>
        <w:spacing w:after="0" w:line="240" w:lineRule="auto"/>
        <w:jc w:val="left"/>
        <w:rPr>
          <w:sz w:val="24"/>
        </w:rPr>
        <w:sectPr>
          <w:pgSz w:w="12240" w:h="15840"/>
          <w:pgMar w:header="0" w:footer="629" w:top="1380" w:bottom="880" w:left="1600" w:right="1580"/>
        </w:sectPr>
      </w:pPr>
    </w:p>
    <w:p>
      <w:pPr>
        <w:pStyle w:val="BodyText"/>
        <w:spacing w:line="360" w:lineRule="auto" w:before="54"/>
        <w:ind w:left="102"/>
      </w:pPr>
      <w:r>
        <w:rPr/>
        <w:t>Los temas de metropolización conforman la tercera categoría y se ubican los artículos:</w:t>
      </w:r>
    </w:p>
    <w:p>
      <w:pPr>
        <w:pStyle w:val="ListParagraph"/>
        <w:numPr>
          <w:ilvl w:val="1"/>
          <w:numId w:val="15"/>
        </w:numPr>
        <w:tabs>
          <w:tab w:pos="822" w:val="left" w:leader="none"/>
        </w:tabs>
        <w:spacing w:line="352" w:lineRule="auto" w:before="3" w:after="0"/>
        <w:ind w:left="822" w:right="125" w:hanging="360"/>
        <w:jc w:val="both"/>
        <w:rPr>
          <w:sz w:val="24"/>
        </w:rPr>
      </w:pPr>
      <w:r>
        <w:rPr>
          <w:sz w:val="24"/>
        </w:rPr>
        <w:t>Las mega-ciudades y las periferias expandidas. Ampliando el concepto en Ciudad de</w:t>
      </w:r>
      <w:r>
        <w:rPr>
          <w:spacing w:val="-4"/>
          <w:sz w:val="24"/>
        </w:rPr>
        <w:t> </w:t>
      </w:r>
      <w:r>
        <w:rPr>
          <w:sz w:val="24"/>
        </w:rPr>
        <w:t>México.</w:t>
      </w:r>
    </w:p>
    <w:p>
      <w:pPr>
        <w:pStyle w:val="ListParagraph"/>
        <w:numPr>
          <w:ilvl w:val="1"/>
          <w:numId w:val="15"/>
        </w:numPr>
        <w:tabs>
          <w:tab w:pos="822" w:val="left" w:leader="none"/>
        </w:tabs>
        <w:spacing w:line="350" w:lineRule="auto" w:before="11" w:after="0"/>
        <w:ind w:left="822" w:right="125" w:hanging="360"/>
        <w:jc w:val="both"/>
        <w:rPr>
          <w:sz w:val="24"/>
        </w:rPr>
      </w:pPr>
      <w:r>
        <w:rPr>
          <w:sz w:val="24"/>
        </w:rPr>
        <w:t>Mercado metropolitano de trabajo y desigualdades sociales en el Gran Santiago.  ¿Una ciudad</w:t>
      </w:r>
      <w:r>
        <w:rPr>
          <w:spacing w:val="-7"/>
          <w:sz w:val="24"/>
        </w:rPr>
        <w:t> </w:t>
      </w:r>
      <w:r>
        <w:rPr>
          <w:sz w:val="24"/>
        </w:rPr>
        <w:t>dual?</w:t>
      </w:r>
    </w:p>
    <w:p>
      <w:pPr>
        <w:pStyle w:val="ListParagraph"/>
        <w:numPr>
          <w:ilvl w:val="1"/>
          <w:numId w:val="15"/>
        </w:numPr>
        <w:tabs>
          <w:tab w:pos="822" w:val="left" w:leader="none"/>
        </w:tabs>
        <w:spacing w:line="350" w:lineRule="auto" w:before="16" w:after="0"/>
        <w:ind w:left="822" w:right="120" w:hanging="360"/>
        <w:jc w:val="both"/>
        <w:rPr>
          <w:sz w:val="24"/>
        </w:rPr>
      </w:pPr>
      <w:r>
        <w:rPr>
          <w:sz w:val="24"/>
        </w:rPr>
        <w:t>Globalización y desigualdades socioterritoriales: la expansión de la periferia metropolitana de</w:t>
      </w:r>
      <w:r>
        <w:rPr>
          <w:spacing w:val="-6"/>
          <w:sz w:val="24"/>
        </w:rPr>
        <w:t> </w:t>
      </w:r>
      <w:r>
        <w:rPr>
          <w:sz w:val="24"/>
        </w:rPr>
        <w:t>Caracas.</w:t>
      </w:r>
    </w:p>
    <w:p>
      <w:pPr>
        <w:pStyle w:val="ListParagraph"/>
        <w:numPr>
          <w:ilvl w:val="1"/>
          <w:numId w:val="15"/>
        </w:numPr>
        <w:tabs>
          <w:tab w:pos="821" w:val="left" w:leader="none"/>
          <w:tab w:pos="822" w:val="left" w:leader="none"/>
        </w:tabs>
        <w:spacing w:line="240" w:lineRule="auto" w:before="17" w:after="0"/>
        <w:ind w:left="822" w:right="0" w:hanging="360"/>
        <w:jc w:val="left"/>
        <w:rPr>
          <w:sz w:val="24"/>
        </w:rPr>
      </w:pPr>
      <w:r>
        <w:rPr>
          <w:sz w:val="24"/>
        </w:rPr>
        <w:t>El territorio de las nuevas economías</w:t>
      </w:r>
      <w:r>
        <w:rPr>
          <w:spacing w:val="-11"/>
          <w:sz w:val="24"/>
        </w:rPr>
        <w:t> </w:t>
      </w:r>
      <w:r>
        <w:rPr>
          <w:sz w:val="24"/>
        </w:rPr>
        <w:t>metropolitanas.</w:t>
      </w:r>
    </w:p>
    <w:p>
      <w:pPr>
        <w:pStyle w:val="ListParagraph"/>
        <w:numPr>
          <w:ilvl w:val="1"/>
          <w:numId w:val="15"/>
        </w:numPr>
        <w:tabs>
          <w:tab w:pos="822" w:val="left" w:leader="none"/>
        </w:tabs>
        <w:spacing w:line="350" w:lineRule="auto" w:before="135" w:after="0"/>
        <w:ind w:left="822" w:right="127" w:hanging="360"/>
        <w:jc w:val="both"/>
        <w:rPr>
          <w:sz w:val="24"/>
        </w:rPr>
      </w:pPr>
      <w:r>
        <w:rPr>
          <w:sz w:val="24"/>
        </w:rPr>
        <w:t>Alta velocidad ferroviaria e integración metropolitana en España: el caso de Ciudad Real y</w:t>
      </w:r>
      <w:r>
        <w:rPr>
          <w:spacing w:val="-6"/>
          <w:sz w:val="24"/>
        </w:rPr>
        <w:t> </w:t>
      </w:r>
      <w:r>
        <w:rPr>
          <w:sz w:val="24"/>
        </w:rPr>
        <w:t>Puertollano.</w:t>
      </w:r>
    </w:p>
    <w:p>
      <w:pPr>
        <w:pStyle w:val="ListParagraph"/>
        <w:numPr>
          <w:ilvl w:val="1"/>
          <w:numId w:val="15"/>
        </w:numPr>
        <w:tabs>
          <w:tab w:pos="822" w:val="left" w:leader="none"/>
        </w:tabs>
        <w:spacing w:line="352" w:lineRule="auto" w:before="14" w:after="0"/>
        <w:ind w:left="822" w:right="122" w:hanging="360"/>
        <w:jc w:val="both"/>
        <w:rPr>
          <w:sz w:val="24"/>
        </w:rPr>
      </w:pPr>
      <w:r>
        <w:rPr>
          <w:sz w:val="24"/>
        </w:rPr>
        <w:t>El impacto socio-espacial de las urbanizaciones cerradas: el caso de la Región Metropolitana de Buenos</w:t>
      </w:r>
      <w:r>
        <w:rPr>
          <w:spacing w:val="-11"/>
          <w:sz w:val="24"/>
        </w:rPr>
        <w:t> </w:t>
      </w:r>
      <w:r>
        <w:rPr>
          <w:sz w:val="24"/>
        </w:rPr>
        <w:t>Aires.</w:t>
      </w:r>
    </w:p>
    <w:p>
      <w:pPr>
        <w:pStyle w:val="ListParagraph"/>
        <w:numPr>
          <w:ilvl w:val="1"/>
          <w:numId w:val="15"/>
        </w:numPr>
        <w:tabs>
          <w:tab w:pos="822" w:val="left" w:leader="none"/>
        </w:tabs>
        <w:spacing w:line="350" w:lineRule="auto" w:before="11" w:after="0"/>
        <w:ind w:left="822" w:right="126" w:hanging="360"/>
        <w:jc w:val="both"/>
        <w:rPr>
          <w:sz w:val="24"/>
        </w:rPr>
      </w:pPr>
      <w:r>
        <w:rPr>
          <w:sz w:val="24"/>
        </w:rPr>
        <w:t>La gobernabilidad metropolitana de Santiago: la dispar relación de poder de los</w:t>
      </w:r>
      <w:r>
        <w:rPr>
          <w:spacing w:val="-2"/>
          <w:sz w:val="24"/>
        </w:rPr>
        <w:t> </w:t>
      </w:r>
      <w:r>
        <w:rPr>
          <w:sz w:val="24"/>
        </w:rPr>
        <w:t>municipios.</w:t>
      </w:r>
    </w:p>
    <w:p>
      <w:pPr>
        <w:pStyle w:val="BodyText"/>
      </w:pPr>
    </w:p>
    <w:p>
      <w:pPr>
        <w:pStyle w:val="BodyText"/>
        <w:spacing w:before="153"/>
        <w:ind w:left="102"/>
      </w:pPr>
      <w:r>
        <w:rPr/>
        <w:t>Para la cuarta categoría corresponde a temas ambientales:</w:t>
      </w:r>
    </w:p>
    <w:p>
      <w:pPr>
        <w:pStyle w:val="BodyText"/>
      </w:pPr>
    </w:p>
    <w:p>
      <w:pPr>
        <w:pStyle w:val="ListParagraph"/>
        <w:numPr>
          <w:ilvl w:val="1"/>
          <w:numId w:val="15"/>
        </w:numPr>
        <w:tabs>
          <w:tab w:pos="822" w:val="left" w:leader="none"/>
        </w:tabs>
        <w:spacing w:line="350" w:lineRule="auto" w:before="140" w:after="0"/>
        <w:ind w:left="822" w:right="124" w:hanging="360"/>
        <w:jc w:val="both"/>
        <w:rPr>
          <w:sz w:val="24"/>
        </w:rPr>
      </w:pPr>
      <w:r>
        <w:rPr>
          <w:sz w:val="24"/>
        </w:rPr>
        <w:t>Evaluación ambiental del proceso de urbanización de las cuencas del piedemonte andino de Santiago de</w:t>
      </w:r>
      <w:r>
        <w:rPr>
          <w:spacing w:val="-10"/>
          <w:sz w:val="24"/>
        </w:rPr>
        <w:t> </w:t>
      </w:r>
      <w:r>
        <w:rPr>
          <w:sz w:val="24"/>
        </w:rPr>
        <w:t>Chile.</w:t>
      </w:r>
    </w:p>
    <w:p>
      <w:pPr>
        <w:pStyle w:val="ListParagraph"/>
        <w:numPr>
          <w:ilvl w:val="1"/>
          <w:numId w:val="15"/>
        </w:numPr>
        <w:tabs>
          <w:tab w:pos="822" w:val="left" w:leader="none"/>
        </w:tabs>
        <w:spacing w:line="350" w:lineRule="auto" w:before="16" w:after="0"/>
        <w:ind w:left="822" w:right="125" w:hanging="360"/>
        <w:jc w:val="both"/>
        <w:rPr>
          <w:sz w:val="24"/>
        </w:rPr>
      </w:pPr>
      <w:r>
        <w:rPr>
          <w:sz w:val="24"/>
        </w:rPr>
        <w:t>Indicadores sintéticos de calidad ambiental: un modelo general para grandes zonas</w:t>
      </w:r>
      <w:r>
        <w:rPr>
          <w:spacing w:val="-9"/>
          <w:sz w:val="24"/>
        </w:rPr>
        <w:t> </w:t>
      </w:r>
      <w:r>
        <w:rPr>
          <w:sz w:val="24"/>
        </w:rPr>
        <w:t>urbanas.</w:t>
      </w:r>
    </w:p>
    <w:p>
      <w:pPr>
        <w:pStyle w:val="ListParagraph"/>
        <w:numPr>
          <w:ilvl w:val="1"/>
          <w:numId w:val="15"/>
        </w:numPr>
        <w:tabs>
          <w:tab w:pos="822" w:val="left" w:leader="none"/>
        </w:tabs>
        <w:spacing w:line="355" w:lineRule="auto" w:before="14" w:after="0"/>
        <w:ind w:left="822" w:right="119" w:hanging="360"/>
        <w:jc w:val="both"/>
        <w:rPr>
          <w:sz w:val="24"/>
        </w:rPr>
      </w:pPr>
      <w:r>
        <w:rPr>
          <w:sz w:val="24"/>
        </w:rPr>
        <w:t>La zonificación y evaluación de los riesgos naturales de tipo geomorfológico: un instrumento para la planificación urbana en la ciudad de Concepción.</w:t>
      </w:r>
    </w:p>
    <w:p>
      <w:pPr>
        <w:pStyle w:val="ListParagraph"/>
        <w:numPr>
          <w:ilvl w:val="1"/>
          <w:numId w:val="15"/>
        </w:numPr>
        <w:tabs>
          <w:tab w:pos="822" w:val="left" w:leader="none"/>
        </w:tabs>
        <w:spacing w:line="352" w:lineRule="auto" w:before="8" w:after="0"/>
        <w:ind w:left="822" w:right="120" w:hanging="360"/>
        <w:jc w:val="both"/>
        <w:rPr>
          <w:sz w:val="24"/>
        </w:rPr>
      </w:pPr>
      <w:r>
        <w:rPr>
          <w:sz w:val="24"/>
        </w:rPr>
        <w:t>La guerra de la basura de Santiago: desde el derecho a la vivienda al derecho a la</w:t>
      </w:r>
      <w:r>
        <w:rPr>
          <w:spacing w:val="-4"/>
          <w:sz w:val="24"/>
        </w:rPr>
        <w:t> </w:t>
      </w:r>
      <w:r>
        <w:rPr>
          <w:sz w:val="24"/>
        </w:rPr>
        <w:t>ciudad.</w:t>
      </w:r>
    </w:p>
    <w:p>
      <w:pPr>
        <w:pStyle w:val="ListParagraph"/>
        <w:numPr>
          <w:ilvl w:val="1"/>
          <w:numId w:val="15"/>
        </w:numPr>
        <w:tabs>
          <w:tab w:pos="821" w:val="left" w:leader="none"/>
          <w:tab w:pos="822" w:val="left" w:leader="none"/>
        </w:tabs>
        <w:spacing w:line="240" w:lineRule="auto" w:before="11" w:after="0"/>
        <w:ind w:left="822" w:right="0" w:hanging="360"/>
        <w:jc w:val="left"/>
        <w:rPr>
          <w:sz w:val="24"/>
        </w:rPr>
      </w:pPr>
      <w:r>
        <w:rPr>
          <w:sz w:val="24"/>
        </w:rPr>
        <w:t>Urbanizaciones  cerradas  en  áreas  inundables  del  municipio  de   </w:t>
      </w:r>
      <w:r>
        <w:rPr>
          <w:spacing w:val="62"/>
          <w:sz w:val="24"/>
        </w:rPr>
        <w:t> </w:t>
      </w:r>
      <w:r>
        <w:rPr>
          <w:sz w:val="24"/>
        </w:rPr>
        <w:t>Tigre:</w:t>
      </w:r>
    </w:p>
    <w:p>
      <w:pPr>
        <w:pStyle w:val="BodyText"/>
        <w:spacing w:before="135"/>
        <w:ind w:left="821"/>
      </w:pPr>
      <w:r>
        <w:rPr/>
        <w:t>¿producción de espacio urbano de alta calidad ambiental?</w:t>
      </w:r>
    </w:p>
    <w:p>
      <w:pPr>
        <w:spacing w:after="0"/>
        <w:sectPr>
          <w:pgSz w:w="12240" w:h="15840"/>
          <w:pgMar w:header="0" w:footer="629" w:top="1360" w:bottom="880" w:left="1600" w:right="1580"/>
        </w:sectPr>
      </w:pPr>
    </w:p>
    <w:p>
      <w:pPr>
        <w:pStyle w:val="BodyText"/>
        <w:spacing w:before="54"/>
        <w:ind w:left="102"/>
        <w:jc w:val="both"/>
      </w:pPr>
      <w:r>
        <w:rPr/>
        <w:t>La quinta categoría corresponde a los temas regionales:</w:t>
      </w:r>
    </w:p>
    <w:p>
      <w:pPr>
        <w:pStyle w:val="ListParagraph"/>
        <w:numPr>
          <w:ilvl w:val="1"/>
          <w:numId w:val="15"/>
        </w:numPr>
        <w:tabs>
          <w:tab w:pos="821" w:val="left" w:leader="none"/>
          <w:tab w:pos="822" w:val="left" w:leader="none"/>
        </w:tabs>
        <w:spacing w:line="350" w:lineRule="auto" w:before="140" w:after="0"/>
        <w:ind w:left="822" w:right="1514" w:hanging="360"/>
        <w:jc w:val="left"/>
        <w:rPr>
          <w:sz w:val="24"/>
        </w:rPr>
      </w:pPr>
      <w:r>
        <w:rPr>
          <w:sz w:val="24"/>
        </w:rPr>
        <w:t>La conmutación regional en Chile y su impacto en la Región</w:t>
      </w:r>
      <w:r>
        <w:rPr>
          <w:spacing w:val="-19"/>
          <w:sz w:val="24"/>
        </w:rPr>
        <w:t> </w:t>
      </w:r>
      <w:r>
        <w:rPr>
          <w:sz w:val="24"/>
        </w:rPr>
        <w:t>de Antofagasta.</w:t>
      </w:r>
    </w:p>
    <w:p>
      <w:pPr>
        <w:pStyle w:val="ListParagraph"/>
        <w:numPr>
          <w:ilvl w:val="1"/>
          <w:numId w:val="15"/>
        </w:numPr>
        <w:tabs>
          <w:tab w:pos="821" w:val="left" w:leader="none"/>
          <w:tab w:pos="822" w:val="left" w:leader="none"/>
        </w:tabs>
        <w:spacing w:line="240" w:lineRule="auto" w:before="16" w:after="0"/>
        <w:ind w:left="822" w:right="0" w:hanging="360"/>
        <w:jc w:val="left"/>
        <w:rPr>
          <w:sz w:val="24"/>
        </w:rPr>
      </w:pPr>
      <w:r>
        <w:rPr>
          <w:sz w:val="24"/>
        </w:rPr>
        <w:t>Chile: la vocación regionalista del gobierno</w:t>
      </w:r>
      <w:r>
        <w:rPr>
          <w:spacing w:val="-10"/>
          <w:sz w:val="24"/>
        </w:rPr>
        <w:t> </w:t>
      </w:r>
      <w:r>
        <w:rPr>
          <w:sz w:val="24"/>
        </w:rPr>
        <w:t>militar.</w:t>
      </w:r>
    </w:p>
    <w:p>
      <w:pPr>
        <w:pStyle w:val="BodyText"/>
      </w:pPr>
    </w:p>
    <w:p>
      <w:pPr>
        <w:pStyle w:val="BodyText"/>
        <w:spacing w:before="7"/>
        <w:rPr>
          <w:sz w:val="23"/>
        </w:rPr>
      </w:pPr>
    </w:p>
    <w:p>
      <w:pPr>
        <w:pStyle w:val="BodyText"/>
        <w:ind w:left="102"/>
        <w:jc w:val="both"/>
      </w:pPr>
      <w:r>
        <w:rPr/>
        <w:t>Por último,  están los temas de economía urbana con los artículos:</w:t>
      </w:r>
    </w:p>
    <w:p>
      <w:pPr>
        <w:pStyle w:val="ListParagraph"/>
        <w:numPr>
          <w:ilvl w:val="1"/>
          <w:numId w:val="15"/>
        </w:numPr>
        <w:tabs>
          <w:tab w:pos="821" w:val="left" w:leader="none"/>
          <w:tab w:pos="822" w:val="left" w:leader="none"/>
        </w:tabs>
        <w:spacing w:line="350" w:lineRule="auto" w:before="140" w:after="0"/>
        <w:ind w:left="822" w:right="1073" w:hanging="360"/>
        <w:jc w:val="left"/>
        <w:rPr>
          <w:sz w:val="24"/>
        </w:rPr>
      </w:pPr>
      <w:r>
        <w:rPr>
          <w:sz w:val="24"/>
        </w:rPr>
        <w:t>Trayectorias industriales metropolitanas: nuevos procesos, nuevos contrastes.</w:t>
      </w:r>
    </w:p>
    <w:p>
      <w:pPr>
        <w:pStyle w:val="ListParagraph"/>
        <w:numPr>
          <w:ilvl w:val="1"/>
          <w:numId w:val="15"/>
        </w:numPr>
        <w:tabs>
          <w:tab w:pos="821" w:val="left" w:leader="none"/>
          <w:tab w:pos="822" w:val="left" w:leader="none"/>
        </w:tabs>
        <w:spacing w:line="350" w:lineRule="auto" w:before="17" w:after="0"/>
        <w:ind w:left="822" w:right="380" w:hanging="360"/>
        <w:jc w:val="left"/>
        <w:rPr>
          <w:sz w:val="24"/>
        </w:rPr>
      </w:pPr>
      <w:r>
        <w:rPr>
          <w:sz w:val="24"/>
        </w:rPr>
        <w:t>Despegues sin madurez. Urbanización, industrialización y desarrollo en</w:t>
      </w:r>
      <w:r>
        <w:rPr>
          <w:spacing w:val="-22"/>
          <w:sz w:val="24"/>
        </w:rPr>
        <w:t> </w:t>
      </w:r>
      <w:r>
        <w:rPr>
          <w:sz w:val="24"/>
        </w:rPr>
        <w:t>la Latinoamérica del siglo</w:t>
      </w:r>
      <w:r>
        <w:rPr>
          <w:spacing w:val="-11"/>
          <w:sz w:val="24"/>
        </w:rPr>
        <w:t> </w:t>
      </w:r>
      <w:r>
        <w:rPr>
          <w:sz w:val="24"/>
        </w:rPr>
        <w:t>XX.</w:t>
      </w:r>
    </w:p>
    <w:p>
      <w:pPr>
        <w:pStyle w:val="ListParagraph"/>
        <w:numPr>
          <w:ilvl w:val="1"/>
          <w:numId w:val="15"/>
        </w:numPr>
        <w:tabs>
          <w:tab w:pos="821" w:val="left" w:leader="none"/>
          <w:tab w:pos="822" w:val="left" w:leader="none"/>
        </w:tabs>
        <w:spacing w:line="350" w:lineRule="auto" w:before="14" w:after="0"/>
        <w:ind w:left="822" w:right="277" w:hanging="360"/>
        <w:jc w:val="left"/>
        <w:rPr>
          <w:sz w:val="24"/>
        </w:rPr>
      </w:pPr>
      <w:r>
        <w:rPr>
          <w:sz w:val="24"/>
        </w:rPr>
        <w:t>Del funcionalismo industrial al funcionalismo de servicios: ¿la nueva</w:t>
      </w:r>
      <w:r>
        <w:rPr>
          <w:spacing w:val="-28"/>
          <w:sz w:val="24"/>
        </w:rPr>
        <w:t> </w:t>
      </w:r>
      <w:r>
        <w:rPr>
          <w:sz w:val="24"/>
        </w:rPr>
        <w:t>utopía de la metrópoli postindustrial del valle de</w:t>
      </w:r>
      <w:r>
        <w:rPr>
          <w:spacing w:val="-18"/>
          <w:sz w:val="24"/>
        </w:rPr>
        <w:t> </w:t>
      </w:r>
      <w:r>
        <w:rPr>
          <w:sz w:val="24"/>
        </w:rPr>
        <w:t>México?</w:t>
      </w:r>
    </w:p>
    <w:p>
      <w:pPr>
        <w:pStyle w:val="ListParagraph"/>
        <w:numPr>
          <w:ilvl w:val="1"/>
          <w:numId w:val="15"/>
        </w:numPr>
        <w:tabs>
          <w:tab w:pos="821" w:val="left" w:leader="none"/>
          <w:tab w:pos="822" w:val="left" w:leader="none"/>
        </w:tabs>
        <w:spacing w:line="350" w:lineRule="auto" w:before="16" w:after="0"/>
        <w:ind w:left="822" w:right="458" w:hanging="360"/>
        <w:jc w:val="left"/>
        <w:rPr>
          <w:sz w:val="24"/>
        </w:rPr>
      </w:pPr>
      <w:r>
        <w:rPr>
          <w:sz w:val="24"/>
        </w:rPr>
        <w:t>Especialización y diversificación industrial en la Región Metropolitana de Buenos</w:t>
      </w:r>
      <w:r>
        <w:rPr>
          <w:spacing w:val="-4"/>
          <w:sz w:val="24"/>
        </w:rPr>
        <w:t> </w:t>
      </w:r>
      <w:r>
        <w:rPr>
          <w:sz w:val="24"/>
        </w:rPr>
        <w:t>Aires.</w:t>
      </w:r>
    </w:p>
    <w:p>
      <w:pPr>
        <w:pStyle w:val="BodyText"/>
      </w:pPr>
    </w:p>
    <w:p>
      <w:pPr>
        <w:pStyle w:val="BodyText"/>
        <w:spacing w:before="4"/>
        <w:rPr>
          <w:sz w:val="25"/>
        </w:rPr>
      </w:pPr>
    </w:p>
    <w:p>
      <w:pPr>
        <w:pStyle w:val="BodyText"/>
        <w:spacing w:line="360" w:lineRule="auto" w:before="1"/>
        <w:ind w:left="102" w:right="117"/>
        <w:jc w:val="both"/>
      </w:pPr>
      <w:r>
        <w:rPr/>
        <w:t>De las seis categorías obtenidas de este análisis, a) segregación urbana; b) globalización y cambios territoriales, c) metropolización; d) ambientales, e) temas regionales y f) economía urbana, hay un predominio de los temas relacionados  con la segregación urbana porque los siete artículos más citados hablan de estos temas, es necesario advertir que la mayoría de los artículos toman el caso chileno; sin embargo esto no significa que estos temas no son un referente al interior de la investigación urbana. Aquí podemos destacar el grupo de especialistas que estudian estos temas, tal es el caso de Francisco Sabatini, Francisco Cáceres, Rodrigo Hidalgo y Rodrigo Mendez principalmente, este grupo podemos considerarlo como hegemónico en el</w:t>
      </w:r>
      <w:r>
        <w:rPr>
          <w:spacing w:val="-12"/>
        </w:rPr>
        <w:t> </w:t>
      </w:r>
      <w:r>
        <w:rPr/>
        <w:t>tema.</w:t>
      </w:r>
    </w:p>
    <w:p>
      <w:pPr>
        <w:pStyle w:val="BodyText"/>
      </w:pPr>
    </w:p>
    <w:p>
      <w:pPr>
        <w:pStyle w:val="BodyText"/>
        <w:spacing w:line="360" w:lineRule="auto" w:before="142"/>
        <w:ind w:left="102" w:right="121"/>
        <w:jc w:val="both"/>
      </w:pPr>
      <w:r>
        <w:rPr/>
        <w:t>Los temas de globalización y cambios territoriales aún están vigentes dentro de la investigación urbana en Latinoamérica, los casos de estudio corresponden a Venezuela, Lima y Europa Occidental; cabe destacar que los artículos con más citas fueron escritos por Cariola, C; Lacabana, M; Sassen, S y Brenner, N.</w:t>
      </w:r>
    </w:p>
    <w:p>
      <w:pPr>
        <w:spacing w:after="0" w:line="360" w:lineRule="auto"/>
        <w:jc w:val="both"/>
        <w:sectPr>
          <w:pgSz w:w="12240" w:h="15840"/>
          <w:pgMar w:header="0" w:footer="629" w:top="1360" w:bottom="880" w:left="1600" w:right="1580"/>
        </w:sectPr>
      </w:pPr>
    </w:p>
    <w:p>
      <w:pPr>
        <w:pStyle w:val="BodyText"/>
        <w:spacing w:line="360" w:lineRule="auto" w:before="54"/>
        <w:ind w:left="102" w:right="124"/>
        <w:jc w:val="both"/>
      </w:pPr>
      <w:r>
        <w:rPr/>
        <w:t>Para la categoría metropolización, los casos de estudio corresponden a la Ciudad de México, España, Santiago y Buenos Aires, al igual que en la categoría anterior, sólo los autores que han tenido cierto reconocimiento en el tema concentran la mayor cantidad de citas. Para el resto de categorías se advierte una situación parecida a la categoría dos y tres, esto nos permite afirmar lo que hemos planteado al principio del artículo, que existe un grupo de temas hegemónicos al interior de la investigación urbana, que ha generado un desfase de temas que se venían trabajando</w:t>
      </w:r>
      <w:r>
        <w:rPr>
          <w:spacing w:val="-17"/>
        </w:rPr>
        <w:t> </w:t>
      </w:r>
      <w:r>
        <w:rPr/>
        <w:t>anteriormente.</w:t>
      </w:r>
    </w:p>
    <w:p>
      <w:pPr>
        <w:pStyle w:val="BodyText"/>
      </w:pPr>
    </w:p>
    <w:p>
      <w:pPr>
        <w:pStyle w:val="BodyText"/>
        <w:spacing w:line="360" w:lineRule="auto" w:before="142"/>
        <w:ind w:left="102" w:right="116"/>
        <w:jc w:val="both"/>
      </w:pPr>
      <w:r>
        <w:rPr/>
        <w:t>Para el análisis metateórico se utilizó la propuesta de Garcés (2007) para la identificación de tres niveles en la construcción del conocimiento: 1) Nivel epistemológico en el que hay dos opciones: a) científico positivista o b) pospositivista; 2) Nivel metodológico igual con dos opciones: a) nomotético o b) idiográfico; y 3) Corriente teórica. Posteriormente se hizo un análisis de los marcos de referencia, teorías, prácticas de citación y relación entre las bibliografías citadas.</w:t>
      </w:r>
    </w:p>
    <w:p>
      <w:pPr>
        <w:pStyle w:val="BodyText"/>
      </w:pPr>
    </w:p>
    <w:p>
      <w:pPr>
        <w:pStyle w:val="BodyText"/>
        <w:spacing w:line="360" w:lineRule="auto" w:before="142"/>
        <w:ind w:left="102" w:right="112"/>
        <w:jc w:val="both"/>
      </w:pPr>
      <w:r>
        <w:rPr/>
        <w:t>De esta forma se revisaron los artículos que concentran el 50% del total de citas y se observa que el 61% fue publicado por un autor mientras que el 27% fue escrito por dos autores. El 12% corresponde a 3 autores.</w:t>
      </w:r>
    </w:p>
    <w:p>
      <w:pPr>
        <w:spacing w:after="0" w:line="360" w:lineRule="auto"/>
        <w:jc w:val="both"/>
        <w:sectPr>
          <w:pgSz w:w="12240" w:h="15840"/>
          <w:pgMar w:header="0" w:footer="629" w:top="1360" w:bottom="880" w:left="1600" w:right="1580"/>
        </w:sectPr>
      </w:pPr>
    </w:p>
    <w:p>
      <w:pPr>
        <w:pStyle w:val="Heading1"/>
        <w:spacing w:before="52"/>
        <w:ind w:left="3373" w:right="3373" w:firstLine="612"/>
        <w:jc w:val="left"/>
      </w:pPr>
      <w:r>
        <w:rPr/>
        <w:t>Figura 17 Autores por artículo</w:t>
      </w:r>
    </w:p>
    <w:p>
      <w:pPr>
        <w:pStyle w:val="BodyText"/>
        <w:ind w:left="1902"/>
        <w:rPr>
          <w:sz w:val="20"/>
        </w:rPr>
      </w:pPr>
      <w:r>
        <w:rPr>
          <w:sz w:val="20"/>
        </w:rPr>
        <w:pict>
          <v:group style="width:261.6pt;height:202.7pt;mso-position-horizontal-relative:char;mso-position-vertical-relative:line" coordorigin="0,0" coordsize="5232,4054">
            <v:shape style="position:absolute;left:6;top:38;width:5220;height:4006" type="#_x0000_t75" stroked="false">
              <v:imagedata r:id="rId31" o:title=""/>
            </v:shape>
            <v:rect style="position:absolute;left:8;top:8;width:5217;height:4039" filled="false" stroked="true" strokeweight=".75pt" strokecolor="#858585"/>
            <v:shape style="position:absolute;left:1646;top:470;width:767;height:445" type="#_x0000_t202" filled="false" stroked="false">
              <v:textbox inset="0,0,0,0">
                <w:txbxContent>
                  <w:p>
                    <w:pPr>
                      <w:spacing w:line="203" w:lineRule="exact" w:before="0"/>
                      <w:ind w:left="0" w:right="0" w:firstLine="0"/>
                      <w:jc w:val="center"/>
                      <w:rPr>
                        <w:rFonts w:ascii="Calibri"/>
                        <w:sz w:val="20"/>
                      </w:rPr>
                    </w:pPr>
                    <w:r>
                      <w:rPr>
                        <w:rFonts w:ascii="Calibri"/>
                        <w:sz w:val="20"/>
                      </w:rPr>
                      <w:t>3</w:t>
                    </w:r>
                    <w:r>
                      <w:rPr>
                        <w:rFonts w:ascii="Calibri"/>
                        <w:spacing w:val="-5"/>
                        <w:sz w:val="20"/>
                      </w:rPr>
                      <w:t> </w:t>
                    </w:r>
                    <w:r>
                      <w:rPr>
                        <w:rFonts w:ascii="Calibri"/>
                        <w:sz w:val="20"/>
                      </w:rPr>
                      <w:t>autores</w:t>
                    </w:r>
                  </w:p>
                  <w:p>
                    <w:pPr>
                      <w:spacing w:line="240" w:lineRule="exact" w:before="1"/>
                      <w:ind w:left="0" w:right="0" w:firstLine="0"/>
                      <w:jc w:val="center"/>
                      <w:rPr>
                        <w:rFonts w:ascii="Calibri"/>
                        <w:sz w:val="20"/>
                      </w:rPr>
                    </w:pPr>
                    <w:r>
                      <w:rPr>
                        <w:rFonts w:ascii="Calibri"/>
                        <w:sz w:val="20"/>
                      </w:rPr>
                      <w:t>12%</w:t>
                    </w:r>
                  </w:p>
                </w:txbxContent>
              </v:textbox>
              <w10:wrap type="none"/>
            </v:shape>
            <v:shape style="position:absolute;left:802;top:1875;width:766;height:445" type="#_x0000_t202" filled="false" stroked="false">
              <v:textbox inset="0,0,0,0">
                <w:txbxContent>
                  <w:p>
                    <w:pPr>
                      <w:spacing w:line="203" w:lineRule="exact" w:before="0"/>
                      <w:ind w:left="-1" w:right="0" w:firstLine="0"/>
                      <w:jc w:val="center"/>
                      <w:rPr>
                        <w:rFonts w:ascii="Calibri"/>
                        <w:sz w:val="20"/>
                      </w:rPr>
                    </w:pPr>
                    <w:r>
                      <w:rPr>
                        <w:rFonts w:ascii="Calibri"/>
                        <w:sz w:val="20"/>
                      </w:rPr>
                      <w:t>2</w:t>
                    </w:r>
                    <w:r>
                      <w:rPr>
                        <w:rFonts w:ascii="Calibri"/>
                        <w:spacing w:val="-5"/>
                        <w:sz w:val="20"/>
                      </w:rPr>
                      <w:t> </w:t>
                    </w:r>
                    <w:r>
                      <w:rPr>
                        <w:rFonts w:ascii="Calibri"/>
                        <w:sz w:val="20"/>
                      </w:rPr>
                      <w:t>autores</w:t>
                    </w:r>
                  </w:p>
                  <w:p>
                    <w:pPr>
                      <w:spacing w:line="240" w:lineRule="exact" w:before="0"/>
                      <w:ind w:left="0" w:right="0" w:firstLine="0"/>
                      <w:jc w:val="center"/>
                      <w:rPr>
                        <w:rFonts w:ascii="Calibri"/>
                        <w:sz w:val="20"/>
                      </w:rPr>
                    </w:pPr>
                    <w:r>
                      <w:rPr>
                        <w:rFonts w:ascii="Calibri"/>
                        <w:sz w:val="20"/>
                      </w:rPr>
                      <w:t>27%</w:t>
                    </w:r>
                  </w:p>
                </w:txbxContent>
              </v:textbox>
              <w10:wrap type="none"/>
            </v:shape>
            <v:shape style="position:absolute;left:3476;top:2108;width:590;height:444" type="#_x0000_t202" filled="false" stroked="false">
              <v:textbox inset="0,0,0,0">
                <w:txbxContent>
                  <w:p>
                    <w:pPr>
                      <w:spacing w:line="203" w:lineRule="exact" w:before="0"/>
                      <w:ind w:left="0" w:right="0" w:firstLine="0"/>
                      <w:jc w:val="center"/>
                      <w:rPr>
                        <w:rFonts w:ascii="Calibri"/>
                        <w:sz w:val="20"/>
                      </w:rPr>
                    </w:pPr>
                    <w:r>
                      <w:rPr>
                        <w:rFonts w:ascii="Calibri"/>
                        <w:sz w:val="20"/>
                      </w:rPr>
                      <w:t>1 autor</w:t>
                    </w:r>
                  </w:p>
                  <w:p>
                    <w:pPr>
                      <w:spacing w:line="240" w:lineRule="exact" w:before="0"/>
                      <w:ind w:left="3" w:right="0" w:firstLine="0"/>
                      <w:jc w:val="center"/>
                      <w:rPr>
                        <w:rFonts w:ascii="Calibri"/>
                        <w:sz w:val="20"/>
                      </w:rPr>
                    </w:pPr>
                    <w:r>
                      <w:rPr>
                        <w:rFonts w:ascii="Calibri"/>
                        <w:sz w:val="20"/>
                      </w:rPr>
                      <w:t>61%</w:t>
                    </w:r>
                  </w:p>
                </w:txbxContent>
              </v:textbox>
              <w10:wrap type="none"/>
            </v:shape>
          </v:group>
        </w:pict>
      </w:r>
      <w:r>
        <w:rPr>
          <w:sz w:val="20"/>
        </w:rPr>
      </w:r>
    </w:p>
    <w:p>
      <w:pPr>
        <w:pStyle w:val="BodyText"/>
        <w:rPr>
          <w:b/>
        </w:rPr>
      </w:pPr>
    </w:p>
    <w:p>
      <w:pPr>
        <w:pStyle w:val="BodyText"/>
        <w:spacing w:before="3"/>
        <w:rPr>
          <w:b/>
          <w:sz w:val="21"/>
        </w:rPr>
      </w:pPr>
    </w:p>
    <w:p>
      <w:pPr>
        <w:pStyle w:val="BodyText"/>
        <w:spacing w:line="360" w:lineRule="auto"/>
        <w:ind w:left="102" w:right="124"/>
        <w:jc w:val="both"/>
      </w:pPr>
      <w:r>
        <w:rPr/>
        <w:t>La gráfica anterior se complementa con la cantidad de artículos producida por año, de los 33 artículos la mayor proporción se publicó de 2002 a 2005 con lo que se puede inducir que ese periodo los trabajos de coautoría no eran centrales para los investigadores de la investigación urbana.</w:t>
      </w:r>
    </w:p>
    <w:p>
      <w:pPr>
        <w:pStyle w:val="BodyText"/>
      </w:pPr>
    </w:p>
    <w:p>
      <w:pPr>
        <w:pStyle w:val="Heading1"/>
        <w:spacing w:before="139"/>
        <w:ind w:left="3527" w:right="3543" w:hanging="1"/>
      </w:pPr>
      <w:r>
        <w:rPr/>
        <w:pict>
          <v:group style="position:absolute;margin-left:129.854996pt;margin-top:34.350876pt;width:352.3pt;height:222.35pt;mso-position-horizontal-relative:page;mso-position-vertical-relative:paragraph;z-index:-398056" coordorigin="2597,687" coordsize="7046,4447">
            <v:rect style="position:absolute;left:2605;top:695;width:7031;height:4432" filled="false" stroked="true" strokeweight=".75pt" strokecolor="#858585"/>
            <v:shape style="position:absolute;left:2735;top:825;width:101;height:3909" type="#_x0000_t202" filled="false" stroked="false">
              <v:textbox inset="0,0,0,0">
                <w:txbxContent>
                  <w:p>
                    <w:pPr>
                      <w:spacing w:line="203" w:lineRule="exact" w:before="0"/>
                      <w:ind w:left="0" w:right="0" w:firstLine="0"/>
                      <w:jc w:val="left"/>
                      <w:rPr>
                        <w:rFonts w:ascii="Calibri"/>
                        <w:sz w:val="20"/>
                      </w:rPr>
                    </w:pPr>
                    <w:r>
                      <w:rPr>
                        <w:rFonts w:ascii="Calibri"/>
                        <w:w w:val="99"/>
                        <w:sz w:val="20"/>
                      </w:rPr>
                      <w:t>8</w:t>
                    </w:r>
                  </w:p>
                  <w:p>
                    <w:pPr>
                      <w:spacing w:line="240" w:lineRule="auto" w:before="0"/>
                      <w:rPr>
                        <w:b/>
                        <w:sz w:val="19"/>
                      </w:rPr>
                    </w:pPr>
                  </w:p>
                  <w:p>
                    <w:pPr>
                      <w:spacing w:before="1"/>
                      <w:ind w:left="0" w:right="0" w:firstLine="0"/>
                      <w:jc w:val="left"/>
                      <w:rPr>
                        <w:rFonts w:ascii="Calibri"/>
                        <w:sz w:val="20"/>
                      </w:rPr>
                    </w:pPr>
                    <w:r>
                      <w:rPr>
                        <w:rFonts w:ascii="Calibri"/>
                        <w:w w:val="99"/>
                        <w:sz w:val="20"/>
                      </w:rPr>
                      <w:t>7</w:t>
                    </w:r>
                  </w:p>
                  <w:p>
                    <w:pPr>
                      <w:spacing w:line="240" w:lineRule="auto" w:before="1"/>
                      <w:rPr>
                        <w:b/>
                        <w:sz w:val="19"/>
                      </w:rPr>
                    </w:pPr>
                  </w:p>
                  <w:p>
                    <w:pPr>
                      <w:spacing w:before="0"/>
                      <w:ind w:left="0" w:right="0" w:firstLine="0"/>
                      <w:jc w:val="left"/>
                      <w:rPr>
                        <w:rFonts w:ascii="Calibri"/>
                        <w:sz w:val="20"/>
                      </w:rPr>
                    </w:pPr>
                    <w:r>
                      <w:rPr>
                        <w:rFonts w:ascii="Calibri"/>
                        <w:w w:val="99"/>
                        <w:sz w:val="20"/>
                      </w:rPr>
                      <w:t>6</w:t>
                    </w:r>
                  </w:p>
                  <w:p>
                    <w:pPr>
                      <w:spacing w:line="240" w:lineRule="auto" w:before="0"/>
                      <w:rPr>
                        <w:b/>
                        <w:sz w:val="19"/>
                      </w:rPr>
                    </w:pPr>
                  </w:p>
                  <w:p>
                    <w:pPr>
                      <w:spacing w:before="1"/>
                      <w:ind w:left="0" w:right="0" w:firstLine="0"/>
                      <w:jc w:val="left"/>
                      <w:rPr>
                        <w:rFonts w:ascii="Calibri"/>
                        <w:sz w:val="20"/>
                      </w:rPr>
                    </w:pPr>
                    <w:r>
                      <w:rPr>
                        <w:rFonts w:ascii="Calibri"/>
                        <w:w w:val="99"/>
                        <w:sz w:val="20"/>
                      </w:rPr>
                      <w:t>5</w:t>
                    </w:r>
                  </w:p>
                  <w:p>
                    <w:pPr>
                      <w:spacing w:line="240" w:lineRule="auto" w:before="1"/>
                      <w:rPr>
                        <w:b/>
                        <w:sz w:val="19"/>
                      </w:rPr>
                    </w:pPr>
                  </w:p>
                  <w:p>
                    <w:pPr>
                      <w:spacing w:before="0"/>
                      <w:ind w:left="0" w:right="0" w:firstLine="0"/>
                      <w:jc w:val="left"/>
                      <w:rPr>
                        <w:rFonts w:ascii="Calibri"/>
                        <w:sz w:val="20"/>
                      </w:rPr>
                    </w:pPr>
                    <w:r>
                      <w:rPr>
                        <w:rFonts w:ascii="Calibri"/>
                        <w:w w:val="99"/>
                        <w:sz w:val="20"/>
                      </w:rPr>
                      <w:t>4</w:t>
                    </w:r>
                  </w:p>
                  <w:p>
                    <w:pPr>
                      <w:spacing w:line="240" w:lineRule="auto" w:before="0"/>
                      <w:rPr>
                        <w:b/>
                        <w:sz w:val="19"/>
                      </w:rPr>
                    </w:pPr>
                  </w:p>
                  <w:p>
                    <w:pPr>
                      <w:spacing w:before="1"/>
                      <w:ind w:left="0" w:right="0" w:firstLine="0"/>
                      <w:jc w:val="left"/>
                      <w:rPr>
                        <w:rFonts w:ascii="Calibri"/>
                        <w:sz w:val="20"/>
                      </w:rPr>
                    </w:pPr>
                    <w:r>
                      <w:rPr>
                        <w:rFonts w:ascii="Calibri"/>
                        <w:w w:val="99"/>
                        <w:sz w:val="20"/>
                      </w:rPr>
                      <w:t>3</w:t>
                    </w:r>
                  </w:p>
                  <w:p>
                    <w:pPr>
                      <w:spacing w:line="240" w:lineRule="auto" w:before="0"/>
                      <w:rPr>
                        <w:b/>
                        <w:sz w:val="19"/>
                      </w:rPr>
                    </w:pPr>
                  </w:p>
                  <w:p>
                    <w:pPr>
                      <w:spacing w:before="1"/>
                      <w:ind w:left="0" w:right="0" w:firstLine="0"/>
                      <w:jc w:val="left"/>
                      <w:rPr>
                        <w:rFonts w:ascii="Calibri"/>
                        <w:sz w:val="20"/>
                      </w:rPr>
                    </w:pPr>
                    <w:r>
                      <w:rPr>
                        <w:rFonts w:ascii="Calibri"/>
                        <w:w w:val="99"/>
                        <w:sz w:val="20"/>
                      </w:rPr>
                      <w:t>2</w:t>
                    </w:r>
                  </w:p>
                  <w:p>
                    <w:pPr>
                      <w:spacing w:line="240" w:lineRule="auto" w:before="1"/>
                      <w:rPr>
                        <w:b/>
                        <w:sz w:val="19"/>
                      </w:rPr>
                    </w:pPr>
                  </w:p>
                  <w:p>
                    <w:pPr>
                      <w:spacing w:before="0"/>
                      <w:ind w:left="0" w:right="0" w:firstLine="0"/>
                      <w:jc w:val="left"/>
                      <w:rPr>
                        <w:rFonts w:ascii="Calibri"/>
                        <w:sz w:val="20"/>
                      </w:rPr>
                    </w:pPr>
                    <w:r>
                      <w:rPr>
                        <w:rFonts w:ascii="Calibri"/>
                        <w:w w:val="99"/>
                        <w:sz w:val="20"/>
                      </w:rPr>
                      <w:t>1</w:t>
                    </w:r>
                  </w:p>
                  <w:p>
                    <w:pPr>
                      <w:spacing w:line="240" w:lineRule="auto" w:before="0"/>
                      <w:rPr>
                        <w:b/>
                        <w:sz w:val="19"/>
                      </w:rPr>
                    </w:pPr>
                  </w:p>
                  <w:p>
                    <w:pPr>
                      <w:spacing w:line="240" w:lineRule="exact" w:before="1"/>
                      <w:ind w:left="0" w:right="0" w:firstLine="0"/>
                      <w:jc w:val="left"/>
                      <w:rPr>
                        <w:rFonts w:ascii="Calibri"/>
                        <w:sz w:val="20"/>
                      </w:rPr>
                    </w:pPr>
                    <w:r>
                      <w:rPr>
                        <w:rFonts w:ascii="Calibri"/>
                        <w:w w:val="99"/>
                        <w:sz w:val="20"/>
                      </w:rPr>
                      <w:t>0</w:t>
                    </w:r>
                  </w:p>
                </w:txbxContent>
              </v:textbox>
              <w10:wrap type="none"/>
            </v:shape>
            <v:shape style="position:absolute;left:3139;top:4795;width:6162;height:200" type="#_x0000_t202" filled="false" stroked="false">
              <v:textbox inset="0,0,0,0">
                <w:txbxContent>
                  <w:p>
                    <w:pPr>
                      <w:tabs>
                        <w:tab w:pos="639" w:val="left" w:leader="none"/>
                        <w:tab w:pos="1279" w:val="left" w:leader="none"/>
                        <w:tab w:pos="1918" w:val="left" w:leader="none"/>
                        <w:tab w:pos="2558" w:val="left" w:leader="none"/>
                        <w:tab w:pos="3197" w:val="left" w:leader="none"/>
                        <w:tab w:pos="3836" w:val="left" w:leader="none"/>
                        <w:tab w:pos="4476" w:val="left" w:leader="none"/>
                        <w:tab w:pos="5116" w:val="left" w:leader="none"/>
                        <w:tab w:pos="5755" w:val="left" w:leader="none"/>
                      </w:tabs>
                      <w:spacing w:line="199" w:lineRule="exact" w:before="0"/>
                      <w:ind w:left="0" w:right="0" w:firstLine="0"/>
                      <w:jc w:val="left"/>
                      <w:rPr>
                        <w:rFonts w:ascii="Calibri"/>
                        <w:sz w:val="20"/>
                      </w:rPr>
                    </w:pPr>
                    <w:r>
                      <w:rPr>
                        <w:rFonts w:ascii="Calibri"/>
                        <w:sz w:val="20"/>
                      </w:rPr>
                      <w:t>2000</w:t>
                      <w:tab/>
                      <w:t>2001</w:t>
                      <w:tab/>
                      <w:t>2002</w:t>
                      <w:tab/>
                      <w:t>2003</w:t>
                      <w:tab/>
                      <w:t>2004</w:t>
                      <w:tab/>
                      <w:t>2005</w:t>
                      <w:tab/>
                      <w:t>2006</w:t>
                      <w:tab/>
                      <w:t>2007</w:t>
                      <w:tab/>
                      <w:t>2008</w:t>
                      <w:tab/>
                      <w:t>2010</w:t>
                    </w:r>
                  </w:p>
                </w:txbxContent>
              </v:textbox>
              <w10:wrap type="none"/>
            </v:shape>
            <w10:wrap type="none"/>
          </v:group>
        </w:pict>
      </w:r>
      <w:r>
        <w:rPr/>
        <w:t>Figura 18 Artículos por año</w:t>
      </w:r>
    </w:p>
    <w:p>
      <w:pPr>
        <w:pStyle w:val="BodyText"/>
        <w:rPr>
          <w:b/>
          <w:sz w:val="19"/>
        </w:rPr>
      </w:pPr>
    </w:p>
    <w:tbl>
      <w:tblPr>
        <w:tblW w:w="0" w:type="auto"/>
        <w:jc w:val="left"/>
        <w:tblInd w:w="1414"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92"/>
        <w:gridCol w:w="254"/>
        <w:gridCol w:w="384"/>
        <w:gridCol w:w="257"/>
        <w:gridCol w:w="382"/>
        <w:gridCol w:w="257"/>
        <w:gridCol w:w="384"/>
        <w:gridCol w:w="254"/>
        <w:gridCol w:w="384"/>
        <w:gridCol w:w="257"/>
        <w:gridCol w:w="384"/>
        <w:gridCol w:w="254"/>
        <w:gridCol w:w="384"/>
        <w:gridCol w:w="257"/>
        <w:gridCol w:w="384"/>
        <w:gridCol w:w="254"/>
        <w:gridCol w:w="384"/>
        <w:gridCol w:w="257"/>
        <w:gridCol w:w="382"/>
        <w:gridCol w:w="257"/>
        <w:gridCol w:w="192"/>
      </w:tblGrid>
      <w:tr>
        <w:trPr>
          <w:trHeight w:val="463" w:hRule="exact"/>
        </w:trPr>
        <w:tc>
          <w:tcPr>
            <w:tcW w:w="6394" w:type="dxa"/>
            <w:gridSpan w:val="21"/>
            <w:tcBorders>
              <w:right w:val="nil"/>
            </w:tcBorders>
          </w:tcPr>
          <w:p>
            <w:pPr>
              <w:pStyle w:val="TableParagraph"/>
              <w:spacing w:before="122"/>
              <w:ind w:right="1921"/>
              <w:jc w:val="center"/>
              <w:rPr>
                <w:rFonts w:ascii="Calibri"/>
                <w:sz w:val="20"/>
              </w:rPr>
            </w:pPr>
            <w:r>
              <w:rPr>
                <w:rFonts w:ascii="Calibri"/>
                <w:w w:val="99"/>
                <w:sz w:val="20"/>
              </w:rPr>
              <w:t>7</w:t>
            </w:r>
          </w:p>
        </w:tc>
      </w:tr>
      <w:tr>
        <w:trPr>
          <w:trHeight w:val="463" w:hRule="exact"/>
        </w:trPr>
        <w:tc>
          <w:tcPr>
            <w:tcW w:w="2110" w:type="dxa"/>
            <w:gridSpan w:val="7"/>
            <w:tcBorders>
              <w:right w:val="nil"/>
            </w:tcBorders>
          </w:tcPr>
          <w:p>
            <w:pPr/>
          </w:p>
        </w:tc>
        <w:tc>
          <w:tcPr>
            <w:tcW w:w="254" w:type="dxa"/>
            <w:vMerge w:val="restart"/>
            <w:tcBorders>
              <w:left w:val="nil"/>
              <w:right w:val="nil"/>
            </w:tcBorders>
            <w:shd w:val="clear" w:color="auto" w:fill="9BBA58"/>
          </w:tcPr>
          <w:p>
            <w:pPr/>
          </w:p>
        </w:tc>
        <w:tc>
          <w:tcPr>
            <w:tcW w:w="4030" w:type="dxa"/>
            <w:gridSpan w:val="13"/>
            <w:tcBorders>
              <w:left w:val="nil"/>
              <w:right w:val="nil"/>
            </w:tcBorders>
          </w:tcPr>
          <w:p>
            <w:pPr/>
          </w:p>
        </w:tc>
      </w:tr>
      <w:tr>
        <w:trPr>
          <w:trHeight w:val="463" w:hRule="exact"/>
        </w:trPr>
        <w:tc>
          <w:tcPr>
            <w:tcW w:w="2110" w:type="dxa"/>
            <w:gridSpan w:val="7"/>
            <w:tcBorders>
              <w:right w:val="nil"/>
            </w:tcBorders>
          </w:tcPr>
          <w:p>
            <w:pPr>
              <w:pStyle w:val="TableParagraph"/>
              <w:spacing w:before="123"/>
              <w:ind w:right="457"/>
              <w:jc w:val="right"/>
              <w:rPr>
                <w:rFonts w:ascii="Calibri"/>
                <w:sz w:val="20"/>
              </w:rPr>
            </w:pPr>
            <w:r>
              <w:rPr>
                <w:rFonts w:ascii="Calibri"/>
                <w:w w:val="99"/>
                <w:sz w:val="20"/>
              </w:rPr>
              <w:t>5</w:t>
            </w:r>
          </w:p>
        </w:tc>
        <w:tc>
          <w:tcPr>
            <w:tcW w:w="254" w:type="dxa"/>
            <w:vMerge/>
            <w:tcBorders>
              <w:left w:val="nil"/>
              <w:right w:val="nil"/>
            </w:tcBorders>
            <w:shd w:val="clear" w:color="auto" w:fill="9BBA58"/>
          </w:tcPr>
          <w:p>
            <w:pPr/>
          </w:p>
        </w:tc>
        <w:tc>
          <w:tcPr>
            <w:tcW w:w="4030" w:type="dxa"/>
            <w:gridSpan w:val="13"/>
            <w:tcBorders>
              <w:left w:val="nil"/>
              <w:right w:val="nil"/>
            </w:tcBorders>
          </w:tcPr>
          <w:p>
            <w:pPr/>
          </w:p>
        </w:tc>
      </w:tr>
      <w:tr>
        <w:trPr>
          <w:trHeight w:val="463" w:hRule="exact"/>
        </w:trPr>
        <w:tc>
          <w:tcPr>
            <w:tcW w:w="1469" w:type="dxa"/>
            <w:gridSpan w:val="5"/>
            <w:tcBorders>
              <w:right w:val="nil"/>
            </w:tcBorders>
          </w:tcPr>
          <w:p>
            <w:pPr/>
          </w:p>
        </w:tc>
        <w:tc>
          <w:tcPr>
            <w:tcW w:w="257" w:type="dxa"/>
            <w:vMerge w:val="restart"/>
            <w:tcBorders>
              <w:left w:val="nil"/>
              <w:right w:val="nil"/>
            </w:tcBorders>
            <w:shd w:val="clear" w:color="auto" w:fill="9BBA58"/>
          </w:tcPr>
          <w:p>
            <w:pPr/>
          </w:p>
        </w:tc>
        <w:tc>
          <w:tcPr>
            <w:tcW w:w="384" w:type="dxa"/>
            <w:tcBorders>
              <w:left w:val="nil"/>
              <w:right w:val="nil"/>
            </w:tcBorders>
          </w:tcPr>
          <w:p>
            <w:pPr/>
          </w:p>
        </w:tc>
        <w:tc>
          <w:tcPr>
            <w:tcW w:w="254" w:type="dxa"/>
            <w:vMerge/>
            <w:tcBorders>
              <w:left w:val="nil"/>
              <w:right w:val="nil"/>
            </w:tcBorders>
            <w:shd w:val="clear" w:color="auto" w:fill="9BBA58"/>
          </w:tcPr>
          <w:p>
            <w:pPr/>
          </w:p>
        </w:tc>
        <w:tc>
          <w:tcPr>
            <w:tcW w:w="4030" w:type="dxa"/>
            <w:gridSpan w:val="13"/>
            <w:tcBorders>
              <w:left w:val="nil"/>
              <w:right w:val="nil"/>
            </w:tcBorders>
          </w:tcPr>
          <w:p>
            <w:pPr>
              <w:pStyle w:val="TableParagraph"/>
              <w:tabs>
                <w:tab w:pos="1103" w:val="left" w:leader="none"/>
              </w:tabs>
              <w:spacing w:before="124"/>
              <w:ind w:left="464"/>
              <w:rPr>
                <w:rFonts w:ascii="Calibri"/>
                <w:sz w:val="20"/>
              </w:rPr>
            </w:pPr>
            <w:r>
              <w:rPr>
                <w:rFonts w:ascii="Calibri"/>
                <w:sz w:val="20"/>
              </w:rPr>
              <w:t>4</w:t>
              <w:tab/>
              <w:t>4</w:t>
            </w:r>
          </w:p>
        </w:tc>
      </w:tr>
      <w:tr>
        <w:trPr>
          <w:trHeight w:val="463" w:hRule="exact"/>
        </w:trPr>
        <w:tc>
          <w:tcPr>
            <w:tcW w:w="1469" w:type="dxa"/>
            <w:gridSpan w:val="5"/>
            <w:tcBorders>
              <w:right w:val="nil"/>
            </w:tcBorders>
          </w:tcPr>
          <w:p>
            <w:pPr>
              <w:pStyle w:val="TableParagraph"/>
              <w:spacing w:before="124"/>
              <w:ind w:left="902"/>
              <w:rPr>
                <w:rFonts w:ascii="Calibri"/>
                <w:sz w:val="20"/>
              </w:rPr>
            </w:pPr>
            <w:r>
              <w:rPr>
                <w:rFonts w:ascii="Calibri"/>
                <w:w w:val="99"/>
                <w:sz w:val="20"/>
              </w:rPr>
              <w:t>3</w:t>
            </w:r>
          </w:p>
        </w:tc>
        <w:tc>
          <w:tcPr>
            <w:tcW w:w="257" w:type="dxa"/>
            <w:vMerge/>
            <w:tcBorders>
              <w:left w:val="nil"/>
              <w:right w:val="nil"/>
            </w:tcBorders>
            <w:shd w:val="clear" w:color="auto" w:fill="9BBA58"/>
          </w:tcPr>
          <w:p>
            <w:pPr/>
          </w:p>
        </w:tc>
        <w:tc>
          <w:tcPr>
            <w:tcW w:w="384" w:type="dxa"/>
            <w:tcBorders>
              <w:left w:val="nil"/>
              <w:right w:val="nil"/>
            </w:tcBorders>
          </w:tcPr>
          <w:p>
            <w:pPr/>
          </w:p>
        </w:tc>
        <w:tc>
          <w:tcPr>
            <w:tcW w:w="254" w:type="dxa"/>
            <w:vMerge/>
            <w:tcBorders>
              <w:left w:val="nil"/>
              <w:right w:val="nil"/>
            </w:tcBorders>
            <w:shd w:val="clear" w:color="auto" w:fill="9BBA58"/>
          </w:tcPr>
          <w:p>
            <w:pPr/>
          </w:p>
        </w:tc>
        <w:tc>
          <w:tcPr>
            <w:tcW w:w="384" w:type="dxa"/>
            <w:tcBorders>
              <w:left w:val="nil"/>
              <w:right w:val="nil"/>
            </w:tcBorders>
          </w:tcPr>
          <w:p>
            <w:pPr/>
          </w:p>
        </w:tc>
        <w:tc>
          <w:tcPr>
            <w:tcW w:w="257" w:type="dxa"/>
            <w:vMerge w:val="restart"/>
            <w:tcBorders>
              <w:left w:val="nil"/>
              <w:right w:val="nil"/>
            </w:tcBorders>
            <w:shd w:val="clear" w:color="auto" w:fill="9BBA58"/>
          </w:tcPr>
          <w:p>
            <w:pPr/>
          </w:p>
        </w:tc>
        <w:tc>
          <w:tcPr>
            <w:tcW w:w="384" w:type="dxa"/>
            <w:tcBorders>
              <w:left w:val="nil"/>
              <w:right w:val="nil"/>
            </w:tcBorders>
          </w:tcPr>
          <w:p>
            <w:pPr/>
          </w:p>
        </w:tc>
        <w:tc>
          <w:tcPr>
            <w:tcW w:w="254" w:type="dxa"/>
            <w:vMerge w:val="restart"/>
            <w:tcBorders>
              <w:left w:val="nil"/>
              <w:right w:val="nil"/>
            </w:tcBorders>
            <w:shd w:val="clear" w:color="auto" w:fill="9BBA58"/>
          </w:tcPr>
          <w:p>
            <w:pPr/>
          </w:p>
        </w:tc>
        <w:tc>
          <w:tcPr>
            <w:tcW w:w="2750" w:type="dxa"/>
            <w:gridSpan w:val="9"/>
            <w:tcBorders>
              <w:left w:val="nil"/>
              <w:right w:val="nil"/>
            </w:tcBorders>
          </w:tcPr>
          <w:p>
            <w:pPr>
              <w:pStyle w:val="TableParagraph"/>
              <w:spacing w:before="124"/>
              <w:ind w:right="440"/>
              <w:jc w:val="center"/>
              <w:rPr>
                <w:rFonts w:ascii="Calibri"/>
                <w:sz w:val="20"/>
              </w:rPr>
            </w:pPr>
            <w:r>
              <w:rPr>
                <w:rFonts w:ascii="Calibri"/>
                <w:w w:val="99"/>
                <w:sz w:val="20"/>
              </w:rPr>
              <w:t>3</w:t>
            </w:r>
          </w:p>
        </w:tc>
      </w:tr>
      <w:tr>
        <w:trPr>
          <w:trHeight w:val="466" w:hRule="exact"/>
        </w:trPr>
        <w:tc>
          <w:tcPr>
            <w:tcW w:w="830" w:type="dxa"/>
            <w:gridSpan w:val="3"/>
            <w:tcBorders>
              <w:right w:val="nil"/>
            </w:tcBorders>
          </w:tcPr>
          <w:p>
            <w:pPr>
              <w:pStyle w:val="TableParagraph"/>
              <w:spacing w:before="125"/>
              <w:ind w:left="262"/>
              <w:rPr>
                <w:rFonts w:ascii="Calibri"/>
                <w:sz w:val="20"/>
              </w:rPr>
            </w:pPr>
            <w:r>
              <w:rPr>
                <w:rFonts w:ascii="Calibri"/>
                <w:w w:val="99"/>
                <w:sz w:val="20"/>
              </w:rPr>
              <w:t>2</w:t>
            </w:r>
          </w:p>
        </w:tc>
        <w:tc>
          <w:tcPr>
            <w:tcW w:w="257" w:type="dxa"/>
            <w:vMerge w:val="restart"/>
            <w:tcBorders>
              <w:left w:val="nil"/>
              <w:right w:val="nil"/>
            </w:tcBorders>
            <w:shd w:val="clear" w:color="auto" w:fill="9BBA58"/>
          </w:tcPr>
          <w:p>
            <w:pPr/>
          </w:p>
        </w:tc>
        <w:tc>
          <w:tcPr>
            <w:tcW w:w="382" w:type="dxa"/>
            <w:tcBorders>
              <w:left w:val="nil"/>
              <w:right w:val="nil"/>
            </w:tcBorders>
          </w:tcPr>
          <w:p>
            <w:pPr/>
          </w:p>
        </w:tc>
        <w:tc>
          <w:tcPr>
            <w:tcW w:w="257" w:type="dxa"/>
            <w:vMerge/>
            <w:tcBorders>
              <w:left w:val="nil"/>
              <w:right w:val="nil"/>
            </w:tcBorders>
            <w:shd w:val="clear" w:color="auto" w:fill="9BBA58"/>
          </w:tcPr>
          <w:p>
            <w:pPr/>
          </w:p>
        </w:tc>
        <w:tc>
          <w:tcPr>
            <w:tcW w:w="384" w:type="dxa"/>
            <w:tcBorders>
              <w:left w:val="nil"/>
              <w:right w:val="nil"/>
            </w:tcBorders>
          </w:tcPr>
          <w:p>
            <w:pPr/>
          </w:p>
        </w:tc>
        <w:tc>
          <w:tcPr>
            <w:tcW w:w="254" w:type="dxa"/>
            <w:vMerge/>
            <w:tcBorders>
              <w:left w:val="nil"/>
              <w:right w:val="nil"/>
            </w:tcBorders>
            <w:shd w:val="clear" w:color="auto" w:fill="9BBA58"/>
          </w:tcPr>
          <w:p>
            <w:pPr/>
          </w:p>
        </w:tc>
        <w:tc>
          <w:tcPr>
            <w:tcW w:w="384" w:type="dxa"/>
            <w:tcBorders>
              <w:left w:val="nil"/>
              <w:right w:val="nil"/>
            </w:tcBorders>
          </w:tcPr>
          <w:p>
            <w:pPr/>
          </w:p>
        </w:tc>
        <w:tc>
          <w:tcPr>
            <w:tcW w:w="257" w:type="dxa"/>
            <w:vMerge/>
            <w:tcBorders>
              <w:left w:val="nil"/>
              <w:right w:val="nil"/>
            </w:tcBorders>
            <w:shd w:val="clear" w:color="auto" w:fill="9BBA58"/>
          </w:tcPr>
          <w:p>
            <w:pPr/>
          </w:p>
        </w:tc>
        <w:tc>
          <w:tcPr>
            <w:tcW w:w="384" w:type="dxa"/>
            <w:tcBorders>
              <w:left w:val="nil"/>
              <w:right w:val="nil"/>
            </w:tcBorders>
          </w:tcPr>
          <w:p>
            <w:pPr/>
          </w:p>
        </w:tc>
        <w:tc>
          <w:tcPr>
            <w:tcW w:w="254" w:type="dxa"/>
            <w:vMerge/>
            <w:tcBorders>
              <w:left w:val="nil"/>
              <w:right w:val="nil"/>
            </w:tcBorders>
            <w:shd w:val="clear" w:color="auto" w:fill="9BBA58"/>
          </w:tcPr>
          <w:p>
            <w:pPr/>
          </w:p>
        </w:tc>
        <w:tc>
          <w:tcPr>
            <w:tcW w:w="1025" w:type="dxa"/>
            <w:gridSpan w:val="3"/>
            <w:tcBorders>
              <w:left w:val="nil"/>
              <w:right w:val="nil"/>
            </w:tcBorders>
          </w:tcPr>
          <w:p>
            <w:pPr/>
          </w:p>
        </w:tc>
        <w:tc>
          <w:tcPr>
            <w:tcW w:w="254" w:type="dxa"/>
            <w:vMerge w:val="restart"/>
            <w:tcBorders>
              <w:left w:val="nil"/>
              <w:right w:val="nil"/>
            </w:tcBorders>
            <w:shd w:val="clear" w:color="auto" w:fill="9BBA58"/>
          </w:tcPr>
          <w:p>
            <w:pPr/>
          </w:p>
        </w:tc>
        <w:tc>
          <w:tcPr>
            <w:tcW w:w="1471" w:type="dxa"/>
            <w:gridSpan w:val="5"/>
            <w:tcBorders>
              <w:left w:val="nil"/>
              <w:right w:val="nil"/>
            </w:tcBorders>
          </w:tcPr>
          <w:p>
            <w:pPr>
              <w:pStyle w:val="TableParagraph"/>
              <w:spacing w:before="125"/>
              <w:ind w:left="463"/>
              <w:rPr>
                <w:rFonts w:ascii="Calibri"/>
                <w:sz w:val="20"/>
              </w:rPr>
            </w:pPr>
            <w:r>
              <w:rPr>
                <w:rFonts w:ascii="Calibri"/>
                <w:w w:val="99"/>
                <w:sz w:val="20"/>
              </w:rPr>
              <w:t>2</w:t>
            </w:r>
          </w:p>
        </w:tc>
      </w:tr>
      <w:tr>
        <w:trPr>
          <w:trHeight w:val="463" w:hRule="exact"/>
        </w:trPr>
        <w:tc>
          <w:tcPr>
            <w:tcW w:w="192" w:type="dxa"/>
            <w:tcBorders>
              <w:right w:val="nil"/>
            </w:tcBorders>
          </w:tcPr>
          <w:p>
            <w:pPr/>
          </w:p>
        </w:tc>
        <w:tc>
          <w:tcPr>
            <w:tcW w:w="254" w:type="dxa"/>
            <w:vMerge w:val="restart"/>
            <w:tcBorders>
              <w:left w:val="nil"/>
              <w:right w:val="nil"/>
            </w:tcBorders>
            <w:shd w:val="clear" w:color="auto" w:fill="9BBA58"/>
          </w:tcPr>
          <w:p>
            <w:pPr/>
          </w:p>
        </w:tc>
        <w:tc>
          <w:tcPr>
            <w:tcW w:w="384" w:type="dxa"/>
            <w:tcBorders>
              <w:left w:val="nil"/>
              <w:right w:val="nil"/>
            </w:tcBorders>
          </w:tcPr>
          <w:p>
            <w:pPr/>
          </w:p>
        </w:tc>
        <w:tc>
          <w:tcPr>
            <w:tcW w:w="257" w:type="dxa"/>
            <w:vMerge/>
            <w:tcBorders>
              <w:left w:val="nil"/>
              <w:right w:val="nil"/>
            </w:tcBorders>
            <w:shd w:val="clear" w:color="auto" w:fill="9BBA58"/>
          </w:tcPr>
          <w:p>
            <w:pPr/>
          </w:p>
        </w:tc>
        <w:tc>
          <w:tcPr>
            <w:tcW w:w="382" w:type="dxa"/>
            <w:tcBorders>
              <w:left w:val="nil"/>
              <w:right w:val="nil"/>
            </w:tcBorders>
          </w:tcPr>
          <w:p>
            <w:pPr/>
          </w:p>
        </w:tc>
        <w:tc>
          <w:tcPr>
            <w:tcW w:w="257" w:type="dxa"/>
            <w:vMerge/>
            <w:tcBorders>
              <w:left w:val="nil"/>
              <w:right w:val="nil"/>
            </w:tcBorders>
            <w:shd w:val="clear" w:color="auto" w:fill="9BBA58"/>
          </w:tcPr>
          <w:p>
            <w:pPr/>
          </w:p>
        </w:tc>
        <w:tc>
          <w:tcPr>
            <w:tcW w:w="384" w:type="dxa"/>
            <w:tcBorders>
              <w:left w:val="nil"/>
              <w:right w:val="nil"/>
            </w:tcBorders>
          </w:tcPr>
          <w:p>
            <w:pPr/>
          </w:p>
        </w:tc>
        <w:tc>
          <w:tcPr>
            <w:tcW w:w="254" w:type="dxa"/>
            <w:vMerge/>
            <w:tcBorders>
              <w:left w:val="nil"/>
              <w:right w:val="nil"/>
            </w:tcBorders>
            <w:shd w:val="clear" w:color="auto" w:fill="9BBA58"/>
          </w:tcPr>
          <w:p>
            <w:pPr/>
          </w:p>
        </w:tc>
        <w:tc>
          <w:tcPr>
            <w:tcW w:w="384" w:type="dxa"/>
            <w:tcBorders>
              <w:left w:val="nil"/>
              <w:right w:val="nil"/>
            </w:tcBorders>
          </w:tcPr>
          <w:p>
            <w:pPr/>
          </w:p>
        </w:tc>
        <w:tc>
          <w:tcPr>
            <w:tcW w:w="257" w:type="dxa"/>
            <w:vMerge/>
            <w:tcBorders>
              <w:left w:val="nil"/>
              <w:right w:val="nil"/>
            </w:tcBorders>
            <w:shd w:val="clear" w:color="auto" w:fill="9BBA58"/>
          </w:tcPr>
          <w:p>
            <w:pPr/>
          </w:p>
        </w:tc>
        <w:tc>
          <w:tcPr>
            <w:tcW w:w="384" w:type="dxa"/>
            <w:tcBorders>
              <w:left w:val="nil"/>
              <w:right w:val="nil"/>
            </w:tcBorders>
          </w:tcPr>
          <w:p>
            <w:pPr/>
          </w:p>
        </w:tc>
        <w:tc>
          <w:tcPr>
            <w:tcW w:w="254" w:type="dxa"/>
            <w:vMerge/>
            <w:tcBorders>
              <w:left w:val="nil"/>
              <w:right w:val="nil"/>
            </w:tcBorders>
            <w:shd w:val="clear" w:color="auto" w:fill="9BBA58"/>
          </w:tcPr>
          <w:p>
            <w:pPr/>
          </w:p>
        </w:tc>
        <w:tc>
          <w:tcPr>
            <w:tcW w:w="1025" w:type="dxa"/>
            <w:gridSpan w:val="3"/>
            <w:tcBorders>
              <w:left w:val="nil"/>
              <w:right w:val="nil"/>
            </w:tcBorders>
          </w:tcPr>
          <w:p>
            <w:pPr>
              <w:pStyle w:val="TableParagraph"/>
              <w:spacing w:before="123"/>
              <w:ind w:left="3"/>
              <w:jc w:val="center"/>
              <w:rPr>
                <w:rFonts w:ascii="Calibri"/>
                <w:sz w:val="20"/>
              </w:rPr>
            </w:pPr>
            <w:r>
              <w:rPr>
                <w:rFonts w:ascii="Calibri"/>
                <w:w w:val="99"/>
                <w:sz w:val="20"/>
              </w:rPr>
              <w:t>1</w:t>
            </w:r>
          </w:p>
        </w:tc>
        <w:tc>
          <w:tcPr>
            <w:tcW w:w="254" w:type="dxa"/>
            <w:vMerge/>
            <w:tcBorders>
              <w:left w:val="nil"/>
              <w:right w:val="nil"/>
            </w:tcBorders>
            <w:shd w:val="clear" w:color="auto" w:fill="9BBA58"/>
          </w:tcPr>
          <w:p>
            <w:pPr/>
          </w:p>
        </w:tc>
        <w:tc>
          <w:tcPr>
            <w:tcW w:w="384" w:type="dxa"/>
            <w:tcBorders>
              <w:left w:val="nil"/>
              <w:right w:val="nil"/>
            </w:tcBorders>
          </w:tcPr>
          <w:p>
            <w:pPr/>
          </w:p>
        </w:tc>
        <w:tc>
          <w:tcPr>
            <w:tcW w:w="257" w:type="dxa"/>
            <w:vMerge w:val="restart"/>
            <w:tcBorders>
              <w:left w:val="nil"/>
              <w:right w:val="nil"/>
            </w:tcBorders>
            <w:shd w:val="clear" w:color="auto" w:fill="9BBA58"/>
          </w:tcPr>
          <w:p>
            <w:pPr/>
          </w:p>
        </w:tc>
        <w:tc>
          <w:tcPr>
            <w:tcW w:w="830" w:type="dxa"/>
            <w:gridSpan w:val="3"/>
            <w:tcBorders>
              <w:left w:val="nil"/>
              <w:right w:val="nil"/>
            </w:tcBorders>
          </w:tcPr>
          <w:p>
            <w:pPr>
              <w:pStyle w:val="TableParagraph"/>
              <w:spacing w:before="123"/>
              <w:ind w:left="462"/>
              <w:rPr>
                <w:rFonts w:ascii="Calibri"/>
                <w:sz w:val="20"/>
              </w:rPr>
            </w:pPr>
            <w:r>
              <w:rPr>
                <w:rFonts w:ascii="Calibri"/>
                <w:w w:val="99"/>
                <w:sz w:val="20"/>
              </w:rPr>
              <w:t>1</w:t>
            </w:r>
          </w:p>
        </w:tc>
      </w:tr>
      <w:tr>
        <w:trPr>
          <w:trHeight w:val="463" w:hRule="exact"/>
        </w:trPr>
        <w:tc>
          <w:tcPr>
            <w:tcW w:w="192" w:type="dxa"/>
            <w:tcBorders>
              <w:right w:val="nil"/>
            </w:tcBorders>
          </w:tcPr>
          <w:p>
            <w:pPr/>
          </w:p>
        </w:tc>
        <w:tc>
          <w:tcPr>
            <w:tcW w:w="254" w:type="dxa"/>
            <w:vMerge/>
            <w:tcBorders>
              <w:left w:val="nil"/>
              <w:right w:val="nil"/>
            </w:tcBorders>
            <w:shd w:val="clear" w:color="auto" w:fill="9BBA58"/>
          </w:tcPr>
          <w:p>
            <w:pPr/>
          </w:p>
        </w:tc>
        <w:tc>
          <w:tcPr>
            <w:tcW w:w="384" w:type="dxa"/>
            <w:tcBorders>
              <w:left w:val="nil"/>
              <w:bottom w:val="single" w:sz="25" w:space="0" w:color="858585"/>
              <w:right w:val="nil"/>
            </w:tcBorders>
          </w:tcPr>
          <w:p>
            <w:pPr/>
          </w:p>
        </w:tc>
        <w:tc>
          <w:tcPr>
            <w:tcW w:w="257" w:type="dxa"/>
            <w:vMerge/>
            <w:tcBorders>
              <w:left w:val="nil"/>
              <w:right w:val="nil"/>
            </w:tcBorders>
            <w:shd w:val="clear" w:color="auto" w:fill="9BBA58"/>
          </w:tcPr>
          <w:p>
            <w:pPr/>
          </w:p>
        </w:tc>
        <w:tc>
          <w:tcPr>
            <w:tcW w:w="382" w:type="dxa"/>
            <w:tcBorders>
              <w:left w:val="nil"/>
              <w:bottom w:val="single" w:sz="25" w:space="0" w:color="858585"/>
              <w:right w:val="nil"/>
            </w:tcBorders>
          </w:tcPr>
          <w:p>
            <w:pPr/>
          </w:p>
        </w:tc>
        <w:tc>
          <w:tcPr>
            <w:tcW w:w="257" w:type="dxa"/>
            <w:vMerge/>
            <w:tcBorders>
              <w:left w:val="nil"/>
              <w:right w:val="nil"/>
            </w:tcBorders>
            <w:shd w:val="clear" w:color="auto" w:fill="9BBA58"/>
          </w:tcPr>
          <w:p>
            <w:pPr/>
          </w:p>
        </w:tc>
        <w:tc>
          <w:tcPr>
            <w:tcW w:w="384" w:type="dxa"/>
            <w:tcBorders>
              <w:left w:val="nil"/>
              <w:bottom w:val="single" w:sz="25" w:space="0" w:color="858585"/>
              <w:right w:val="nil"/>
            </w:tcBorders>
          </w:tcPr>
          <w:p>
            <w:pPr/>
          </w:p>
        </w:tc>
        <w:tc>
          <w:tcPr>
            <w:tcW w:w="254" w:type="dxa"/>
            <w:vMerge/>
            <w:tcBorders>
              <w:left w:val="nil"/>
              <w:right w:val="nil"/>
            </w:tcBorders>
            <w:shd w:val="clear" w:color="auto" w:fill="9BBA58"/>
          </w:tcPr>
          <w:p>
            <w:pPr/>
          </w:p>
        </w:tc>
        <w:tc>
          <w:tcPr>
            <w:tcW w:w="384" w:type="dxa"/>
            <w:tcBorders>
              <w:left w:val="nil"/>
              <w:bottom w:val="single" w:sz="25" w:space="0" w:color="858585"/>
              <w:right w:val="nil"/>
            </w:tcBorders>
          </w:tcPr>
          <w:p>
            <w:pPr/>
          </w:p>
        </w:tc>
        <w:tc>
          <w:tcPr>
            <w:tcW w:w="257" w:type="dxa"/>
            <w:vMerge/>
            <w:tcBorders>
              <w:left w:val="nil"/>
              <w:right w:val="nil"/>
            </w:tcBorders>
            <w:shd w:val="clear" w:color="auto" w:fill="9BBA58"/>
          </w:tcPr>
          <w:p>
            <w:pPr/>
          </w:p>
        </w:tc>
        <w:tc>
          <w:tcPr>
            <w:tcW w:w="384" w:type="dxa"/>
            <w:tcBorders>
              <w:left w:val="nil"/>
              <w:bottom w:val="single" w:sz="25" w:space="0" w:color="858585"/>
              <w:right w:val="nil"/>
            </w:tcBorders>
          </w:tcPr>
          <w:p>
            <w:pPr/>
          </w:p>
        </w:tc>
        <w:tc>
          <w:tcPr>
            <w:tcW w:w="254" w:type="dxa"/>
            <w:vMerge/>
            <w:tcBorders>
              <w:left w:val="nil"/>
              <w:right w:val="nil"/>
            </w:tcBorders>
            <w:shd w:val="clear" w:color="auto" w:fill="9BBA58"/>
          </w:tcPr>
          <w:p>
            <w:pPr/>
          </w:p>
        </w:tc>
        <w:tc>
          <w:tcPr>
            <w:tcW w:w="384" w:type="dxa"/>
            <w:tcBorders>
              <w:left w:val="nil"/>
              <w:bottom w:val="single" w:sz="25" w:space="0" w:color="858585"/>
              <w:right w:val="nil"/>
            </w:tcBorders>
          </w:tcPr>
          <w:p>
            <w:pPr/>
          </w:p>
        </w:tc>
        <w:tc>
          <w:tcPr>
            <w:tcW w:w="257" w:type="dxa"/>
            <w:tcBorders>
              <w:left w:val="nil"/>
              <w:right w:val="nil"/>
            </w:tcBorders>
            <w:shd w:val="clear" w:color="auto" w:fill="9BBA58"/>
          </w:tcPr>
          <w:p>
            <w:pPr/>
          </w:p>
        </w:tc>
        <w:tc>
          <w:tcPr>
            <w:tcW w:w="384" w:type="dxa"/>
            <w:tcBorders>
              <w:left w:val="nil"/>
              <w:bottom w:val="single" w:sz="25" w:space="0" w:color="858585"/>
              <w:right w:val="nil"/>
            </w:tcBorders>
          </w:tcPr>
          <w:p>
            <w:pPr/>
          </w:p>
        </w:tc>
        <w:tc>
          <w:tcPr>
            <w:tcW w:w="254" w:type="dxa"/>
            <w:vMerge/>
            <w:tcBorders>
              <w:left w:val="nil"/>
              <w:right w:val="nil"/>
            </w:tcBorders>
            <w:shd w:val="clear" w:color="auto" w:fill="9BBA58"/>
          </w:tcPr>
          <w:p>
            <w:pPr/>
          </w:p>
        </w:tc>
        <w:tc>
          <w:tcPr>
            <w:tcW w:w="384" w:type="dxa"/>
            <w:tcBorders>
              <w:left w:val="nil"/>
              <w:bottom w:val="single" w:sz="25" w:space="0" w:color="858585"/>
              <w:right w:val="nil"/>
            </w:tcBorders>
          </w:tcPr>
          <w:p>
            <w:pPr/>
          </w:p>
        </w:tc>
        <w:tc>
          <w:tcPr>
            <w:tcW w:w="257" w:type="dxa"/>
            <w:vMerge/>
            <w:tcBorders>
              <w:left w:val="nil"/>
              <w:right w:val="nil"/>
            </w:tcBorders>
            <w:shd w:val="clear" w:color="auto" w:fill="9BBA58"/>
          </w:tcPr>
          <w:p>
            <w:pPr/>
          </w:p>
        </w:tc>
        <w:tc>
          <w:tcPr>
            <w:tcW w:w="382" w:type="dxa"/>
            <w:tcBorders>
              <w:left w:val="nil"/>
              <w:bottom w:val="single" w:sz="25" w:space="0" w:color="858585"/>
              <w:right w:val="nil"/>
            </w:tcBorders>
          </w:tcPr>
          <w:p>
            <w:pPr/>
          </w:p>
        </w:tc>
        <w:tc>
          <w:tcPr>
            <w:tcW w:w="257" w:type="dxa"/>
            <w:tcBorders>
              <w:left w:val="nil"/>
              <w:right w:val="nil"/>
            </w:tcBorders>
            <w:shd w:val="clear" w:color="auto" w:fill="9BBA58"/>
          </w:tcPr>
          <w:p>
            <w:pPr/>
          </w:p>
        </w:tc>
        <w:tc>
          <w:tcPr>
            <w:tcW w:w="192" w:type="dxa"/>
            <w:tcBorders>
              <w:left w:val="nil"/>
              <w:right w:val="nil"/>
            </w:tcBorders>
          </w:tcPr>
          <w:p>
            <w:pPr/>
          </w:p>
        </w:tc>
      </w:tr>
    </w:tbl>
    <w:p>
      <w:pPr>
        <w:spacing w:after="0"/>
        <w:sectPr>
          <w:pgSz w:w="12240" w:h="15840"/>
          <w:pgMar w:header="0" w:footer="629" w:top="1360" w:bottom="880" w:left="1600" w:right="1580"/>
        </w:sectPr>
      </w:pPr>
    </w:p>
    <w:p>
      <w:pPr>
        <w:pStyle w:val="BodyText"/>
        <w:spacing w:line="360" w:lineRule="auto" w:before="54"/>
        <w:ind w:left="102" w:right="116"/>
        <w:jc w:val="both"/>
      </w:pPr>
      <w:r>
        <w:rPr/>
        <w:t>Las disciplinas que mayor aportan a la investigación urbana son economía con 40% de los artículos y sociología con el 30%, mientras que planeación aporta el 15%. De esta forma podemos inferir que la influencia de la sociología aún es notoria, lo cual podría generar una dependencia de la investigación urbana respecto a los marcos teóricos provenientes de la sociología y economía, pero además de eso determina un tipo específico de investigación.</w:t>
      </w:r>
    </w:p>
    <w:p>
      <w:pPr>
        <w:pStyle w:val="BodyText"/>
      </w:pPr>
    </w:p>
    <w:p>
      <w:pPr>
        <w:pStyle w:val="BodyText"/>
        <w:spacing w:line="360" w:lineRule="auto" w:before="142"/>
        <w:ind w:left="102" w:right="117"/>
        <w:jc w:val="both"/>
      </w:pPr>
      <w:r>
        <w:rPr/>
        <w:t>A pesar de que el ámbito de las ciencias ambientales ha obtenido mayor importancia en las últimas décadas tiene baja presencia en la investigación  urbana; recordemos que la presencia de cada disciplina no corresponde a la cantidad de artículos producidos respecto al tema, sino al impulso que hacen los investigadores a través de sus</w:t>
      </w:r>
      <w:r>
        <w:rPr>
          <w:spacing w:val="-10"/>
        </w:rPr>
        <w:t> </w:t>
      </w:r>
      <w:r>
        <w:rPr/>
        <w:t>citas.</w:t>
      </w:r>
    </w:p>
    <w:p>
      <w:pPr>
        <w:pStyle w:val="BodyText"/>
      </w:pPr>
    </w:p>
    <w:p>
      <w:pPr>
        <w:pStyle w:val="Heading1"/>
        <w:spacing w:before="139"/>
        <w:ind w:left="100" w:right="117"/>
      </w:pPr>
      <w:r>
        <w:rPr/>
        <w:t>Figura 19</w:t>
      </w:r>
    </w:p>
    <w:p>
      <w:pPr>
        <w:spacing w:before="0"/>
        <w:ind w:left="100" w:right="117" w:firstLine="0"/>
        <w:jc w:val="center"/>
        <w:rPr>
          <w:b/>
          <w:sz w:val="24"/>
        </w:rPr>
      </w:pPr>
      <w:r>
        <w:rPr>
          <w:b/>
          <w:sz w:val="24"/>
        </w:rPr>
        <w:t>Origen disciplinar de la investigación</w:t>
      </w:r>
    </w:p>
    <w:p>
      <w:pPr>
        <w:pStyle w:val="BodyText"/>
        <w:rPr>
          <w:b/>
          <w:sz w:val="20"/>
        </w:rPr>
      </w:pPr>
    </w:p>
    <w:p>
      <w:pPr>
        <w:pStyle w:val="BodyText"/>
        <w:spacing w:before="2"/>
        <w:rPr>
          <w:b/>
          <w:sz w:val="12"/>
        </w:rPr>
      </w:pPr>
      <w:r>
        <w:rPr/>
        <w:pict>
          <v:group style="position:absolute;margin-left:123.375pt;margin-top:8.953002pt;width:365.25pt;height:222pt;mso-position-horizontal-relative:page;mso-position-vertical-relative:paragraph;z-index:4216;mso-wrap-distance-left:0;mso-wrap-distance-right:0" coordorigin="2468,179" coordsize="7305,4440">
            <v:shape style="position:absolute;left:3149;top:683;width:5942;height:3434" type="#_x0000_t75" stroked="false">
              <v:imagedata r:id="rId32" o:title=""/>
            </v:shape>
            <v:line style="position:absolute" from="6346,760" to="4724,472" stroked="true" strokeweight=".75pt" strokecolor="#000000"/>
            <v:line style="position:absolute" from="6795,793" to="7323,739" stroked="true" strokeweight=".75pt" strokecolor="#000000"/>
            <v:rect style="position:absolute;left:2475;top:187;width:7290;height:4425" filled="false" stroked="true" strokeweight=".75pt" strokecolor="#858585"/>
            <v:shape style="position:absolute;left:3268;top:306;width:1501;height:759" type="#_x0000_t202" filled="false" stroked="false">
              <v:textbox inset="0,0,0,0">
                <w:txbxContent>
                  <w:p>
                    <w:pPr>
                      <w:spacing w:line="225" w:lineRule="exact" w:before="0"/>
                      <w:ind w:left="0" w:right="0" w:firstLine="0"/>
                      <w:jc w:val="left"/>
                      <w:rPr>
                        <w:rFonts w:ascii="Calibri" w:hAnsi="Calibri"/>
                        <w:sz w:val="22"/>
                      </w:rPr>
                    </w:pPr>
                    <w:r>
                      <w:rPr>
                        <w:rFonts w:ascii="Calibri" w:hAnsi="Calibri"/>
                        <w:sz w:val="22"/>
                      </w:rPr>
                      <w:t>administración </w:t>
                    </w:r>
                    <w:r>
                      <w:rPr>
                        <w:rFonts w:ascii="Calibri" w:hAnsi="Calibri"/>
                        <w:w w:val="100"/>
                        <w:sz w:val="22"/>
                        <w:u w:val="single"/>
                      </w:rPr>
                      <w:t> </w:t>
                    </w:r>
                    <w:r>
                      <w:rPr>
                        <w:rFonts w:ascii="Calibri" w:hAnsi="Calibri"/>
                        <w:sz w:val="22"/>
                        <w:u w:val="single"/>
                      </w:rPr>
                      <w:t> </w:t>
                    </w:r>
                  </w:p>
                  <w:p>
                    <w:pPr>
                      <w:spacing w:before="0"/>
                      <w:ind w:left="343" w:right="509" w:firstLine="0"/>
                      <w:jc w:val="center"/>
                      <w:rPr>
                        <w:rFonts w:ascii="Calibri" w:hAnsi="Calibri"/>
                        <w:sz w:val="22"/>
                      </w:rPr>
                    </w:pPr>
                    <w:r>
                      <w:rPr>
                        <w:rFonts w:ascii="Calibri" w:hAnsi="Calibri"/>
                        <w:sz w:val="22"/>
                      </w:rPr>
                      <w:t>pública 3%</w:t>
                    </w:r>
                  </w:p>
                </w:txbxContent>
              </v:textbox>
              <w10:wrap type="none"/>
            </v:shape>
            <v:shape style="position:absolute;left:4148;top:1021;width:893;height:490" type="#_x0000_t202" filled="false" stroked="false">
              <v:textbox inset="0,0,0,0">
                <w:txbxContent>
                  <w:p>
                    <w:pPr>
                      <w:spacing w:line="225" w:lineRule="exact" w:before="0"/>
                      <w:ind w:left="0" w:right="0" w:firstLine="0"/>
                      <w:jc w:val="center"/>
                      <w:rPr>
                        <w:rFonts w:ascii="Calibri" w:hAnsi="Calibri"/>
                        <w:sz w:val="22"/>
                      </w:rPr>
                    </w:pPr>
                    <w:r>
                      <w:rPr>
                        <w:rFonts w:ascii="Calibri" w:hAnsi="Calibri"/>
                        <w:sz w:val="22"/>
                      </w:rPr>
                      <w:t>sociología</w:t>
                    </w:r>
                  </w:p>
                  <w:p>
                    <w:pPr>
                      <w:spacing w:line="265" w:lineRule="exact" w:before="0"/>
                      <w:ind w:left="0" w:right="0" w:firstLine="0"/>
                      <w:jc w:val="center"/>
                      <w:rPr>
                        <w:rFonts w:ascii="Calibri"/>
                        <w:sz w:val="22"/>
                      </w:rPr>
                    </w:pPr>
                    <w:r>
                      <w:rPr>
                        <w:rFonts w:ascii="Calibri"/>
                        <w:sz w:val="22"/>
                      </w:rPr>
                      <w:t>30%</w:t>
                    </w:r>
                  </w:p>
                </w:txbxContent>
              </v:textbox>
              <w10:wrap type="none"/>
            </v:shape>
            <v:shape style="position:absolute;left:7323;top:306;width:1216;height:759" type="#_x0000_t202" filled="false" stroked="false">
              <v:textbox inset="0,0,0,0">
                <w:txbxContent>
                  <w:p>
                    <w:pPr>
                      <w:spacing w:line="225" w:lineRule="exact" w:before="0"/>
                      <w:ind w:left="117" w:right="0" w:firstLine="0"/>
                      <w:jc w:val="center"/>
                      <w:rPr>
                        <w:rFonts w:ascii="Calibri"/>
                        <w:sz w:val="22"/>
                      </w:rPr>
                    </w:pPr>
                    <w:r>
                      <w:rPr>
                        <w:rFonts w:ascii="Calibri"/>
                        <w:sz w:val="22"/>
                      </w:rPr>
                      <w:t>ciencias</w:t>
                    </w:r>
                  </w:p>
                  <w:p>
                    <w:pPr>
                      <w:spacing w:before="0"/>
                      <w:ind w:left="0" w:right="0" w:firstLine="0"/>
                      <w:jc w:val="center"/>
                      <w:rPr>
                        <w:rFonts w:ascii="Calibri"/>
                        <w:sz w:val="22"/>
                      </w:rPr>
                    </w:pPr>
                    <w:r>
                      <w:rPr>
                        <w:rFonts w:ascii="Calibri"/>
                        <w:w w:val="100"/>
                        <w:sz w:val="22"/>
                        <w:u w:val="single"/>
                      </w:rPr>
                      <w:t> </w:t>
                    </w:r>
                    <w:r>
                      <w:rPr>
                        <w:rFonts w:ascii="Calibri"/>
                        <w:sz w:val="22"/>
                        <w:u w:val="single"/>
                      </w:rPr>
                      <w:t> </w:t>
                    </w:r>
                    <w:r>
                      <w:rPr>
                        <w:rFonts w:ascii="Calibri"/>
                        <w:sz w:val="22"/>
                      </w:rPr>
                      <w:t>ambientales 3%</w:t>
                    </w:r>
                  </w:p>
                </w:txbxContent>
              </v:textbox>
              <w10:wrap type="none"/>
            </v:shape>
            <v:shape style="position:absolute;left:7263;top:1872;width:889;height:490" type="#_x0000_t202" filled="false" stroked="false">
              <v:textbox inset="0,0,0,0">
                <w:txbxContent>
                  <w:p>
                    <w:pPr>
                      <w:spacing w:line="225" w:lineRule="exact" w:before="0"/>
                      <w:ind w:left="0" w:right="0" w:firstLine="0"/>
                      <w:jc w:val="center"/>
                      <w:rPr>
                        <w:rFonts w:ascii="Calibri" w:hAnsi="Calibri"/>
                        <w:sz w:val="22"/>
                      </w:rPr>
                    </w:pPr>
                    <w:r>
                      <w:rPr>
                        <w:rFonts w:ascii="Calibri" w:hAnsi="Calibri"/>
                        <w:sz w:val="22"/>
                      </w:rPr>
                      <w:t>economía</w:t>
                    </w:r>
                  </w:p>
                  <w:p>
                    <w:pPr>
                      <w:spacing w:line="265" w:lineRule="exact" w:before="0"/>
                      <w:ind w:left="0" w:right="0" w:firstLine="0"/>
                      <w:jc w:val="center"/>
                      <w:rPr>
                        <w:rFonts w:ascii="Calibri"/>
                        <w:sz w:val="22"/>
                      </w:rPr>
                    </w:pPr>
                    <w:r>
                      <w:rPr>
                        <w:rFonts w:ascii="Calibri"/>
                        <w:sz w:val="22"/>
                      </w:rPr>
                      <w:t>40%</w:t>
                    </w:r>
                  </w:p>
                </w:txbxContent>
              </v:textbox>
              <w10:wrap type="none"/>
            </v:shape>
            <v:shape style="position:absolute;left:3930;top:2674;width:981;height:490" type="#_x0000_t202" filled="false" stroked="false">
              <v:textbox inset="0,0,0,0">
                <w:txbxContent>
                  <w:p>
                    <w:pPr>
                      <w:spacing w:line="225" w:lineRule="exact" w:before="0"/>
                      <w:ind w:left="0" w:right="0" w:firstLine="0"/>
                      <w:jc w:val="center"/>
                      <w:rPr>
                        <w:rFonts w:ascii="Calibri" w:hAnsi="Calibri"/>
                        <w:sz w:val="22"/>
                      </w:rPr>
                    </w:pPr>
                    <w:r>
                      <w:rPr>
                        <w:rFonts w:ascii="Calibri" w:hAnsi="Calibri"/>
                        <w:sz w:val="22"/>
                      </w:rPr>
                      <w:t>planeación</w:t>
                    </w:r>
                  </w:p>
                  <w:p>
                    <w:pPr>
                      <w:spacing w:line="265" w:lineRule="exact" w:before="0"/>
                      <w:ind w:left="0" w:right="0" w:firstLine="0"/>
                      <w:jc w:val="center"/>
                      <w:rPr>
                        <w:rFonts w:ascii="Calibri"/>
                        <w:sz w:val="22"/>
                      </w:rPr>
                    </w:pPr>
                    <w:r>
                      <w:rPr>
                        <w:rFonts w:ascii="Calibri"/>
                        <w:sz w:val="22"/>
                      </w:rPr>
                      <w:t>15%</w:t>
                    </w:r>
                  </w:p>
                </w:txbxContent>
              </v:textbox>
              <w10:wrap type="none"/>
            </v:shape>
            <v:shape style="position:absolute;left:5726;top:2775;width:840;height:759" type="#_x0000_t202" filled="false" stroked="false">
              <v:textbox inset="0,0,0,0">
                <w:txbxContent>
                  <w:p>
                    <w:pPr>
                      <w:spacing w:line="225" w:lineRule="exact" w:before="0"/>
                      <w:ind w:left="-1" w:right="0" w:firstLine="0"/>
                      <w:jc w:val="center"/>
                      <w:rPr>
                        <w:rFonts w:ascii="Calibri" w:hAnsi="Calibri"/>
                        <w:sz w:val="22"/>
                      </w:rPr>
                    </w:pPr>
                    <w:r>
                      <w:rPr>
                        <w:rFonts w:ascii="Calibri" w:hAnsi="Calibri"/>
                        <w:spacing w:val="-1"/>
                        <w:sz w:val="22"/>
                      </w:rPr>
                      <w:t>geografía</w:t>
                    </w:r>
                  </w:p>
                  <w:p>
                    <w:pPr>
                      <w:spacing w:before="0"/>
                      <w:ind w:left="3" w:right="0" w:firstLine="0"/>
                      <w:jc w:val="center"/>
                      <w:rPr>
                        <w:rFonts w:ascii="Calibri"/>
                        <w:sz w:val="22"/>
                      </w:rPr>
                    </w:pPr>
                    <w:r>
                      <w:rPr>
                        <w:rFonts w:ascii="Calibri"/>
                        <w:sz w:val="22"/>
                      </w:rPr>
                      <w:t>urbana 9%</w:t>
                    </w:r>
                  </w:p>
                </w:txbxContent>
              </v:textbox>
              <w10:wrap type="none"/>
            </v:shape>
            <w10:wrap type="topAndBottom"/>
          </v:group>
        </w:pict>
      </w:r>
    </w:p>
    <w:p>
      <w:pPr>
        <w:pStyle w:val="BodyText"/>
        <w:rPr>
          <w:b/>
        </w:rPr>
      </w:pPr>
    </w:p>
    <w:p>
      <w:pPr>
        <w:pStyle w:val="BodyText"/>
        <w:spacing w:before="9"/>
        <w:rPr>
          <w:b/>
          <w:sz w:val="20"/>
        </w:rPr>
      </w:pPr>
    </w:p>
    <w:p>
      <w:pPr>
        <w:pStyle w:val="BodyText"/>
        <w:spacing w:line="360" w:lineRule="auto" w:before="1"/>
        <w:ind w:left="102" w:right="123"/>
        <w:jc w:val="both"/>
      </w:pPr>
      <w:r>
        <w:rPr/>
        <w:t>Una característica importante en la investigación urbana es la aquella que tiene referentes físicos y con rasgos de la investigación nomotética a la que hicimos referencia en el segundo capítulo, ya que aún se siguen utilizando datos cuantitativos,  sin  ninguna  referencia  a  los  datos  cualitativos,  y  se      continúa</w:t>
      </w:r>
    </w:p>
    <w:p>
      <w:pPr>
        <w:spacing w:after="0" w:line="360" w:lineRule="auto"/>
        <w:jc w:val="both"/>
        <w:sectPr>
          <w:pgSz w:w="12240" w:h="15840"/>
          <w:pgMar w:header="0" w:footer="629" w:top="1360" w:bottom="880" w:left="1600" w:right="1580"/>
        </w:sectPr>
      </w:pPr>
    </w:p>
    <w:p>
      <w:pPr>
        <w:pStyle w:val="BodyText"/>
        <w:spacing w:line="360" w:lineRule="auto" w:before="54"/>
        <w:ind w:left="102" w:right="122"/>
        <w:jc w:val="both"/>
      </w:pPr>
      <w:r>
        <w:rPr/>
        <w:t>utilizando correlaciones y modelos matemáticos para el estudio de los fenómenos sociales a los que hacen referencia, esto no significa que la investigación cuantitativa sea deficiente sino que es preciso el impulso de la investigación cualitativa aun cuando la sociología es una de las principales disciplinas que proveen métodos y formas de análisis dentro de la investigación urbana.</w:t>
      </w:r>
    </w:p>
    <w:p>
      <w:pPr>
        <w:pStyle w:val="Heading1"/>
        <w:spacing w:before="2"/>
        <w:ind w:left="100" w:right="117"/>
      </w:pPr>
      <w:r>
        <w:rPr/>
        <w:t>Figura 20</w:t>
      </w:r>
    </w:p>
    <w:p>
      <w:pPr>
        <w:spacing w:before="0"/>
        <w:ind w:left="102" w:right="116" w:firstLine="0"/>
        <w:jc w:val="center"/>
        <w:rPr>
          <w:b/>
          <w:sz w:val="24"/>
        </w:rPr>
      </w:pPr>
      <w:r>
        <w:rPr>
          <w:b/>
          <w:sz w:val="24"/>
        </w:rPr>
        <w:t>Tipo de Investigación</w:t>
      </w:r>
    </w:p>
    <w:p>
      <w:pPr>
        <w:pStyle w:val="BodyText"/>
        <w:ind w:left="1632"/>
        <w:rPr>
          <w:sz w:val="20"/>
        </w:rPr>
      </w:pPr>
      <w:r>
        <w:rPr>
          <w:sz w:val="20"/>
        </w:rPr>
        <w:pict>
          <v:group style="width:285.350pt;height:199.75pt;mso-position-horizontal-relative:char;mso-position-vertical-relative:line" coordorigin="0,0" coordsize="5707,3995">
            <v:shape style="position:absolute;left:569;top:416;width:5131;height:3559" type="#_x0000_t75" stroked="false">
              <v:imagedata r:id="rId33" o:title=""/>
            </v:shape>
            <v:rect style="position:absolute;left:8;top:8;width:5692;height:3980" filled="false" stroked="true" strokeweight=".75pt" strokecolor="#858585"/>
            <v:shape style="position:absolute;left:1278;top:1845;width:703;height:444" type="#_x0000_t202" filled="false" stroked="false">
              <v:textbox inset="0,0,0,0">
                <w:txbxContent>
                  <w:p>
                    <w:pPr>
                      <w:spacing w:line="203" w:lineRule="exact" w:before="0"/>
                      <w:ind w:left="0" w:right="0" w:firstLine="0"/>
                      <w:jc w:val="center"/>
                      <w:rPr>
                        <w:rFonts w:ascii="Calibri" w:hAnsi="Calibri"/>
                        <w:sz w:val="20"/>
                      </w:rPr>
                    </w:pPr>
                    <w:r>
                      <w:rPr>
                        <w:rFonts w:ascii="Calibri" w:hAnsi="Calibri"/>
                        <w:spacing w:val="-1"/>
                        <w:sz w:val="20"/>
                      </w:rPr>
                      <w:t>empírica</w:t>
                    </w:r>
                  </w:p>
                  <w:p>
                    <w:pPr>
                      <w:spacing w:line="240" w:lineRule="exact" w:before="0"/>
                      <w:ind w:left="2" w:right="0" w:firstLine="0"/>
                      <w:jc w:val="center"/>
                      <w:rPr>
                        <w:rFonts w:ascii="Calibri"/>
                        <w:sz w:val="20"/>
                      </w:rPr>
                    </w:pPr>
                    <w:r>
                      <w:rPr>
                        <w:rFonts w:ascii="Calibri"/>
                        <w:sz w:val="20"/>
                      </w:rPr>
                      <w:t>58%</w:t>
                    </w:r>
                  </w:p>
                </w:txbxContent>
              </v:textbox>
              <w10:wrap type="none"/>
            </v:shape>
            <v:shape style="position:absolute;left:3920;top:1242;width:897;height:689" type="#_x0000_t202" filled="false" stroked="false">
              <v:textbox inset="0,0,0,0">
                <w:txbxContent>
                  <w:p>
                    <w:pPr>
                      <w:spacing w:line="203" w:lineRule="exact" w:before="0"/>
                      <w:ind w:left="1" w:right="2" w:firstLine="0"/>
                      <w:jc w:val="center"/>
                      <w:rPr>
                        <w:rFonts w:ascii="Calibri" w:hAnsi="Calibri"/>
                        <w:sz w:val="20"/>
                      </w:rPr>
                    </w:pPr>
                    <w:r>
                      <w:rPr>
                        <w:rFonts w:ascii="Calibri" w:hAnsi="Calibri"/>
                        <w:sz w:val="20"/>
                      </w:rPr>
                      <w:t>teórica</w:t>
                    </w:r>
                  </w:p>
                  <w:p>
                    <w:pPr>
                      <w:spacing w:before="0"/>
                      <w:ind w:left="1" w:right="2" w:firstLine="0"/>
                      <w:jc w:val="center"/>
                      <w:rPr>
                        <w:rFonts w:ascii="Calibri"/>
                        <w:sz w:val="20"/>
                      </w:rPr>
                    </w:pPr>
                    <w:r>
                      <w:rPr>
                        <w:rFonts w:ascii="Calibri"/>
                        <w:w w:val="95"/>
                        <w:sz w:val="20"/>
                      </w:rPr>
                      <w:t>conceptual </w:t>
                    </w:r>
                    <w:r>
                      <w:rPr>
                        <w:rFonts w:ascii="Calibri"/>
                        <w:sz w:val="20"/>
                      </w:rPr>
                      <w:t>42%</w:t>
                    </w:r>
                  </w:p>
                </w:txbxContent>
              </v:textbox>
              <w10:wrap type="none"/>
            </v:shape>
          </v:group>
        </w:pict>
      </w:r>
      <w:r>
        <w:rPr>
          <w:sz w:val="20"/>
        </w:rPr>
      </w:r>
    </w:p>
    <w:p>
      <w:pPr>
        <w:pStyle w:val="BodyText"/>
        <w:rPr>
          <w:b/>
        </w:rPr>
      </w:pPr>
    </w:p>
    <w:p>
      <w:pPr>
        <w:pStyle w:val="BodyText"/>
        <w:spacing w:before="10"/>
        <w:rPr>
          <w:b/>
          <w:sz w:val="20"/>
        </w:rPr>
      </w:pPr>
    </w:p>
    <w:p>
      <w:pPr>
        <w:spacing w:before="1"/>
        <w:ind w:left="3414" w:right="3429" w:firstLine="571"/>
        <w:jc w:val="left"/>
        <w:rPr>
          <w:b/>
          <w:sz w:val="24"/>
        </w:rPr>
      </w:pPr>
      <w:r>
        <w:rPr>
          <w:b/>
          <w:sz w:val="24"/>
        </w:rPr>
        <w:t>Figura 21 Nivel</w:t>
      </w:r>
      <w:r>
        <w:rPr>
          <w:b/>
          <w:spacing w:val="-4"/>
          <w:sz w:val="24"/>
        </w:rPr>
        <w:t> </w:t>
      </w:r>
      <w:r>
        <w:rPr>
          <w:b/>
          <w:sz w:val="24"/>
        </w:rPr>
        <w:t>metodológico</w:t>
      </w:r>
    </w:p>
    <w:p>
      <w:pPr>
        <w:pStyle w:val="BodyText"/>
        <w:ind w:left="1692"/>
        <w:rPr>
          <w:sz w:val="20"/>
        </w:rPr>
      </w:pPr>
      <w:r>
        <w:rPr>
          <w:sz w:val="20"/>
        </w:rPr>
        <w:pict>
          <v:group style="width:281.95pt;height:186.85pt;mso-position-horizontal-relative:char;mso-position-vertical-relative:line" coordorigin="0,0" coordsize="5639,3737">
            <v:shape style="position:absolute;left:8;top:132;width:5626;height:3600" type="#_x0000_t75" stroked="false">
              <v:imagedata r:id="rId34" o:title=""/>
            </v:shape>
            <v:line style="position:absolute" from="2168,381" to="1548,351" stroked="true" strokeweight=".75pt" strokecolor="#000000"/>
            <v:shape style="position:absolute;left:8;top:8;width:5624;height:3722" type="#_x0000_t202" filled="false" stroked="true" strokeweight=".75pt" strokecolor="#858585">
              <v:textbox inset="0,0,0,0">
                <w:txbxContent>
                  <w:p>
                    <w:pPr>
                      <w:spacing w:before="146"/>
                      <w:ind w:left="533" w:right="4100" w:firstLine="0"/>
                      <w:jc w:val="center"/>
                      <w:rPr>
                        <w:rFonts w:ascii="Calibri"/>
                        <w:sz w:val="20"/>
                      </w:rPr>
                    </w:pPr>
                    <w:r>
                      <w:rPr>
                        <w:rFonts w:ascii="Calibri"/>
                        <w:sz w:val="20"/>
                      </w:rPr>
                      <w:t>pospositivis </w:t>
                    </w:r>
                    <w:r>
                      <w:rPr>
                        <w:rFonts w:ascii="Calibri"/>
                        <w:w w:val="99"/>
                        <w:sz w:val="20"/>
                        <w:u w:val="single"/>
                      </w:rPr>
                      <w:t> </w:t>
                    </w:r>
                    <w:r>
                      <w:rPr>
                        <w:rFonts w:ascii="Calibri"/>
                        <w:sz w:val="20"/>
                        <w:u w:val="single"/>
                      </w:rPr>
                      <w:t> </w:t>
                    </w:r>
                  </w:p>
                  <w:p>
                    <w:pPr>
                      <w:spacing w:before="0"/>
                      <w:ind w:left="372" w:right="4100" w:firstLine="0"/>
                      <w:jc w:val="center"/>
                      <w:rPr>
                        <w:rFonts w:ascii="Calibri"/>
                        <w:sz w:val="20"/>
                      </w:rPr>
                    </w:pPr>
                    <w:r>
                      <w:rPr>
                        <w:rFonts w:ascii="Calibri"/>
                        <w:sz w:val="20"/>
                      </w:rPr>
                      <w:t>ta</w:t>
                    </w:r>
                  </w:p>
                  <w:p>
                    <w:pPr>
                      <w:spacing w:before="1"/>
                      <w:ind w:left="370" w:right="4100" w:firstLine="0"/>
                      <w:jc w:val="center"/>
                      <w:rPr>
                        <w:rFonts w:ascii="Calibri"/>
                        <w:sz w:val="20"/>
                      </w:rPr>
                    </w:pPr>
                    <w:r>
                      <w:rPr>
                        <w:rFonts w:ascii="Calibri"/>
                        <w:sz w:val="20"/>
                      </w:rPr>
                      <w:t>9%</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10"/>
                      <w:rPr>
                        <w:b/>
                        <w:sz w:val="18"/>
                      </w:rPr>
                    </w:pPr>
                  </w:p>
                  <w:p>
                    <w:pPr>
                      <w:spacing w:before="1"/>
                      <w:ind w:left="3449" w:right="1568" w:hanging="238"/>
                      <w:jc w:val="left"/>
                      <w:rPr>
                        <w:rFonts w:ascii="Calibri"/>
                        <w:sz w:val="20"/>
                      </w:rPr>
                    </w:pPr>
                    <w:r>
                      <w:rPr>
                        <w:rFonts w:ascii="Calibri"/>
                        <w:sz w:val="20"/>
                      </w:rPr>
                      <w:t>positivista 91%</w:t>
                    </w:r>
                  </w:p>
                </w:txbxContent>
              </v:textbox>
              <w10:wrap type="none"/>
            </v:shape>
          </v:group>
        </w:pict>
      </w:r>
      <w:r>
        <w:rPr>
          <w:sz w:val="20"/>
        </w:rPr>
      </w:r>
    </w:p>
    <w:p>
      <w:pPr>
        <w:spacing w:after="0"/>
        <w:rPr>
          <w:sz w:val="20"/>
        </w:rPr>
        <w:sectPr>
          <w:pgSz w:w="12240" w:h="15840"/>
          <w:pgMar w:header="0" w:footer="629" w:top="1360" w:bottom="880" w:left="1600" w:right="1580"/>
        </w:sectPr>
      </w:pPr>
    </w:p>
    <w:p>
      <w:pPr>
        <w:pStyle w:val="BodyText"/>
        <w:spacing w:line="360" w:lineRule="auto" w:before="54"/>
        <w:ind w:left="102" w:right="121"/>
        <w:jc w:val="both"/>
      </w:pPr>
      <w:r>
        <w:rPr/>
        <w:t>Respecto a los objetos de estudio, tal como lo vimos en las primeras clasificaciones de los artículos, la investigación urbana está orientada a la segregación de la ciudad, el modelo de ciudad y crecimiento urbano.</w:t>
      </w:r>
    </w:p>
    <w:p>
      <w:pPr>
        <w:pStyle w:val="BodyText"/>
      </w:pPr>
    </w:p>
    <w:p>
      <w:pPr>
        <w:pStyle w:val="Heading1"/>
        <w:spacing w:before="139"/>
        <w:ind w:left="101" w:right="117"/>
      </w:pPr>
      <w:r>
        <w:rPr/>
        <w:t>Tabla 4</w:t>
      </w:r>
    </w:p>
    <w:p>
      <w:pPr>
        <w:spacing w:before="0"/>
        <w:ind w:left="101" w:right="117" w:firstLine="0"/>
        <w:jc w:val="center"/>
        <w:rPr>
          <w:b/>
          <w:sz w:val="24"/>
        </w:rPr>
      </w:pPr>
      <w:r>
        <w:rPr>
          <w:b/>
          <w:sz w:val="24"/>
        </w:rPr>
        <w:t>Objeto de estudio de la investigación</w:t>
      </w:r>
    </w:p>
    <w:p>
      <w:pPr>
        <w:pStyle w:val="BodyText"/>
        <w:rPr>
          <w:b/>
          <w:sz w:val="20"/>
        </w:rPr>
      </w:pPr>
    </w:p>
    <w:p>
      <w:pPr>
        <w:pStyle w:val="BodyText"/>
        <w:spacing w:before="5"/>
        <w:rPr>
          <w:b/>
          <w:sz w:val="16"/>
        </w:rPr>
      </w:pPr>
    </w:p>
    <w:tbl>
      <w:tblPr>
        <w:tblW w:w="0" w:type="auto"/>
        <w:jc w:val="left"/>
        <w:tblInd w:w="1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1"/>
        <w:gridCol w:w="1220"/>
      </w:tblGrid>
      <w:tr>
        <w:trPr>
          <w:trHeight w:val="310" w:hRule="exact"/>
        </w:trPr>
        <w:tc>
          <w:tcPr>
            <w:tcW w:w="5521" w:type="dxa"/>
            <w:shd w:val="clear" w:color="auto" w:fill="808080"/>
          </w:tcPr>
          <w:p>
            <w:pPr>
              <w:pStyle w:val="TableParagraph"/>
              <w:spacing w:before="19"/>
              <w:ind w:left="1800"/>
              <w:rPr>
                <w:sz w:val="24"/>
              </w:rPr>
            </w:pPr>
            <w:r>
              <w:rPr>
                <w:color w:val="FFFFFF"/>
                <w:sz w:val="24"/>
              </w:rPr>
              <w:t>Objeto de Estudio</w:t>
            </w:r>
          </w:p>
        </w:tc>
        <w:tc>
          <w:tcPr>
            <w:tcW w:w="1220" w:type="dxa"/>
            <w:shd w:val="clear" w:color="auto" w:fill="808080"/>
          </w:tcPr>
          <w:p>
            <w:pPr>
              <w:pStyle w:val="TableParagraph"/>
              <w:spacing w:before="19"/>
              <w:ind w:left="117" w:right="118"/>
              <w:jc w:val="center"/>
              <w:rPr>
                <w:sz w:val="24"/>
              </w:rPr>
            </w:pPr>
            <w:r>
              <w:rPr>
                <w:color w:val="FFFFFF"/>
                <w:sz w:val="24"/>
              </w:rPr>
              <w:t>Artículos</w:t>
            </w:r>
          </w:p>
        </w:tc>
      </w:tr>
      <w:tr>
        <w:trPr>
          <w:trHeight w:val="310" w:hRule="exact"/>
        </w:trPr>
        <w:tc>
          <w:tcPr>
            <w:tcW w:w="5521" w:type="dxa"/>
          </w:tcPr>
          <w:p>
            <w:pPr>
              <w:pStyle w:val="TableParagraph"/>
              <w:spacing w:before="19"/>
              <w:ind w:left="64"/>
              <w:rPr>
                <w:sz w:val="24"/>
              </w:rPr>
            </w:pPr>
            <w:r>
              <w:rPr>
                <w:sz w:val="24"/>
              </w:rPr>
              <w:t>Segregación de la ciudad</w:t>
            </w:r>
          </w:p>
        </w:tc>
        <w:tc>
          <w:tcPr>
            <w:tcW w:w="1220" w:type="dxa"/>
          </w:tcPr>
          <w:p>
            <w:pPr>
              <w:pStyle w:val="TableParagraph"/>
              <w:spacing w:before="19"/>
              <w:ind w:left="117" w:right="117"/>
              <w:jc w:val="center"/>
              <w:rPr>
                <w:sz w:val="24"/>
              </w:rPr>
            </w:pPr>
            <w:r>
              <w:rPr>
                <w:sz w:val="24"/>
              </w:rPr>
              <w:t>12</w:t>
            </w:r>
          </w:p>
        </w:tc>
      </w:tr>
      <w:tr>
        <w:trPr>
          <w:trHeight w:val="310" w:hRule="exact"/>
        </w:trPr>
        <w:tc>
          <w:tcPr>
            <w:tcW w:w="5521" w:type="dxa"/>
          </w:tcPr>
          <w:p>
            <w:pPr>
              <w:pStyle w:val="TableParagraph"/>
              <w:spacing w:before="20"/>
              <w:ind w:left="64"/>
              <w:rPr>
                <w:sz w:val="24"/>
              </w:rPr>
            </w:pPr>
            <w:r>
              <w:rPr>
                <w:sz w:val="24"/>
              </w:rPr>
              <w:t>Modelo ciudad</w:t>
            </w:r>
          </w:p>
        </w:tc>
        <w:tc>
          <w:tcPr>
            <w:tcW w:w="1220" w:type="dxa"/>
          </w:tcPr>
          <w:p>
            <w:pPr>
              <w:pStyle w:val="TableParagraph"/>
              <w:spacing w:before="20"/>
              <w:ind w:right="1"/>
              <w:jc w:val="center"/>
              <w:rPr>
                <w:sz w:val="24"/>
              </w:rPr>
            </w:pPr>
            <w:r>
              <w:rPr>
                <w:w w:val="99"/>
                <w:sz w:val="24"/>
              </w:rPr>
              <w:t>4</w:t>
            </w:r>
          </w:p>
        </w:tc>
      </w:tr>
      <w:tr>
        <w:trPr>
          <w:trHeight w:val="310" w:hRule="exact"/>
        </w:trPr>
        <w:tc>
          <w:tcPr>
            <w:tcW w:w="5521" w:type="dxa"/>
          </w:tcPr>
          <w:p>
            <w:pPr>
              <w:pStyle w:val="TableParagraph"/>
              <w:spacing w:before="22"/>
              <w:ind w:left="64"/>
              <w:rPr>
                <w:sz w:val="24"/>
              </w:rPr>
            </w:pPr>
            <w:r>
              <w:rPr>
                <w:sz w:val="24"/>
              </w:rPr>
              <w:t>Crecimiento urbano</w:t>
            </w:r>
          </w:p>
        </w:tc>
        <w:tc>
          <w:tcPr>
            <w:tcW w:w="1220" w:type="dxa"/>
          </w:tcPr>
          <w:p>
            <w:pPr>
              <w:pStyle w:val="TableParagraph"/>
              <w:spacing w:before="22"/>
              <w:ind w:right="1"/>
              <w:jc w:val="center"/>
              <w:rPr>
                <w:sz w:val="24"/>
              </w:rPr>
            </w:pPr>
            <w:r>
              <w:rPr>
                <w:w w:val="99"/>
                <w:sz w:val="24"/>
              </w:rPr>
              <w:t>3</w:t>
            </w:r>
          </w:p>
        </w:tc>
      </w:tr>
      <w:tr>
        <w:trPr>
          <w:trHeight w:val="312" w:hRule="exact"/>
        </w:trPr>
        <w:tc>
          <w:tcPr>
            <w:tcW w:w="5521" w:type="dxa"/>
          </w:tcPr>
          <w:p>
            <w:pPr>
              <w:pStyle w:val="TableParagraph"/>
              <w:spacing w:before="22"/>
              <w:ind w:left="64"/>
              <w:rPr>
                <w:sz w:val="24"/>
              </w:rPr>
            </w:pPr>
            <w:r>
              <w:rPr>
                <w:sz w:val="24"/>
              </w:rPr>
              <w:t>Estrategias de reproducción y modos de vida</w:t>
            </w:r>
          </w:p>
        </w:tc>
        <w:tc>
          <w:tcPr>
            <w:tcW w:w="1220" w:type="dxa"/>
          </w:tcPr>
          <w:p>
            <w:pPr>
              <w:pStyle w:val="TableParagraph"/>
              <w:spacing w:before="22"/>
              <w:ind w:right="1"/>
              <w:jc w:val="center"/>
              <w:rPr>
                <w:sz w:val="24"/>
              </w:rPr>
            </w:pPr>
            <w:r>
              <w:rPr>
                <w:w w:val="99"/>
                <w:sz w:val="24"/>
              </w:rPr>
              <w:t>2</w:t>
            </w:r>
          </w:p>
        </w:tc>
      </w:tr>
      <w:tr>
        <w:trPr>
          <w:trHeight w:val="310" w:hRule="exact"/>
        </w:trPr>
        <w:tc>
          <w:tcPr>
            <w:tcW w:w="5521" w:type="dxa"/>
          </w:tcPr>
          <w:p>
            <w:pPr>
              <w:pStyle w:val="TableParagraph"/>
              <w:spacing w:before="19"/>
              <w:ind w:left="64"/>
              <w:rPr>
                <w:sz w:val="24"/>
              </w:rPr>
            </w:pPr>
            <w:r>
              <w:rPr>
                <w:sz w:val="24"/>
              </w:rPr>
              <w:t>Innovación y desarrollo territorial</w:t>
            </w:r>
          </w:p>
        </w:tc>
        <w:tc>
          <w:tcPr>
            <w:tcW w:w="1220" w:type="dxa"/>
          </w:tcPr>
          <w:p>
            <w:pPr>
              <w:pStyle w:val="TableParagraph"/>
              <w:spacing w:before="19"/>
              <w:ind w:right="1"/>
              <w:jc w:val="center"/>
              <w:rPr>
                <w:sz w:val="24"/>
              </w:rPr>
            </w:pPr>
            <w:r>
              <w:rPr>
                <w:w w:val="99"/>
                <w:sz w:val="24"/>
              </w:rPr>
              <w:t>2</w:t>
            </w:r>
          </w:p>
        </w:tc>
      </w:tr>
      <w:tr>
        <w:trPr>
          <w:trHeight w:val="310" w:hRule="exact"/>
        </w:trPr>
        <w:tc>
          <w:tcPr>
            <w:tcW w:w="5521" w:type="dxa"/>
          </w:tcPr>
          <w:p>
            <w:pPr>
              <w:pStyle w:val="TableParagraph"/>
              <w:spacing w:before="19"/>
              <w:ind w:left="64"/>
              <w:rPr>
                <w:sz w:val="24"/>
              </w:rPr>
            </w:pPr>
            <w:r>
              <w:rPr>
                <w:sz w:val="24"/>
              </w:rPr>
              <w:t>Metroplización y periferia expandida</w:t>
            </w:r>
          </w:p>
        </w:tc>
        <w:tc>
          <w:tcPr>
            <w:tcW w:w="1220" w:type="dxa"/>
          </w:tcPr>
          <w:p>
            <w:pPr>
              <w:pStyle w:val="TableParagraph"/>
              <w:spacing w:before="19"/>
              <w:ind w:right="1"/>
              <w:jc w:val="center"/>
              <w:rPr>
                <w:sz w:val="24"/>
              </w:rPr>
            </w:pPr>
            <w:r>
              <w:rPr>
                <w:w w:val="99"/>
                <w:sz w:val="24"/>
              </w:rPr>
              <w:t>2</w:t>
            </w:r>
          </w:p>
        </w:tc>
      </w:tr>
      <w:tr>
        <w:trPr>
          <w:trHeight w:val="310" w:hRule="exact"/>
        </w:trPr>
        <w:tc>
          <w:tcPr>
            <w:tcW w:w="5521" w:type="dxa"/>
          </w:tcPr>
          <w:p>
            <w:pPr>
              <w:pStyle w:val="TableParagraph"/>
              <w:spacing w:before="19"/>
              <w:ind w:left="64"/>
              <w:rPr>
                <w:sz w:val="24"/>
              </w:rPr>
            </w:pPr>
            <w:r>
              <w:rPr>
                <w:sz w:val="24"/>
              </w:rPr>
              <w:t>Flujos transfronterizos</w:t>
            </w:r>
          </w:p>
        </w:tc>
        <w:tc>
          <w:tcPr>
            <w:tcW w:w="1220" w:type="dxa"/>
          </w:tcPr>
          <w:p>
            <w:pPr>
              <w:pStyle w:val="TableParagraph"/>
              <w:spacing w:before="19"/>
              <w:ind w:right="1"/>
              <w:jc w:val="center"/>
              <w:rPr>
                <w:sz w:val="24"/>
              </w:rPr>
            </w:pPr>
            <w:r>
              <w:rPr>
                <w:w w:val="99"/>
                <w:sz w:val="24"/>
              </w:rPr>
              <w:t>1</w:t>
            </w:r>
          </w:p>
        </w:tc>
      </w:tr>
      <w:tr>
        <w:trPr>
          <w:trHeight w:val="310" w:hRule="exact"/>
        </w:trPr>
        <w:tc>
          <w:tcPr>
            <w:tcW w:w="5521" w:type="dxa"/>
          </w:tcPr>
          <w:p>
            <w:pPr>
              <w:pStyle w:val="TableParagraph"/>
              <w:spacing w:before="19"/>
              <w:ind w:left="64"/>
              <w:rPr>
                <w:sz w:val="24"/>
              </w:rPr>
            </w:pPr>
            <w:r>
              <w:rPr>
                <w:sz w:val="24"/>
              </w:rPr>
              <w:t>Conmutación de la región</w:t>
            </w:r>
          </w:p>
        </w:tc>
        <w:tc>
          <w:tcPr>
            <w:tcW w:w="1220" w:type="dxa"/>
          </w:tcPr>
          <w:p>
            <w:pPr>
              <w:pStyle w:val="TableParagraph"/>
              <w:spacing w:before="19"/>
              <w:ind w:right="1"/>
              <w:jc w:val="center"/>
              <w:rPr>
                <w:sz w:val="24"/>
              </w:rPr>
            </w:pPr>
            <w:r>
              <w:rPr>
                <w:w w:val="99"/>
                <w:sz w:val="24"/>
              </w:rPr>
              <w:t>1</w:t>
            </w:r>
          </w:p>
        </w:tc>
      </w:tr>
      <w:tr>
        <w:trPr>
          <w:trHeight w:val="310" w:hRule="exact"/>
        </w:trPr>
        <w:tc>
          <w:tcPr>
            <w:tcW w:w="5521" w:type="dxa"/>
          </w:tcPr>
          <w:p>
            <w:pPr>
              <w:pStyle w:val="TableParagraph"/>
              <w:spacing w:before="22"/>
              <w:ind w:left="64"/>
              <w:rPr>
                <w:sz w:val="24"/>
              </w:rPr>
            </w:pPr>
            <w:r>
              <w:rPr>
                <w:sz w:val="24"/>
              </w:rPr>
              <w:t>Construcción social del espacio urbano</w:t>
            </w:r>
          </w:p>
        </w:tc>
        <w:tc>
          <w:tcPr>
            <w:tcW w:w="1220" w:type="dxa"/>
          </w:tcPr>
          <w:p>
            <w:pPr>
              <w:pStyle w:val="TableParagraph"/>
              <w:spacing w:before="22"/>
              <w:ind w:right="1"/>
              <w:jc w:val="center"/>
              <w:rPr>
                <w:sz w:val="24"/>
              </w:rPr>
            </w:pPr>
            <w:r>
              <w:rPr>
                <w:w w:val="99"/>
                <w:sz w:val="24"/>
              </w:rPr>
              <w:t>1</w:t>
            </w:r>
          </w:p>
        </w:tc>
      </w:tr>
      <w:tr>
        <w:trPr>
          <w:trHeight w:val="312" w:hRule="exact"/>
        </w:trPr>
        <w:tc>
          <w:tcPr>
            <w:tcW w:w="5521" w:type="dxa"/>
          </w:tcPr>
          <w:p>
            <w:pPr>
              <w:pStyle w:val="TableParagraph"/>
              <w:spacing w:before="22"/>
              <w:ind w:left="64"/>
              <w:rPr>
                <w:sz w:val="24"/>
              </w:rPr>
            </w:pPr>
            <w:r>
              <w:rPr>
                <w:sz w:val="24"/>
              </w:rPr>
              <w:t>Descentralización y territorio</w:t>
            </w:r>
          </w:p>
        </w:tc>
        <w:tc>
          <w:tcPr>
            <w:tcW w:w="1220" w:type="dxa"/>
          </w:tcPr>
          <w:p>
            <w:pPr>
              <w:pStyle w:val="TableParagraph"/>
              <w:spacing w:before="22"/>
              <w:ind w:right="1"/>
              <w:jc w:val="center"/>
              <w:rPr>
                <w:sz w:val="24"/>
              </w:rPr>
            </w:pPr>
            <w:r>
              <w:rPr>
                <w:w w:val="99"/>
                <w:sz w:val="24"/>
              </w:rPr>
              <w:t>1</w:t>
            </w:r>
          </w:p>
        </w:tc>
      </w:tr>
      <w:tr>
        <w:trPr>
          <w:trHeight w:val="310" w:hRule="exact"/>
        </w:trPr>
        <w:tc>
          <w:tcPr>
            <w:tcW w:w="5521" w:type="dxa"/>
          </w:tcPr>
          <w:p>
            <w:pPr>
              <w:pStyle w:val="TableParagraph"/>
              <w:spacing w:before="19"/>
              <w:ind w:left="64"/>
              <w:rPr>
                <w:sz w:val="24"/>
              </w:rPr>
            </w:pPr>
            <w:r>
              <w:rPr>
                <w:sz w:val="24"/>
              </w:rPr>
              <w:t>Evolución de la economía metropolitana</w:t>
            </w:r>
          </w:p>
        </w:tc>
        <w:tc>
          <w:tcPr>
            <w:tcW w:w="1220" w:type="dxa"/>
          </w:tcPr>
          <w:p>
            <w:pPr>
              <w:pStyle w:val="TableParagraph"/>
              <w:spacing w:before="19"/>
              <w:ind w:right="1"/>
              <w:jc w:val="center"/>
              <w:rPr>
                <w:sz w:val="24"/>
              </w:rPr>
            </w:pPr>
            <w:r>
              <w:rPr>
                <w:w w:val="99"/>
                <w:sz w:val="24"/>
              </w:rPr>
              <w:t>1</w:t>
            </w:r>
          </w:p>
        </w:tc>
      </w:tr>
      <w:tr>
        <w:trPr>
          <w:trHeight w:val="310" w:hRule="exact"/>
        </w:trPr>
        <w:tc>
          <w:tcPr>
            <w:tcW w:w="5521" w:type="dxa"/>
          </w:tcPr>
          <w:p>
            <w:pPr>
              <w:pStyle w:val="TableParagraph"/>
              <w:spacing w:before="20"/>
              <w:ind w:left="64"/>
              <w:rPr>
                <w:sz w:val="24"/>
              </w:rPr>
            </w:pPr>
            <w:r>
              <w:rPr>
                <w:sz w:val="24"/>
              </w:rPr>
              <w:t>Peligros naturales y crecimiento urbano</w:t>
            </w:r>
          </w:p>
        </w:tc>
        <w:tc>
          <w:tcPr>
            <w:tcW w:w="1220" w:type="dxa"/>
          </w:tcPr>
          <w:p>
            <w:pPr>
              <w:pStyle w:val="TableParagraph"/>
              <w:spacing w:before="20"/>
              <w:ind w:right="1"/>
              <w:jc w:val="center"/>
              <w:rPr>
                <w:sz w:val="24"/>
              </w:rPr>
            </w:pPr>
            <w:r>
              <w:rPr>
                <w:w w:val="99"/>
                <w:sz w:val="24"/>
              </w:rPr>
              <w:t>1</w:t>
            </w:r>
          </w:p>
        </w:tc>
      </w:tr>
      <w:tr>
        <w:trPr>
          <w:trHeight w:val="310" w:hRule="exact"/>
        </w:trPr>
        <w:tc>
          <w:tcPr>
            <w:tcW w:w="5521" w:type="dxa"/>
          </w:tcPr>
          <w:p>
            <w:pPr>
              <w:pStyle w:val="TableParagraph"/>
              <w:spacing w:before="19"/>
              <w:ind w:left="64"/>
              <w:rPr>
                <w:sz w:val="24"/>
              </w:rPr>
            </w:pPr>
            <w:r>
              <w:rPr>
                <w:sz w:val="24"/>
              </w:rPr>
              <w:t>Posicionamientode las ciudades</w:t>
            </w:r>
          </w:p>
        </w:tc>
        <w:tc>
          <w:tcPr>
            <w:tcW w:w="1220" w:type="dxa"/>
          </w:tcPr>
          <w:p>
            <w:pPr>
              <w:pStyle w:val="TableParagraph"/>
              <w:spacing w:before="19"/>
              <w:ind w:right="1"/>
              <w:jc w:val="center"/>
              <w:rPr>
                <w:sz w:val="24"/>
              </w:rPr>
            </w:pPr>
            <w:r>
              <w:rPr>
                <w:w w:val="99"/>
                <w:sz w:val="24"/>
              </w:rPr>
              <w:t>1</w:t>
            </w:r>
          </w:p>
        </w:tc>
      </w:tr>
      <w:tr>
        <w:trPr>
          <w:trHeight w:val="310" w:hRule="exact"/>
        </w:trPr>
        <w:tc>
          <w:tcPr>
            <w:tcW w:w="5521" w:type="dxa"/>
          </w:tcPr>
          <w:p>
            <w:pPr>
              <w:pStyle w:val="TableParagraph"/>
              <w:spacing w:before="19"/>
              <w:ind w:left="64"/>
              <w:rPr>
                <w:sz w:val="24"/>
              </w:rPr>
            </w:pPr>
            <w:r>
              <w:rPr>
                <w:sz w:val="24"/>
              </w:rPr>
              <w:t>Terciarización industrial</w:t>
            </w:r>
          </w:p>
        </w:tc>
        <w:tc>
          <w:tcPr>
            <w:tcW w:w="1220" w:type="dxa"/>
          </w:tcPr>
          <w:p>
            <w:pPr>
              <w:pStyle w:val="TableParagraph"/>
              <w:spacing w:before="19"/>
              <w:ind w:right="1"/>
              <w:jc w:val="center"/>
              <w:rPr>
                <w:sz w:val="24"/>
              </w:rPr>
            </w:pPr>
            <w:r>
              <w:rPr>
                <w:w w:val="99"/>
                <w:sz w:val="24"/>
              </w:rPr>
              <w:t>1</w:t>
            </w:r>
          </w:p>
        </w:tc>
      </w:tr>
    </w:tbl>
    <w:p>
      <w:pPr>
        <w:spacing w:after="0"/>
        <w:jc w:val="center"/>
        <w:rPr>
          <w:sz w:val="24"/>
        </w:rPr>
        <w:sectPr>
          <w:pgSz w:w="12240" w:h="15840"/>
          <w:pgMar w:header="0" w:footer="629" w:top="1360" w:bottom="880" w:left="1600" w:right="15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0"/>
        </w:rPr>
      </w:pPr>
    </w:p>
    <w:p>
      <w:pPr>
        <w:spacing w:before="0"/>
        <w:ind w:left="5831" w:right="0" w:firstLine="0"/>
        <w:jc w:val="left"/>
        <w:rPr>
          <w:b/>
          <w:sz w:val="24"/>
        </w:rPr>
      </w:pPr>
      <w:r>
        <w:rPr>
          <w:b/>
          <w:sz w:val="24"/>
        </w:rPr>
        <w:t>Discusión y Conclusiones</w:t>
      </w:r>
    </w:p>
    <w:p>
      <w:pPr>
        <w:spacing w:after="0"/>
        <w:jc w:val="left"/>
        <w:rPr>
          <w:sz w:val="24"/>
        </w:rPr>
        <w:sectPr>
          <w:pgSz w:w="12240" w:h="15840"/>
          <w:pgMar w:header="0" w:footer="629" w:top="1500" w:bottom="880" w:left="1720" w:right="1580"/>
        </w:sectPr>
      </w:pPr>
    </w:p>
    <w:p>
      <w:pPr>
        <w:pStyle w:val="BodyText"/>
        <w:spacing w:line="360" w:lineRule="auto" w:before="54"/>
        <w:ind w:left="102" w:right="117"/>
        <w:jc w:val="both"/>
      </w:pPr>
      <w:r>
        <w:rPr/>
        <w:t>Según Duhau (2000) en los trabajos de investigación urbana “existe una inclinación a adoptar como referentes teóricos a los autores que han alcanzado notoriedad internacional con relativa independencia de su pertinencia respecto del contexto social específico” (Duhau 2000:31), en este sentido se podría hablar de una “moda teórica” (Bassols, 2006:203), que estaría en contraposición a la consolidación de una agenda de investigación de largo plazo porque algunos temas no tendrían continuidad a causa de “la adscripción a una nueva teoría y el abandono de la asumida anteriormente, [lo cual] no necesariamente se da por una superioridad de la nueva. Las teorías se abandonan por la actitud de los científicos de estar a la moda y no necesariamente por el convencimiento de la superioridad de la otra” (Covarrubias,</w:t>
      </w:r>
      <w:r>
        <w:rPr>
          <w:spacing w:val="-12"/>
        </w:rPr>
        <w:t> </w:t>
      </w:r>
      <w:r>
        <w:rPr/>
        <w:t>2010:17).</w:t>
      </w:r>
    </w:p>
    <w:p>
      <w:pPr>
        <w:pStyle w:val="BodyText"/>
      </w:pPr>
    </w:p>
    <w:p>
      <w:pPr>
        <w:pStyle w:val="BodyText"/>
        <w:spacing w:line="360" w:lineRule="auto" w:before="142"/>
        <w:ind w:left="102" w:right="118"/>
        <w:jc w:val="both"/>
      </w:pPr>
      <w:r>
        <w:rPr/>
        <w:t>En este sentido, a poco más de 15 años de esta condición de replanteamientos teóricos metodológicos, en la actualidad la investigación urbana aún enfrenta desafíos generados por la especialización del conocimiento y por la nueva dinámica de producción y difusión de la actividad científica; que a pesar de la heterogeneidad de propuestas teóricas y metodológicas la propia dinámica de la divulgación del conocimiento puede devenir en una especie de conocimiento hegemónico promovido por las prácticas científicas </w:t>
      </w:r>
      <w:r>
        <w:rPr>
          <w:i/>
        </w:rPr>
        <w:t>dominantes </w:t>
      </w:r>
      <w:r>
        <w:rPr/>
        <w:t>cuya  consecuencia sea un nuevo abandono de la reflexión teórica</w:t>
      </w:r>
      <w:r>
        <w:rPr>
          <w:spacing w:val="-32"/>
        </w:rPr>
        <w:t> </w:t>
      </w:r>
      <w:r>
        <w:rPr/>
        <w:t>metodológica.</w:t>
      </w:r>
    </w:p>
    <w:p>
      <w:pPr>
        <w:pStyle w:val="BodyText"/>
      </w:pPr>
    </w:p>
    <w:p>
      <w:pPr>
        <w:pStyle w:val="BodyText"/>
        <w:spacing w:line="360" w:lineRule="auto" w:before="142"/>
        <w:ind w:left="102" w:right="114"/>
        <w:jc w:val="both"/>
      </w:pPr>
      <w:r>
        <w:rPr/>
        <w:t>El panorama es más complejo cuando retomamos la propuesta de Ian Hacking (1985) que establece que la ciencia y las disciplinas no pueden ser estudiadas sólo por la </w:t>
      </w:r>
      <w:r>
        <w:rPr>
          <w:i/>
        </w:rPr>
        <w:t>construcción </w:t>
      </w:r>
      <w:r>
        <w:rPr/>
        <w:t>de teorías o conceptos, sino además deben considerarse las prácticas científicas. Entonces el estudio de la investigación urbana no sólo deberá considerar los aspectos de conceptos, métodos y la formulación y contrastación de teorías; sino además lo concerniente a las prácticas de la ciencia, el tipo de actividades que definen a las comunidades y campos de</w:t>
      </w:r>
      <w:r>
        <w:rPr>
          <w:spacing w:val="-31"/>
        </w:rPr>
        <w:t> </w:t>
      </w:r>
      <w:r>
        <w:rPr/>
        <w:t>investigación.</w:t>
      </w:r>
    </w:p>
    <w:p>
      <w:pPr>
        <w:pStyle w:val="BodyText"/>
      </w:pPr>
    </w:p>
    <w:p>
      <w:pPr>
        <w:pStyle w:val="BodyText"/>
        <w:spacing w:line="360" w:lineRule="auto" w:before="139"/>
        <w:ind w:left="102" w:right="116"/>
        <w:jc w:val="both"/>
      </w:pPr>
      <w:r>
        <w:rPr/>
        <w:t>Ian Hacking desde la década de los años ochenta del siglo XX planteó que la epistemología y la metodología no bastan para entender a la ciencia y que es</w:t>
      </w:r>
    </w:p>
    <w:p>
      <w:pPr>
        <w:spacing w:after="0" w:line="360" w:lineRule="auto"/>
        <w:jc w:val="both"/>
        <w:sectPr>
          <w:pgSz w:w="12240" w:h="15840"/>
          <w:pgMar w:header="0" w:footer="629" w:top="1360" w:bottom="880" w:left="1600" w:right="1580"/>
        </w:sectPr>
      </w:pPr>
    </w:p>
    <w:p>
      <w:pPr>
        <w:pStyle w:val="BodyText"/>
        <w:spacing w:line="360" w:lineRule="auto" w:before="54"/>
        <w:ind w:left="102" w:right="123"/>
        <w:jc w:val="both"/>
      </w:pPr>
      <w:r>
        <w:rPr/>
        <w:t>necesaria una filosofía de la práctica científica. De esta forma nos encontramos frente a un nuevo horizonte que, dicho sea de paso, necesita ser estudiado para advertir nuevos rumbos en la investigación urbana y la manera como se establecen instituciones y organizaciones dentro de la</w:t>
      </w:r>
      <w:r>
        <w:rPr>
          <w:spacing w:val="-23"/>
        </w:rPr>
        <w:t> </w:t>
      </w:r>
      <w:r>
        <w:rPr/>
        <w:t>ciencia.</w:t>
      </w:r>
    </w:p>
    <w:p>
      <w:pPr>
        <w:pStyle w:val="BodyText"/>
      </w:pPr>
    </w:p>
    <w:p>
      <w:pPr>
        <w:pStyle w:val="BodyText"/>
        <w:spacing w:line="360" w:lineRule="auto" w:before="142"/>
        <w:ind w:left="102" w:right="117"/>
        <w:jc w:val="both"/>
      </w:pPr>
      <w:r>
        <w:rPr/>
        <w:t>La Investigación Urbana Latinoamericana (IUL) es un tema complejo que se puede abordar desde diferentes disciplinas y estrategias de análisis, a pesar del amplio abanico de opciones para ser estudiada son pocos los trabajos que se han dedicado a esta tarea, podemos hacer referencia a Kowarick (1990), Carrión (1990), Coraggio (1992), Lungo (1996), Schteingart (2000) y Méndez (2006) que coordinaron a varios equipos de investigadores por país para concluir sus investigaciones.</w:t>
      </w:r>
    </w:p>
    <w:p>
      <w:pPr>
        <w:pStyle w:val="BodyText"/>
      </w:pPr>
    </w:p>
    <w:p>
      <w:pPr>
        <w:pStyle w:val="BodyText"/>
        <w:spacing w:line="360" w:lineRule="auto" w:before="142"/>
        <w:ind w:left="102" w:right="117"/>
        <w:jc w:val="both"/>
      </w:pPr>
      <w:r>
        <w:rPr/>
        <w:t>Desde este marco, este trabajo resalta que la IUL puede ser entendida como una actividad, a un área disciplinar y como método o proceso; en este sentido se resalta que están involucrados especialistas que pertenecen a varias disciplinas (principalmente de la sociología, economía y geografía) con prácticas científicas específicas donde la publicación de artículos se centra en unos temas específicos.</w:t>
      </w:r>
    </w:p>
    <w:p>
      <w:pPr>
        <w:pStyle w:val="BodyText"/>
      </w:pPr>
    </w:p>
    <w:p>
      <w:pPr>
        <w:pStyle w:val="BodyText"/>
        <w:spacing w:line="360" w:lineRule="auto" w:before="142"/>
        <w:ind w:left="102" w:right="116"/>
        <w:jc w:val="both"/>
      </w:pPr>
      <w:r>
        <w:rPr/>
        <w:t>Una aportación de este trabajo es el reconocimiento que para el estudio de la IUL no se deben considerar únicamente el conjunto de teorías y métodos sino además el ámbito de las prácticas científicas y el impacto en el contexto social. La IUL  debe reconocer sus prácticas científicas, se hace ciencia pero en cierta forma ignorándolas o pasándolas por</w:t>
      </w:r>
      <w:r>
        <w:rPr>
          <w:spacing w:val="-10"/>
        </w:rPr>
        <w:t> </w:t>
      </w:r>
      <w:r>
        <w:rPr/>
        <w:t>alto.</w:t>
      </w:r>
    </w:p>
    <w:p>
      <w:pPr>
        <w:pStyle w:val="BodyText"/>
      </w:pPr>
    </w:p>
    <w:p>
      <w:pPr>
        <w:pStyle w:val="BodyText"/>
        <w:spacing w:line="360" w:lineRule="auto" w:before="142"/>
        <w:ind w:left="102" w:right="119"/>
        <w:jc w:val="both"/>
      </w:pPr>
      <w:r>
        <w:rPr/>
        <w:t>Entonces la investigación urbana, como actividad científica no sólo enfrentará problemas al interior de su construcción teórica, sino además al exterior, provenientes de la misma práctica de la investigación; en este sentido es necesario hacer un reconocimiento que dentro de las prácticas científicas de la  IUL convergen los contextos: a) Educación, b) Investigación, c) Evaluación y d) Aplicación.</w:t>
      </w:r>
    </w:p>
    <w:p>
      <w:pPr>
        <w:spacing w:after="0" w:line="360" w:lineRule="auto"/>
        <w:jc w:val="both"/>
        <w:sectPr>
          <w:pgSz w:w="12240" w:h="15840"/>
          <w:pgMar w:header="0" w:footer="629" w:top="1360" w:bottom="880" w:left="1600" w:right="1580"/>
        </w:sectPr>
      </w:pPr>
    </w:p>
    <w:p>
      <w:pPr>
        <w:pStyle w:val="BodyText"/>
        <w:spacing w:line="360" w:lineRule="auto" w:before="54"/>
        <w:ind w:left="102" w:right="115"/>
        <w:jc w:val="both"/>
      </w:pPr>
      <w:r>
        <w:rPr/>
        <w:t>La IUL concentra los estudios provenientes principalmente de la sociología, planeación y estudios urbanos en los que </w:t>
      </w:r>
      <w:r>
        <w:rPr>
          <w:spacing w:val="2"/>
        </w:rPr>
        <w:t>hay </w:t>
      </w:r>
      <w:r>
        <w:rPr/>
        <w:t>una conjunción entre el espacio físico y los procesos sociales. La construcción del conocimiento científico dentro  de la IUL es resultado de la relación compleja entre mundo real y proceso  cognitivo y los integrantes de su comunidad a partir de nichos científicos interactúan sobre una zona de la realidad, por lo tanto no hay una realidad única, sino maneras diferentes de</w:t>
      </w:r>
      <w:r>
        <w:rPr>
          <w:spacing w:val="-12"/>
        </w:rPr>
        <w:t> </w:t>
      </w:r>
      <w:r>
        <w:rPr/>
        <w:t>concebirla.</w:t>
      </w:r>
    </w:p>
    <w:p>
      <w:pPr>
        <w:pStyle w:val="BodyText"/>
      </w:pPr>
    </w:p>
    <w:p>
      <w:pPr>
        <w:pStyle w:val="BodyText"/>
        <w:spacing w:line="360" w:lineRule="auto" w:before="142"/>
        <w:ind w:left="102" w:right="116"/>
        <w:jc w:val="both"/>
      </w:pPr>
      <w:r>
        <w:rPr/>
        <w:t>La IUL se realiza en un contexto donde la ciencia y tecnología están relacionadas, no hay un contexto de aislamiento de la ciencia, ni tampoco de la tecnología, tanto como método, producto y su impacto social; de esta forma la IUL no es sólo un conjunto de referentes teóricos y una forma de conducirse de sus actores, sino además sus aportaciones impactan en la visión que la sociedad tiene sobre la espacialidad en la que habitan.</w:t>
      </w:r>
    </w:p>
    <w:p>
      <w:pPr>
        <w:pStyle w:val="BodyText"/>
      </w:pPr>
    </w:p>
    <w:p>
      <w:pPr>
        <w:pStyle w:val="BodyText"/>
        <w:spacing w:line="360" w:lineRule="auto" w:before="142"/>
        <w:ind w:left="102" w:right="121"/>
        <w:jc w:val="both"/>
      </w:pPr>
      <w:r>
        <w:rPr/>
        <w:t>La Investigación Urbana en Latinoamérica (IUL) es un tema que amerita especial atención para los estudiosos de la espacialidad física de fenómenos sociales porque no son actores aislados ya que directa o indirectamente pertenecen al área en cuestión, otro factor para su seguimiento es que los actuales procesos de productividad académica abogan por una investigación científica realizada por grupos de trabajo con vinculación nacional e internacional.</w:t>
      </w:r>
    </w:p>
    <w:p>
      <w:pPr>
        <w:pStyle w:val="BodyText"/>
      </w:pPr>
    </w:p>
    <w:p>
      <w:pPr>
        <w:pStyle w:val="BodyText"/>
        <w:spacing w:line="360" w:lineRule="auto" w:before="142"/>
        <w:ind w:left="102" w:right="117"/>
        <w:jc w:val="both"/>
      </w:pPr>
      <w:r>
        <w:rPr/>
        <w:t>La complejidad de la IUL es tal que es necesario un mayor nivel de abstracción para abarcar las diferentes dimensiones que conforman la generación del conocimiento científico; en este sentido la IUL no se limita sólo a crear conceptos y teorías, sino además hay un impacto recíproco entre la ciencia y el contexto social, desde el cual las prácticas científicas tienen repercusiones al interior y exterior de esta actividad intelectual. En este sentido los estudios metateóricos son fundamentales para conocer su quehacer científico.</w:t>
      </w:r>
    </w:p>
    <w:p>
      <w:pPr>
        <w:spacing w:after="0" w:line="360" w:lineRule="auto"/>
        <w:jc w:val="both"/>
        <w:sectPr>
          <w:pgSz w:w="12240" w:h="15840"/>
          <w:pgMar w:header="0" w:footer="629" w:top="1360" w:bottom="880" w:left="1600" w:right="1580"/>
        </w:sectPr>
      </w:pPr>
    </w:p>
    <w:p>
      <w:pPr>
        <w:pStyle w:val="BodyText"/>
        <w:spacing w:line="360" w:lineRule="auto" w:before="54"/>
        <w:ind w:left="102" w:right="116"/>
        <w:jc w:val="both"/>
      </w:pPr>
      <w:r>
        <w:rPr/>
        <w:t>Los antecedentes de la lUL nos remiten a la adecuación de marcos teóricos principalmente de origen anglosajón a las condiciones de Latinoamérica, a la sustentación de estas propuestas teóricas a través de datos cuantitativos, lo cual llevó a que el aspecto teórico tuviera mayor importancia sobre el aspecto pragmático del área; sin embargo en el contexto actual donde la ciencia no está separada de la tecnología implica que la IUL necesita retomar el aspecto pragmático del área.</w:t>
      </w:r>
    </w:p>
    <w:p>
      <w:pPr>
        <w:pStyle w:val="BodyText"/>
      </w:pPr>
    </w:p>
    <w:p>
      <w:pPr>
        <w:pStyle w:val="BodyText"/>
        <w:spacing w:line="360" w:lineRule="auto" w:before="142"/>
        <w:ind w:left="102" w:right="117"/>
        <w:jc w:val="both"/>
      </w:pPr>
      <w:r>
        <w:rPr/>
        <w:t>Los estudios metateóricos permiten hacer explícitos los aspectos conceptuales de la IUL y para explorar las formas en que afectada por el entorno social; desde este punto de vista, las prácticas científicas son parte central del quehacer de la IUL, con lo cual se abre un campo de análisis que necesita estrategias de análisis y modelos de investigación para el estudio del amplio conocimiento que se generará principalmente en los medios de divulgación no convencionales; estar a la vanguardia en esta forma de divulgación permitirá que la IUL incluya propuestas innovadoras en su quehacer científico tecnológico.</w:t>
      </w:r>
    </w:p>
    <w:p>
      <w:pPr>
        <w:pStyle w:val="BodyText"/>
      </w:pPr>
    </w:p>
    <w:p>
      <w:pPr>
        <w:pStyle w:val="BodyText"/>
        <w:spacing w:line="360" w:lineRule="auto" w:before="142"/>
        <w:ind w:left="102" w:right="114"/>
        <w:jc w:val="both"/>
      </w:pPr>
      <w:r>
        <w:rPr/>
        <w:t>En la construcción del conocimiento científico de la IUL se vinculan cuatro procesos: 1) La forma en que se concibe la </w:t>
      </w:r>
      <w:r>
        <w:rPr>
          <w:i/>
        </w:rPr>
        <w:t>realidad; </w:t>
      </w:r>
      <w:r>
        <w:rPr/>
        <w:t>2) La identificación de un fenómeno social; 3) Lla delimitación de una disciplina; y, 4) La construcción de un objeto de estudio y caso de estudio. En la construcción cognitiva de </w:t>
      </w:r>
      <w:r>
        <w:rPr>
          <w:i/>
        </w:rPr>
        <w:t>la realidad </w:t>
      </w:r>
      <w:r>
        <w:rPr/>
        <w:t>convergen condiciones societales (culturales, tecnológicas, ideológicas e institucionales) que definen la concepción del investigador sobre su forma de participación e intervención en el mundo </w:t>
      </w:r>
      <w:r>
        <w:rPr>
          <w:i/>
        </w:rPr>
        <w:t>real </w:t>
      </w:r>
      <w:r>
        <w:rPr/>
        <w:t>en términos generales. El investigador se ubica como sujeto en el mundo físico.</w:t>
      </w:r>
    </w:p>
    <w:p>
      <w:pPr>
        <w:pStyle w:val="BodyText"/>
      </w:pPr>
    </w:p>
    <w:p>
      <w:pPr>
        <w:pStyle w:val="BodyText"/>
        <w:spacing w:line="360" w:lineRule="auto" w:before="142"/>
        <w:ind w:left="102" w:right="123"/>
        <w:jc w:val="both"/>
      </w:pPr>
      <w:r>
        <w:rPr/>
        <w:t>El fenómeno social es la visión de la relación entre naturaleza y la sociedad donde convergen procesos, objetos y personas; es decir, es un conjunto de condiciones sobre las características de coexistencia social en un espacio físico.</w:t>
      </w:r>
    </w:p>
    <w:p>
      <w:pPr>
        <w:spacing w:after="0" w:line="360" w:lineRule="auto"/>
        <w:jc w:val="both"/>
        <w:sectPr>
          <w:pgSz w:w="12240" w:h="15840"/>
          <w:pgMar w:header="0" w:footer="629" w:top="1360" w:bottom="880" w:left="1600" w:right="1580"/>
        </w:sectPr>
      </w:pPr>
    </w:p>
    <w:p>
      <w:pPr>
        <w:pStyle w:val="BodyText"/>
        <w:spacing w:line="360" w:lineRule="auto" w:before="54"/>
        <w:ind w:left="102" w:right="118"/>
        <w:jc w:val="both"/>
      </w:pPr>
      <w:r>
        <w:rPr/>
        <w:t>La disciplina es el desarrollo de la actividad intelectual del estudio de un fenómeno social. El objeto de estudio es la forma en que definimos o delimitamos la aprehensión de un fenómeno social. Aquí es importante hacer la distinción con el caso de estudio, el cual corresponde a un caso específico para ser estudiado, en el caso de la ciencia social se debe establecer la temporalidad, espacio y grupo de involucrados. Al momento de definir una disciplina se delimita el objeto de estudio, estos dos aspectos son diferentes al real externo, ya que </w:t>
      </w:r>
      <w:r>
        <w:rPr>
          <w:spacing w:val="2"/>
        </w:rPr>
        <w:t>éste </w:t>
      </w:r>
      <w:r>
        <w:rPr/>
        <w:t>existe y se desarrolla de forma</w:t>
      </w:r>
      <w:r>
        <w:rPr>
          <w:spacing w:val="-8"/>
        </w:rPr>
        <w:t> </w:t>
      </w:r>
      <w:r>
        <w:rPr/>
        <w:t>independiente.</w:t>
      </w:r>
    </w:p>
    <w:p>
      <w:pPr>
        <w:pStyle w:val="BodyText"/>
      </w:pPr>
    </w:p>
    <w:p>
      <w:pPr>
        <w:pStyle w:val="BodyText"/>
        <w:spacing w:line="360" w:lineRule="auto" w:before="142"/>
        <w:ind w:left="102" w:right="117"/>
        <w:jc w:val="both"/>
      </w:pPr>
      <w:r>
        <w:rPr/>
        <w:t>La IUL debe evitar el desinterés filosófico de los científicos en la discusión de los postulados que constituyen las investigaciones, sobre los métodos de  investigación y estrategias de análisis. En este sentido en el nivel epistemológico de la construcción del conocimiento científico se advierten dos paradigmas en el que se puede desarrollar la IUL: positivista y</w:t>
      </w:r>
      <w:r>
        <w:rPr>
          <w:spacing w:val="-18"/>
        </w:rPr>
        <w:t> </w:t>
      </w:r>
      <w:r>
        <w:rPr/>
        <w:t>pospositivista.</w:t>
      </w:r>
    </w:p>
    <w:p>
      <w:pPr>
        <w:pStyle w:val="BodyText"/>
      </w:pPr>
    </w:p>
    <w:p>
      <w:pPr>
        <w:pStyle w:val="BodyText"/>
        <w:spacing w:line="360" w:lineRule="auto" w:before="142"/>
        <w:ind w:left="102" w:right="117"/>
        <w:jc w:val="both"/>
      </w:pPr>
      <w:r>
        <w:rPr/>
        <w:t>En el positivista hay prioridad por considerar la objetividad y la medición cuantitativa. En el paradigma pospositivista existe una prioridad por señalar que  los fenómenos sociales dejan de ser objetos puros del mundo (físico o lógico) para convertirse en objetos de una experiencia humana</w:t>
      </w:r>
      <w:r>
        <w:rPr>
          <w:spacing w:val="-29"/>
        </w:rPr>
        <w:t> </w:t>
      </w:r>
      <w:r>
        <w:rPr/>
        <w:t>contextualizada</w:t>
      </w:r>
    </w:p>
    <w:p>
      <w:pPr>
        <w:pStyle w:val="BodyText"/>
      </w:pPr>
    </w:p>
    <w:p>
      <w:pPr>
        <w:pStyle w:val="BodyText"/>
        <w:spacing w:line="360" w:lineRule="auto" w:before="142"/>
        <w:ind w:left="102" w:right="112"/>
        <w:jc w:val="both"/>
      </w:pPr>
      <w:r>
        <w:rPr/>
        <w:t>Para ambos paradigmas hay un dinamismo en la generación de conocimiento en el que emergen conjuntamente sujeto y objeto; sin embargo, el panorama se hace más complejo al advertir que aún se considera a la ciencia como productora de conocimiento y teorías, dejando a un lado la existencia de actores intencionales — los científicos y los tecnólogos— que buscan producir o transformar</w:t>
      </w:r>
      <w:r>
        <w:rPr>
          <w:spacing w:val="-25"/>
        </w:rPr>
        <w:t> </w:t>
      </w:r>
      <w:r>
        <w:rPr/>
        <w:t>algo.</w:t>
      </w:r>
    </w:p>
    <w:p>
      <w:pPr>
        <w:pStyle w:val="BodyText"/>
      </w:pPr>
    </w:p>
    <w:p>
      <w:pPr>
        <w:pStyle w:val="BodyText"/>
        <w:spacing w:line="360" w:lineRule="auto" w:before="142"/>
        <w:ind w:left="102" w:right="115"/>
        <w:jc w:val="both"/>
      </w:pPr>
      <w:r>
        <w:rPr/>
        <w:t>Desde este marco la IUL no está exenta de los cuestionamientos que la sustentan como área de investigación, si bien no se pide que todas las aportaciones provenientes de las disciplinas que confluyen en esta área deban contar con un apartado metateórico antes de presentar sus resultados, si es necesario considerar un  programa  que  considere  este  tipo  de  reflexiones en  una  menor</w:t>
      </w:r>
    </w:p>
    <w:p>
      <w:pPr>
        <w:spacing w:after="0" w:line="360" w:lineRule="auto"/>
        <w:jc w:val="both"/>
        <w:sectPr>
          <w:pgSz w:w="12240" w:h="15840"/>
          <w:pgMar w:header="0" w:footer="629" w:top="1360" w:bottom="880" w:left="1600" w:right="1580"/>
        </w:sectPr>
      </w:pPr>
    </w:p>
    <w:p>
      <w:pPr>
        <w:pStyle w:val="BodyText"/>
        <w:spacing w:line="360" w:lineRule="auto" w:before="54"/>
        <w:ind w:left="102" w:right="123"/>
        <w:jc w:val="both"/>
      </w:pPr>
      <w:r>
        <w:rPr/>
        <w:t>periodicidad, principalmente por la dinámica de la producción científica generada a partir de las reglas de instituciones públicas y privadas que rigen en la investigación científica.</w:t>
      </w:r>
    </w:p>
    <w:p>
      <w:pPr>
        <w:pStyle w:val="BodyText"/>
      </w:pPr>
    </w:p>
    <w:p>
      <w:pPr>
        <w:pStyle w:val="BodyText"/>
        <w:spacing w:line="360" w:lineRule="auto" w:before="142"/>
        <w:ind w:left="102" w:right="115"/>
        <w:jc w:val="both"/>
      </w:pPr>
      <w:r>
        <w:rPr/>
        <w:t>El estudio de la IUL puede parecer una propuesta irrelevante, sin embargo resulta necesario cuando la especialización del conocimiento científico conlleva a la exclusión de las discusiones de filosofía de la ciencia dentro de las disciplinas. Desde esta perspectiva no sólo se hace un reconocimiento del actuar de las personas sino además de quienes realizan la investigación.</w:t>
      </w:r>
    </w:p>
    <w:p>
      <w:pPr>
        <w:pStyle w:val="BodyText"/>
      </w:pPr>
    </w:p>
    <w:p>
      <w:pPr>
        <w:pStyle w:val="BodyText"/>
        <w:spacing w:line="360" w:lineRule="auto" w:before="142"/>
        <w:ind w:left="102" w:right="123"/>
        <w:jc w:val="both"/>
      </w:pPr>
      <w:r>
        <w:rPr/>
        <w:t>La IUL puede transitar entre una epistemología nomotética y una idiográfica, lo cual dependerá de los marcos teóricos en los que cada investigación sea realizada; sin embargo, la mayoría de las investigaciones se ubican en la epistemología nomotética en la que se da prioridad a métodos cuantitativos y una preferencia por los datos producidos sistemáticamente, como por ejemplo los censos, encuestas e índices. En cambio, la epistemología idiográfica propone la utilización de datos</w:t>
      </w:r>
      <w:r>
        <w:rPr>
          <w:spacing w:val="-9"/>
        </w:rPr>
        <w:t> </w:t>
      </w:r>
      <w:r>
        <w:rPr/>
        <w:t>cualitativos.</w:t>
      </w:r>
    </w:p>
    <w:p>
      <w:pPr>
        <w:pStyle w:val="BodyText"/>
      </w:pPr>
    </w:p>
    <w:p>
      <w:pPr>
        <w:pStyle w:val="BodyText"/>
        <w:spacing w:line="360" w:lineRule="auto" w:before="142"/>
        <w:ind w:left="102" w:right="119"/>
        <w:jc w:val="both"/>
      </w:pPr>
      <w:r>
        <w:rPr/>
        <w:t>Esta condición tiene su origen en el surgimiento de las disiciplinas que integran a la IUL, previo a la Primera Guerra Mundial se habían consolidado cinco disciplinas científicas: historia, economía, sociología, ciencia política y antropología, que al considerárseles como tal, como científicas, gozaban de cierto prestigio en el quehacer intelectual; de estas disciplinas, la sociología, economía y ciencia  política se consolidaron como núcleo de la epistemología nomotética, por lo que sus marcos teóricos y métodos tenían un repercusión en las demás actividades intelectuales.</w:t>
      </w:r>
    </w:p>
    <w:p>
      <w:pPr>
        <w:pStyle w:val="BodyText"/>
      </w:pPr>
    </w:p>
    <w:p>
      <w:pPr>
        <w:pStyle w:val="BodyText"/>
        <w:spacing w:line="360" w:lineRule="auto" w:before="142"/>
        <w:ind w:left="102" w:right="126"/>
        <w:jc w:val="both"/>
      </w:pPr>
      <w:r>
        <w:rPr/>
        <w:t>Antes y posterior a la Segunda Guerra Mundial Le Corbusier y un grupo de arquitectos tuvieron gran influencia en el urbanismo mundial a través de su urbanismo moderno que se sustentaban en  propuestas funcionalistas.</w:t>
      </w:r>
    </w:p>
    <w:p>
      <w:pPr>
        <w:spacing w:after="0" w:line="360" w:lineRule="auto"/>
        <w:jc w:val="both"/>
        <w:sectPr>
          <w:pgSz w:w="12240" w:h="15840"/>
          <w:pgMar w:header="0" w:footer="629" w:top="1360" w:bottom="880" w:left="1600" w:right="1580"/>
        </w:sectPr>
      </w:pPr>
    </w:p>
    <w:p>
      <w:pPr>
        <w:pStyle w:val="BodyText"/>
        <w:spacing w:before="7"/>
        <w:rPr>
          <w:sz w:val="22"/>
        </w:rPr>
      </w:pPr>
    </w:p>
    <w:p>
      <w:pPr>
        <w:pStyle w:val="BodyText"/>
        <w:spacing w:line="360" w:lineRule="auto" w:before="69"/>
        <w:ind w:left="102" w:right="122"/>
        <w:jc w:val="both"/>
      </w:pPr>
      <w:r>
        <w:rPr/>
        <w:t>De las disciplinas que integraban el núcleo nomotético economía, ciencia política y sociología, esta última tuvo un papel prioritario en el estudio de la ciudad, con lo cual se consolida una epistemología nomotética para el estudio de la espacialidad de los fenómenos sociales; a pesar de que había disciplinas que compartían el objeto de estudio, como el urbanismo y la ascendente planeación urbana estás áreas no tenían el nivel de consolidación que ya mantenía la sociología por lo que tomaban los aportes de esta última para dar ese carácter de cientificidad a sus trabajos de investigación.</w:t>
      </w:r>
    </w:p>
    <w:p>
      <w:pPr>
        <w:pStyle w:val="BodyText"/>
      </w:pPr>
    </w:p>
    <w:p>
      <w:pPr>
        <w:pStyle w:val="BodyText"/>
        <w:spacing w:line="360" w:lineRule="auto" w:before="142"/>
        <w:ind w:left="102" w:right="116"/>
        <w:jc w:val="both"/>
      </w:pPr>
      <w:r>
        <w:rPr/>
        <w:t>Con los cambios económicos y políticos generados por la Segunda Guerra Mundial hubo una reestructuración en las disciplinas sociales que impactó en el urbanismo a través de las propuestas académicas inglesa y norteamericana (</w:t>
      </w:r>
      <w:r>
        <w:rPr>
          <w:i/>
        </w:rPr>
        <w:t>Town </w:t>
      </w:r>
      <w:r>
        <w:rPr>
          <w:i/>
        </w:rPr>
        <w:t>Planning </w:t>
      </w:r>
      <w:r>
        <w:rPr/>
        <w:t>y </w:t>
      </w:r>
      <w:r>
        <w:rPr>
          <w:i/>
        </w:rPr>
        <w:t>Urban Planning </w:t>
      </w:r>
      <w:r>
        <w:rPr/>
        <w:t>respectivamente), las cuales generaron un impulso de la planeación urbana en Latinoamérica. A pesar de las diferencias entre ellos, por los matices conceptuales e históricos, podemos considerar que ambos impulsaron una visión sistémica apoyada en las ciencias sociales y en herramientas técnicas para el</w:t>
      </w:r>
      <w:r>
        <w:rPr>
          <w:spacing w:val="-4"/>
        </w:rPr>
        <w:t> </w:t>
      </w:r>
      <w:r>
        <w:rPr/>
        <w:t>diseño.</w:t>
      </w:r>
    </w:p>
    <w:p>
      <w:pPr>
        <w:pStyle w:val="BodyText"/>
      </w:pPr>
    </w:p>
    <w:p>
      <w:pPr>
        <w:pStyle w:val="BodyText"/>
        <w:spacing w:line="360" w:lineRule="auto" w:before="142"/>
        <w:ind w:left="102" w:right="116"/>
        <w:jc w:val="both"/>
      </w:pPr>
      <w:r>
        <w:rPr/>
        <w:t>A partir de la década de los años noventa del siglo XX la planeación urbana tuvo importantes cuestionamientos sobre su estructura metodológica que se centraba en la parte funcional de la ciudad pero desde un enfoque estatal, si bien se consideraban aspectos sociales no se habían impulsado algunos enfoques que permitieran la incorporación de la sociedad en los estudios de planeación urbana.</w:t>
      </w:r>
    </w:p>
    <w:p>
      <w:pPr>
        <w:pStyle w:val="BodyText"/>
      </w:pPr>
    </w:p>
    <w:p>
      <w:pPr>
        <w:pStyle w:val="BodyText"/>
        <w:spacing w:line="360" w:lineRule="auto" w:before="142"/>
        <w:ind w:left="102" w:right="117"/>
        <w:jc w:val="both"/>
      </w:pPr>
      <w:r>
        <w:rPr/>
        <w:t>De esta forma, a la par de la planeación urbana se impulsó a los estudios urbanos como una propuesta de investigación científica en torno a la ciudad, se consideró como el área impulsada por la sociología urbana en la que convergían varias disciplinas y cuyos antecedentes remontaban de la década de los años setenta.</w:t>
      </w:r>
    </w:p>
    <w:p>
      <w:pPr>
        <w:spacing w:after="0" w:line="360" w:lineRule="auto"/>
        <w:jc w:val="both"/>
        <w:sectPr>
          <w:pgSz w:w="12240" w:h="15840"/>
          <w:pgMar w:header="0" w:footer="629" w:top="1500" w:bottom="880" w:left="1600" w:right="1580"/>
        </w:sectPr>
      </w:pPr>
    </w:p>
    <w:p>
      <w:pPr>
        <w:pStyle w:val="BodyText"/>
        <w:spacing w:line="360" w:lineRule="auto" w:before="54"/>
        <w:ind w:left="102" w:right="118"/>
        <w:jc w:val="both"/>
      </w:pPr>
      <w:r>
        <w:rPr/>
        <w:t>Una de las principales características de la sociedad contemporánea es el uso de la tecnología, la cual ha modificado el desarrollo de actividades políticas, económicas y culturales; un caso particular es el uso de las tecnologías de la información y comunicación (TIC‘s). En este marco, la generación de conocimiento científico está inmersa en este proceso, no sólo porque dentro de las actividades científicas se utilizan herramientas digitales (programas computacionales, correo electrónico, video conferencias, sistemas de evaluación académica, comunidades virtuales, blogs), sino además porque la difusión y divulgación del conocimiento científico se ha colocado como una parte central de las TIC’s.</w:t>
      </w:r>
    </w:p>
    <w:p>
      <w:pPr>
        <w:pStyle w:val="BodyText"/>
      </w:pPr>
    </w:p>
    <w:p>
      <w:pPr>
        <w:pStyle w:val="BodyText"/>
        <w:spacing w:line="360" w:lineRule="auto" w:before="142"/>
        <w:ind w:left="102" w:right="126"/>
        <w:jc w:val="both"/>
      </w:pPr>
      <w:r>
        <w:rPr/>
        <w:t>Si bien la producción del conocimiento ha sido modificada por las herramientas informáticas, también se ha modificado su difusión; en la actualidad “el Internet y los dispositivos informáticos permiten un acceso directo al conocimiento científico  a millones de ciudadanos de todo el</w:t>
      </w:r>
      <w:r>
        <w:rPr>
          <w:spacing w:val="-16"/>
        </w:rPr>
        <w:t> </w:t>
      </w:r>
      <w:r>
        <w:rPr/>
        <w:t>mundo.</w:t>
      </w:r>
    </w:p>
    <w:p>
      <w:pPr>
        <w:pStyle w:val="BodyText"/>
      </w:pPr>
    </w:p>
    <w:p>
      <w:pPr>
        <w:pStyle w:val="BodyText"/>
        <w:spacing w:line="360" w:lineRule="auto" w:before="142"/>
        <w:ind w:left="102" w:right="119"/>
        <w:jc w:val="both"/>
      </w:pPr>
      <w:r>
        <w:rPr/>
        <w:t>Este es el marco que sustenta el análisis de Eure como la principal revista de estudios urbanos en la que se puede alcanzar la mayor visibilidad  del conocimiento generado por los investigadores latinoamericanos dentro de la investigación urbana.</w:t>
      </w:r>
    </w:p>
    <w:p>
      <w:pPr>
        <w:pStyle w:val="BodyText"/>
      </w:pPr>
    </w:p>
    <w:p>
      <w:pPr>
        <w:pStyle w:val="BodyText"/>
        <w:spacing w:line="360" w:lineRule="auto" w:before="142"/>
        <w:ind w:left="102" w:right="116"/>
        <w:jc w:val="both"/>
      </w:pPr>
      <w:r>
        <w:rPr/>
        <w:t>La IUL depende de la sociología y la planeación, ya que como lo vimos en el trabajo de investigación, del total de artículos el 30% es aportado por la sociología y el 15% por la planeación. La influencia de la sociología aún es notoria, lo cual podría generar una dependencia de la investigación urbana respecto a los marcos teóricos provenientes de la sociología, pero además de eso determina un tipo específico de investigación.</w:t>
      </w:r>
    </w:p>
    <w:p>
      <w:pPr>
        <w:pStyle w:val="BodyText"/>
      </w:pPr>
    </w:p>
    <w:p>
      <w:pPr>
        <w:spacing w:line="360" w:lineRule="auto" w:before="142"/>
        <w:ind w:left="102" w:right="116" w:firstLine="0"/>
        <w:jc w:val="both"/>
        <w:rPr>
          <w:sz w:val="24"/>
        </w:rPr>
      </w:pPr>
      <w:r>
        <w:rPr>
          <w:sz w:val="24"/>
        </w:rPr>
        <w:t>La IUL sigue tendencias provenientes de estudios anglosajones relacionadas con temas como Saskia Sassen (1991) sobre la </w:t>
      </w:r>
      <w:r>
        <w:rPr>
          <w:i/>
          <w:sz w:val="24"/>
        </w:rPr>
        <w:t>ciudad global</w:t>
      </w:r>
      <w:r>
        <w:rPr>
          <w:sz w:val="24"/>
        </w:rPr>
        <w:t>; Tom Angotti (1993); Peter Marcuse (1995) que conceptualiza a la </w:t>
      </w:r>
      <w:r>
        <w:rPr>
          <w:i/>
          <w:sz w:val="24"/>
        </w:rPr>
        <w:t>ciudad dual </w:t>
      </w:r>
      <w:r>
        <w:rPr>
          <w:sz w:val="24"/>
        </w:rPr>
        <w:t>y el </w:t>
      </w:r>
      <w:r>
        <w:rPr>
          <w:i/>
          <w:sz w:val="24"/>
        </w:rPr>
        <w:t>nuevo orden </w:t>
      </w:r>
      <w:r>
        <w:rPr>
          <w:i/>
          <w:sz w:val="24"/>
        </w:rPr>
        <w:t>espacial</w:t>
      </w:r>
      <w:r>
        <w:rPr>
          <w:sz w:val="24"/>
        </w:rPr>
        <w:t>;  Neil Smith  (1996) que  habla  sobre  </w:t>
      </w:r>
      <w:r>
        <w:rPr>
          <w:i/>
          <w:sz w:val="24"/>
        </w:rPr>
        <w:t>la  nueva  frontera urbana</w:t>
      </w:r>
      <w:r>
        <w:rPr>
          <w:sz w:val="24"/>
        </w:rPr>
        <w:t>;</w:t>
      </w:r>
      <w:r>
        <w:rPr>
          <w:spacing w:val="51"/>
          <w:sz w:val="24"/>
        </w:rPr>
        <w:t> </w:t>
      </w:r>
      <w:r>
        <w:rPr>
          <w:sz w:val="24"/>
        </w:rPr>
        <w:t>Richard</w:t>
      </w:r>
    </w:p>
    <w:p>
      <w:pPr>
        <w:spacing w:after="0" w:line="360" w:lineRule="auto"/>
        <w:jc w:val="both"/>
        <w:rPr>
          <w:sz w:val="24"/>
        </w:rPr>
        <w:sectPr>
          <w:pgSz w:w="12240" w:h="15840"/>
          <w:pgMar w:header="0" w:footer="629" w:top="1360" w:bottom="880" w:left="1600" w:right="1580"/>
        </w:sectPr>
      </w:pPr>
    </w:p>
    <w:p>
      <w:pPr>
        <w:spacing w:line="360" w:lineRule="auto" w:before="54"/>
        <w:ind w:left="102" w:right="119" w:firstLine="0"/>
        <w:jc w:val="both"/>
        <w:rPr>
          <w:sz w:val="24"/>
        </w:rPr>
      </w:pPr>
      <w:r>
        <w:rPr>
          <w:sz w:val="24"/>
        </w:rPr>
        <w:t>Ingersoll (1996); Michael Cohen y otros (1996); Jordi Borja (1999) y su  contribución a la relación entre lo </w:t>
      </w:r>
      <w:r>
        <w:rPr>
          <w:i/>
          <w:sz w:val="24"/>
        </w:rPr>
        <w:t>local y global</w:t>
      </w:r>
      <w:r>
        <w:rPr>
          <w:sz w:val="24"/>
        </w:rPr>
        <w:t>, Edward Soja (2000) que conceptualiza a la </w:t>
      </w:r>
      <w:r>
        <w:rPr>
          <w:i/>
          <w:sz w:val="24"/>
        </w:rPr>
        <w:t>postmetropolis </w:t>
      </w:r>
      <w:r>
        <w:rPr>
          <w:sz w:val="24"/>
        </w:rPr>
        <w:t>y a la </w:t>
      </w:r>
      <w:r>
        <w:rPr>
          <w:i/>
          <w:sz w:val="24"/>
        </w:rPr>
        <w:t>geografía</w:t>
      </w:r>
      <w:r>
        <w:rPr>
          <w:i/>
          <w:spacing w:val="-20"/>
          <w:sz w:val="24"/>
        </w:rPr>
        <w:t> </w:t>
      </w:r>
      <w:r>
        <w:rPr>
          <w:i/>
          <w:sz w:val="24"/>
        </w:rPr>
        <w:t>postmoderna</w:t>
      </w:r>
      <w:r>
        <w:rPr>
          <w:sz w:val="24"/>
        </w:rPr>
        <w:t>.</w:t>
      </w:r>
    </w:p>
    <w:p>
      <w:pPr>
        <w:pStyle w:val="BodyText"/>
      </w:pPr>
    </w:p>
    <w:p>
      <w:pPr>
        <w:pStyle w:val="BodyText"/>
        <w:spacing w:line="360" w:lineRule="auto" w:before="144"/>
        <w:ind w:left="102" w:right="120"/>
        <w:jc w:val="both"/>
      </w:pPr>
      <w:r>
        <w:rPr/>
        <w:t>Hay una consolidación como los principales temas dentro de la investigación urbana que se presenta en la revista Eure, esto a partir del incremento de citas y permanencia en los primeros lugares de la clasificación que obtuvieron de 2013 a 2015.</w:t>
      </w:r>
    </w:p>
    <w:p>
      <w:pPr>
        <w:pStyle w:val="BodyText"/>
      </w:pPr>
    </w:p>
    <w:p>
      <w:pPr>
        <w:pStyle w:val="BodyText"/>
        <w:spacing w:line="360" w:lineRule="auto" w:before="142"/>
        <w:ind w:left="102" w:right="117"/>
        <w:jc w:val="both"/>
      </w:pPr>
      <w:r>
        <w:rPr/>
        <w:t>De las seis categorías obtenidas de este análisis, a) segregación urbana; b) globalización y cambios territoriales, c) metropolización; d) ambientales, e) temas regionales y f) economía urbana, hay un predominio de los temas relacionados  con la segregación urbana porque los siete artículos más citados hablan de estos temas, es necesario advertir que la mayoría de los artículos toman el caso chileno; sin embargo esto no significa que estos temas no son un referente al interior de la investigación</w:t>
      </w:r>
      <w:r>
        <w:rPr>
          <w:spacing w:val="-5"/>
        </w:rPr>
        <w:t> </w:t>
      </w:r>
      <w:r>
        <w:rPr/>
        <w:t>urbana.</w:t>
      </w:r>
    </w:p>
    <w:p>
      <w:pPr>
        <w:pStyle w:val="BodyText"/>
      </w:pPr>
    </w:p>
    <w:p>
      <w:pPr>
        <w:pStyle w:val="BodyText"/>
        <w:spacing w:line="360" w:lineRule="auto" w:before="142"/>
        <w:ind w:left="102" w:right="121"/>
        <w:jc w:val="both"/>
      </w:pPr>
      <w:r>
        <w:rPr/>
        <w:t>A pesar de que el ámbito de las ciencias ambientales ha obtenido mayor importancia en las últimas décadas tiene baja presencia en la investigación  urbana; recordemos que la presencia de cada disciplina no corresponde a la cantidad de artículos producidos respecto al tema, sino al impulso que hacen los investigadores a través de sus</w:t>
      </w:r>
      <w:r>
        <w:rPr>
          <w:spacing w:val="-10"/>
        </w:rPr>
        <w:t> </w:t>
      </w:r>
      <w:r>
        <w:rPr/>
        <w:t>citas.</w:t>
      </w:r>
    </w:p>
    <w:p>
      <w:pPr>
        <w:pStyle w:val="BodyText"/>
      </w:pPr>
    </w:p>
    <w:p>
      <w:pPr>
        <w:pStyle w:val="BodyText"/>
        <w:spacing w:line="360" w:lineRule="auto" w:before="142"/>
        <w:ind w:left="102" w:right="117"/>
        <w:jc w:val="both"/>
      </w:pPr>
      <w:r>
        <w:rPr/>
        <w:t>Una característica importante en la IUL es que tiene referentes físicos y con  rasgos de la investigación nomotética a la que hicimos referencia en el segundo capítulo, ya que aún se siguen utilizando datos cuantitativos, sin ninguna referencia a los datos cualitativos, y se continúa utilizando correlaciones y modelos matemáticos para el estudio de los fenómenos sociales a los que hacen  referencia, esto no significa que la investigación cuantitativa sea deficiente sino que es preciso el impulso de la investigación cualitativa aun cuando la   </w:t>
      </w:r>
      <w:r>
        <w:rPr>
          <w:spacing w:val="9"/>
        </w:rPr>
        <w:t> </w:t>
      </w:r>
      <w:r>
        <w:rPr/>
        <w:t>sociología</w:t>
      </w:r>
    </w:p>
    <w:p>
      <w:pPr>
        <w:spacing w:after="0" w:line="360" w:lineRule="auto"/>
        <w:jc w:val="both"/>
        <w:sectPr>
          <w:pgSz w:w="12240" w:h="15840"/>
          <w:pgMar w:header="0" w:footer="629" w:top="1360" w:bottom="880" w:left="1600" w:right="1580"/>
        </w:sectPr>
      </w:pPr>
    </w:p>
    <w:p>
      <w:pPr>
        <w:pStyle w:val="BodyText"/>
        <w:spacing w:line="360" w:lineRule="auto" w:before="54"/>
        <w:ind w:left="102" w:right="126"/>
        <w:jc w:val="both"/>
      </w:pPr>
      <w:r>
        <w:rPr/>
        <w:t>es una de las principales disciplinas que proveen métodos y formas de análisis dentro de la investigación urbana.</w:t>
      </w:r>
    </w:p>
    <w:p>
      <w:pPr>
        <w:pStyle w:val="BodyText"/>
      </w:pPr>
    </w:p>
    <w:p>
      <w:pPr>
        <w:pStyle w:val="BodyText"/>
        <w:spacing w:line="360" w:lineRule="auto" w:before="142"/>
        <w:ind w:left="102" w:right="120"/>
        <w:jc w:val="both"/>
      </w:pPr>
      <w:r>
        <w:rPr/>
        <w:t>Tal parece que la innovación de temas no dependerá de la propuesta de estudio sino de quien lo impulse. Si la comunidad tuviera un mayor grado de apertura entonces debería haber una mayor distribución en las citas que nos llevaría a que nuevas propuestas o autores.</w:t>
      </w:r>
    </w:p>
    <w:p>
      <w:pPr>
        <w:pStyle w:val="BodyText"/>
      </w:pPr>
    </w:p>
    <w:p>
      <w:pPr>
        <w:pStyle w:val="BodyText"/>
        <w:spacing w:line="360" w:lineRule="auto" w:before="142"/>
        <w:ind w:left="102" w:right="119"/>
        <w:jc w:val="both"/>
      </w:pPr>
      <w:r>
        <w:rPr/>
        <w:t>Además, si en los años noventa se propuso el paradigma complejo para abordar a la ciudad, la IUL aún enfrenta desafíos generados por la especialización del conocimiento y por la nueva dinámica de producción y difusión de la actividad científica; que a pesar de la heterogeneidad de propuestas teóricas y metodológicas la propia dinámica de la divulgación del conocimiento puede devenir en una especie de conocimiento hegemónico promovido por las prácticas científicas </w:t>
      </w:r>
      <w:r>
        <w:rPr>
          <w:i/>
        </w:rPr>
        <w:t>dominantes </w:t>
      </w:r>
      <w:r>
        <w:rPr/>
        <w:t>cuya consecuencia sea un nuevo abandono de la reflexión teórica</w:t>
      </w:r>
      <w:r>
        <w:rPr>
          <w:spacing w:val="-10"/>
        </w:rPr>
        <w:t> </w:t>
      </w:r>
      <w:r>
        <w:rPr/>
        <w:t>metodológica.</w:t>
      </w:r>
    </w:p>
    <w:p>
      <w:pPr>
        <w:pStyle w:val="BodyText"/>
      </w:pPr>
    </w:p>
    <w:p>
      <w:pPr>
        <w:pStyle w:val="BodyText"/>
        <w:spacing w:line="360" w:lineRule="auto" w:before="142"/>
        <w:ind w:left="102" w:right="117"/>
        <w:jc w:val="both"/>
      </w:pPr>
      <w:r>
        <w:rPr/>
        <w:t>Finalmente, este trabajo de investigación resalta que la IUL está sujeta a prácticas científicas sustentadas en marcos teóricos metodológicos que dan prioridad a la objetividad y medición cuantitativa y no hay un enfoque consolidado sobre los postulados de subjetividad y medición cualitativa que supuestamente se  realizarían a partir de las críticas realizadas en la época de los años</w:t>
      </w:r>
      <w:r>
        <w:rPr>
          <w:spacing w:val="-29"/>
        </w:rPr>
        <w:t> </w:t>
      </w:r>
      <w:r>
        <w:rPr/>
        <w:t>noventa.</w:t>
      </w:r>
    </w:p>
    <w:p>
      <w:pPr>
        <w:pStyle w:val="BodyText"/>
        <w:spacing w:before="9"/>
        <w:rPr>
          <w:sz w:val="27"/>
        </w:rPr>
      </w:pPr>
    </w:p>
    <w:p>
      <w:pPr>
        <w:pStyle w:val="BodyText"/>
        <w:spacing w:line="360" w:lineRule="auto"/>
        <w:ind w:left="102" w:right="116"/>
        <w:jc w:val="both"/>
      </w:pPr>
      <w:r>
        <w:rPr/>
        <w:t>Un aspecto por demás interesante es la clasificación de la UNESCO respecto a la planeación urbana que la ubica en el campo de las ciencias tecnológicas, esto es por demás interesante cuando en este estudio advertimos que la IUL está orientada a la ciencia social con predominio de la sociología pero se ha perdido el aspecto físico arquitectónico de la ciudad.</w:t>
      </w:r>
    </w:p>
    <w:p>
      <w:pPr>
        <w:spacing w:after="0" w:line="360" w:lineRule="auto"/>
        <w:jc w:val="both"/>
        <w:sectPr>
          <w:pgSz w:w="12240" w:h="15840"/>
          <w:pgMar w:header="0" w:footer="629" w:top="1360" w:bottom="8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0"/>
        <w:ind w:firstLine="5849"/>
        <w:jc w:val="left"/>
      </w:pPr>
      <w:r>
        <w:rPr/>
        <w:t>Referencias bibliográficas</w:t>
      </w:r>
    </w:p>
    <w:p>
      <w:pPr>
        <w:pStyle w:val="BodyText"/>
        <w:rPr>
          <w:b/>
        </w:rPr>
      </w:pPr>
    </w:p>
    <w:p>
      <w:pPr>
        <w:pStyle w:val="BodyText"/>
        <w:rPr>
          <w:b/>
        </w:rPr>
      </w:pPr>
    </w:p>
    <w:p>
      <w:pPr>
        <w:pStyle w:val="BodyText"/>
        <w:spacing w:line="360" w:lineRule="auto"/>
        <w:ind w:left="102" w:right="122"/>
        <w:jc w:val="both"/>
      </w:pPr>
      <w:r>
        <w:rPr/>
        <w:t>Almandoz, Arturo (2003), Historiografía Urbana en Latinoamérica: del positivismo al postmodernismo en Diálogos, vol. 7, Universidade Estadual de Maringá. Brasil  p.</w:t>
      </w:r>
      <w:r>
        <w:rPr>
          <w:spacing w:val="-5"/>
        </w:rPr>
        <w:t> </w:t>
      </w:r>
      <w:r>
        <w:rPr/>
        <w:t>117-156.</w:t>
      </w:r>
    </w:p>
    <w:p>
      <w:pPr>
        <w:pStyle w:val="BodyText"/>
      </w:pPr>
    </w:p>
    <w:p>
      <w:pPr>
        <w:spacing w:line="360" w:lineRule="auto" w:before="139"/>
        <w:ind w:left="102" w:right="115" w:firstLine="0"/>
        <w:jc w:val="both"/>
        <w:rPr>
          <w:sz w:val="24"/>
        </w:rPr>
      </w:pPr>
      <w:r>
        <w:rPr>
          <w:sz w:val="24"/>
        </w:rPr>
        <w:t>Almandoz, Arturo (2007), </w:t>
      </w:r>
      <w:r>
        <w:rPr>
          <w:i/>
          <w:sz w:val="24"/>
        </w:rPr>
        <w:t>Modernización urbanística en América Latina</w:t>
      </w:r>
      <w:r>
        <w:rPr>
          <w:sz w:val="24"/>
        </w:rPr>
        <w:t>. </w:t>
      </w:r>
      <w:r>
        <w:rPr>
          <w:i/>
          <w:sz w:val="24"/>
        </w:rPr>
        <w:t>Luminarias extranjeras y cambios disciplinares</w:t>
      </w:r>
      <w:r>
        <w:rPr>
          <w:sz w:val="24"/>
        </w:rPr>
        <w:t>. 1900-196() en Iberoamericana,  vol. 7. número 27. pp.</w:t>
      </w:r>
      <w:r>
        <w:rPr>
          <w:spacing w:val="-9"/>
          <w:sz w:val="24"/>
        </w:rPr>
        <w:t> </w:t>
      </w:r>
      <w:r>
        <w:rPr>
          <w:sz w:val="24"/>
        </w:rPr>
        <w:t>59-78</w:t>
      </w:r>
    </w:p>
    <w:p>
      <w:pPr>
        <w:pStyle w:val="BodyText"/>
      </w:pPr>
    </w:p>
    <w:p>
      <w:pPr>
        <w:pStyle w:val="BodyText"/>
        <w:spacing w:line="360" w:lineRule="auto" w:before="142"/>
        <w:ind w:left="102" w:right="124"/>
        <w:jc w:val="both"/>
      </w:pPr>
      <w:r>
        <w:rPr/>
        <w:t>Andoni, Alonso y Javier Echeverría (2014), “Lucha de Paradigmas: leyes, ciencia y activismo en el mundo open” en Argumentos de Razón Técnica, número 17, pp. 21-38.</w:t>
      </w:r>
    </w:p>
    <w:p>
      <w:pPr>
        <w:pStyle w:val="BodyText"/>
      </w:pPr>
    </w:p>
    <w:p>
      <w:pPr>
        <w:spacing w:line="362" w:lineRule="auto" w:before="139"/>
        <w:ind w:left="102" w:right="117" w:firstLine="0"/>
        <w:jc w:val="both"/>
        <w:rPr>
          <w:sz w:val="24"/>
        </w:rPr>
      </w:pPr>
      <w:r>
        <w:rPr>
          <w:sz w:val="24"/>
        </w:rPr>
        <w:t>Ansart, Pierre (1990), </w:t>
      </w:r>
      <w:r>
        <w:rPr>
          <w:i/>
          <w:sz w:val="24"/>
        </w:rPr>
        <w:t>Las Sociologías contemporáneas</w:t>
      </w:r>
      <w:r>
        <w:rPr>
          <w:sz w:val="24"/>
        </w:rPr>
        <w:t>, Amorrortu editores, Buenos Aires.</w:t>
      </w:r>
    </w:p>
    <w:p>
      <w:pPr>
        <w:pStyle w:val="BodyText"/>
      </w:pPr>
    </w:p>
    <w:p>
      <w:pPr>
        <w:pStyle w:val="BodyText"/>
        <w:spacing w:line="355" w:lineRule="auto" w:before="139"/>
        <w:ind w:left="102" w:right="125"/>
        <w:jc w:val="both"/>
        <w:rPr>
          <w:rFonts w:ascii="Times New Roman" w:hAnsi="Times New Roman"/>
        </w:rPr>
      </w:pPr>
      <w:r>
        <w:rPr/>
        <w:t>Banco Mundial (2014) Indicadores de Desarrollo Mundial, página de internet consultada el 1 de marzo de 2016 </w:t>
      </w:r>
      <w:hyperlink r:id="rId35">
        <w:r>
          <w:rPr>
            <w:rFonts w:ascii="Times New Roman" w:hAnsi="Times New Roman"/>
            <w:color w:val="0000FF"/>
            <w:u w:val="single" w:color="0000FF"/>
          </w:rPr>
          <w:t>http://wdi.worldbank.org/table/3.12</w:t>
        </w:r>
      </w:hyperlink>
    </w:p>
    <w:p>
      <w:pPr>
        <w:pStyle w:val="BodyText"/>
        <w:rPr>
          <w:rFonts w:ascii="Times New Roman"/>
          <w:sz w:val="20"/>
        </w:rPr>
      </w:pPr>
    </w:p>
    <w:p>
      <w:pPr>
        <w:pStyle w:val="BodyText"/>
        <w:spacing w:line="360" w:lineRule="auto" w:before="199"/>
        <w:ind w:left="102" w:right="117"/>
        <w:jc w:val="both"/>
      </w:pPr>
      <w:r>
        <w:rPr/>
        <w:t>Bassols, Mario (2006), Retos de la investigación urbana en México en Estudios urbanos contemporáneos, Alejandro Méndez coord. Universidad Nacional Autónoma de México, Instituto de Investigaciones Económicas. México. Distrito Federal, pp 203-2015.</w:t>
      </w:r>
    </w:p>
    <w:p>
      <w:pPr>
        <w:pStyle w:val="BodyText"/>
      </w:pPr>
    </w:p>
    <w:p>
      <w:pPr>
        <w:pStyle w:val="BodyText"/>
        <w:spacing w:line="360" w:lineRule="auto" w:before="139"/>
        <w:ind w:left="102" w:right="119"/>
        <w:jc w:val="both"/>
      </w:pPr>
      <w:r>
        <w:rPr/>
        <w:t>Benko, George (1999) </w:t>
      </w:r>
      <w:r>
        <w:rPr>
          <w:i/>
        </w:rPr>
        <w:t>La ciencia regional</w:t>
      </w:r>
      <w:r>
        <w:rPr/>
        <w:t>, Colección Sociedad y Territorio, Editorial de la Universidad Nacional del Sur, Bahía Blanca – Argentina.</w:t>
      </w:r>
    </w:p>
    <w:p>
      <w:pPr>
        <w:spacing w:after="0" w:line="360" w:lineRule="auto"/>
        <w:jc w:val="both"/>
        <w:sectPr>
          <w:pgSz w:w="12240" w:h="15840"/>
          <w:pgMar w:header="0" w:footer="629" w:top="1500" w:bottom="880" w:left="1600" w:right="1580"/>
        </w:sectPr>
      </w:pPr>
    </w:p>
    <w:p>
      <w:pPr>
        <w:pStyle w:val="BodyText"/>
        <w:spacing w:before="7"/>
        <w:rPr>
          <w:sz w:val="22"/>
        </w:rPr>
      </w:pPr>
    </w:p>
    <w:p>
      <w:pPr>
        <w:pStyle w:val="BodyText"/>
        <w:spacing w:line="360" w:lineRule="auto" w:before="69"/>
        <w:ind w:left="102" w:right="125"/>
        <w:jc w:val="both"/>
      </w:pPr>
      <w:r>
        <w:rPr/>
        <w:t>Boisier, Sergio (2005), Imágenes en el espejo: aportes a la discusión sobre crecimiento y desarrollo territorial. Universidad Autónoma del Estado de México, Toluca, México.</w:t>
      </w:r>
    </w:p>
    <w:p>
      <w:pPr>
        <w:pStyle w:val="BodyText"/>
      </w:pPr>
    </w:p>
    <w:p>
      <w:pPr>
        <w:pStyle w:val="BodyText"/>
        <w:spacing w:line="360" w:lineRule="auto" w:before="142"/>
        <w:ind w:left="102" w:right="115"/>
        <w:jc w:val="both"/>
      </w:pPr>
      <w:r>
        <w:rPr/>
        <w:t>Borja, Jordi (2007), “Revolución y contrarrevolución en la ciudad global: las expectativas frustradas por la globalización de nuestras ciudades” en </w:t>
      </w:r>
      <w:r>
        <w:rPr>
          <w:i/>
        </w:rPr>
        <w:t>Eure</w:t>
      </w:r>
      <w:r>
        <w:rPr/>
        <w:t>,  número 33(100), Pontificia Universidad Católica de Chile,</w:t>
      </w:r>
      <w:r>
        <w:rPr>
          <w:spacing w:val="-29"/>
        </w:rPr>
        <w:t> </w:t>
      </w:r>
      <w:r>
        <w:rPr/>
        <w:t>Santiago.</w:t>
      </w:r>
    </w:p>
    <w:p>
      <w:pPr>
        <w:pStyle w:val="BodyText"/>
      </w:pPr>
    </w:p>
    <w:p>
      <w:pPr>
        <w:pStyle w:val="BodyText"/>
        <w:spacing w:line="360" w:lineRule="auto" w:before="142"/>
        <w:ind w:left="102" w:right="123"/>
        <w:jc w:val="both"/>
      </w:pPr>
      <w:r>
        <w:rPr/>
        <w:t>Bourdieu, Pierre (1984), Sociología y Cultura, Grijalbo. Colección los Noventa, México.</w:t>
      </w:r>
    </w:p>
    <w:p>
      <w:pPr>
        <w:pStyle w:val="BodyText"/>
      </w:pPr>
    </w:p>
    <w:p>
      <w:pPr>
        <w:spacing w:line="362" w:lineRule="auto" w:before="139"/>
        <w:ind w:left="102" w:right="115" w:firstLine="0"/>
        <w:jc w:val="both"/>
        <w:rPr>
          <w:sz w:val="24"/>
        </w:rPr>
      </w:pPr>
      <w:r>
        <w:rPr>
          <w:sz w:val="24"/>
        </w:rPr>
        <w:t>Bunge, Mario (2000), </w:t>
      </w:r>
      <w:r>
        <w:rPr>
          <w:i/>
          <w:sz w:val="24"/>
        </w:rPr>
        <w:t>La investigación científica. Su estrategia y su filosofía</w:t>
      </w:r>
      <w:r>
        <w:rPr>
          <w:sz w:val="24"/>
        </w:rPr>
        <w:t>, segunda edición, Siglo XXI editores, Barcelona, España.</w:t>
      </w:r>
    </w:p>
    <w:p>
      <w:pPr>
        <w:pStyle w:val="BodyText"/>
      </w:pPr>
    </w:p>
    <w:p>
      <w:pPr>
        <w:pStyle w:val="BodyText"/>
        <w:spacing w:line="360" w:lineRule="auto" w:before="139"/>
        <w:ind w:left="102" w:right="118"/>
        <w:jc w:val="both"/>
      </w:pPr>
      <w:r>
        <w:rPr/>
        <w:t>Cárdenas Jirón, Luz Alicia (2005) “Enfoques metodológicos de la planificación urbana y del transporte: 1980-1999” en </w:t>
      </w:r>
      <w:r>
        <w:rPr>
          <w:i/>
        </w:rPr>
        <w:t>Revista Urbano</w:t>
      </w:r>
      <w:r>
        <w:rPr/>
        <w:t>, volumen 8 número 11, Universidad BíoBío, Concepción, Chile.</w:t>
      </w:r>
    </w:p>
    <w:p>
      <w:pPr>
        <w:pStyle w:val="BodyText"/>
      </w:pPr>
    </w:p>
    <w:p>
      <w:pPr>
        <w:pStyle w:val="BodyText"/>
        <w:spacing w:line="360" w:lineRule="auto" w:before="142"/>
        <w:ind w:left="102" w:right="121"/>
        <w:jc w:val="both"/>
      </w:pPr>
      <w:r>
        <w:rPr/>
        <w:t>Careaga, Gabriel (2001), “La sociología como utopía y crítica de la razón  moderna” en </w:t>
      </w:r>
      <w:r>
        <w:rPr>
          <w:i/>
        </w:rPr>
        <w:t>Acta Sociológica</w:t>
      </w:r>
      <w:r>
        <w:rPr/>
        <w:t>, número 32, Sociología del Conocimiento, Complejidad e Interdisciplina, mayo-agosto 2001, Universidad Autónoma de México, México, pp</w:t>
      </w:r>
      <w:r>
        <w:rPr>
          <w:spacing w:val="-6"/>
        </w:rPr>
        <w:t> </w:t>
      </w:r>
      <w:r>
        <w:rPr/>
        <w:t>13-25.</w:t>
      </w:r>
    </w:p>
    <w:p>
      <w:pPr>
        <w:pStyle w:val="BodyText"/>
      </w:pPr>
    </w:p>
    <w:p>
      <w:pPr>
        <w:spacing w:line="360" w:lineRule="auto" w:before="140"/>
        <w:ind w:left="102" w:right="122" w:firstLine="0"/>
        <w:jc w:val="both"/>
        <w:rPr>
          <w:sz w:val="24"/>
        </w:rPr>
      </w:pPr>
      <w:r>
        <w:rPr>
          <w:sz w:val="24"/>
        </w:rPr>
        <w:t>Carrión Mena, F. (1990), </w:t>
      </w:r>
      <w:r>
        <w:rPr>
          <w:i/>
          <w:sz w:val="24"/>
        </w:rPr>
        <w:t>La investigación urbana en América Latina, caminos </w:t>
      </w:r>
      <w:r>
        <w:rPr>
          <w:i/>
          <w:sz w:val="24"/>
        </w:rPr>
        <w:t>recorridos </w:t>
      </w:r>
      <w:r>
        <w:rPr>
          <w:sz w:val="24"/>
        </w:rPr>
        <w:t>y </w:t>
      </w:r>
      <w:r>
        <w:rPr>
          <w:i/>
          <w:sz w:val="24"/>
        </w:rPr>
        <w:t>por recorrer, </w:t>
      </w:r>
      <w:r>
        <w:rPr>
          <w:sz w:val="24"/>
        </w:rPr>
        <w:t>Ecuador.</w:t>
      </w:r>
    </w:p>
    <w:p>
      <w:pPr>
        <w:pStyle w:val="BodyText"/>
      </w:pPr>
    </w:p>
    <w:p>
      <w:pPr>
        <w:pStyle w:val="BodyText"/>
        <w:spacing w:line="360" w:lineRule="auto" w:before="144"/>
        <w:ind w:left="102" w:right="125"/>
        <w:jc w:val="both"/>
      </w:pPr>
      <w:r>
        <w:rPr/>
        <w:t>Casella, María y Calvi Licia (2009), Nuevos modelos de revistas y perspectivas editoriales en el cambiante entorno digital, World Lybrary and Information Congress: 75 th IFLA General Conference and Council, Italia.</w:t>
      </w:r>
    </w:p>
    <w:p>
      <w:pPr>
        <w:spacing w:after="0" w:line="360" w:lineRule="auto"/>
        <w:jc w:val="both"/>
        <w:sectPr>
          <w:pgSz w:w="12240" w:h="15840"/>
          <w:pgMar w:header="0" w:footer="629" w:top="1500" w:bottom="880" w:left="1600" w:right="1580"/>
        </w:sectPr>
      </w:pPr>
    </w:p>
    <w:p>
      <w:pPr>
        <w:spacing w:line="360" w:lineRule="auto" w:before="54"/>
        <w:ind w:left="102" w:right="118" w:firstLine="0"/>
        <w:jc w:val="both"/>
        <w:rPr>
          <w:sz w:val="24"/>
        </w:rPr>
      </w:pPr>
      <w:r>
        <w:rPr>
          <w:sz w:val="24"/>
        </w:rPr>
        <w:t>Cassini, Alejandro (12013) “Sobre la historia de la filosofía de la ciencia. A propósito de un libro de C. Ulises Moulines” en </w:t>
      </w:r>
      <w:r>
        <w:rPr>
          <w:i/>
          <w:sz w:val="24"/>
        </w:rPr>
        <w:t>Crítica, Revista Hispanoamericana </w:t>
      </w:r>
      <w:r>
        <w:rPr>
          <w:i/>
          <w:sz w:val="24"/>
        </w:rPr>
        <w:t>de Filosofía</w:t>
      </w:r>
      <w:r>
        <w:rPr>
          <w:sz w:val="24"/>
        </w:rPr>
        <w:t>, vol. 45, número 134.</w:t>
      </w:r>
    </w:p>
    <w:p>
      <w:pPr>
        <w:pStyle w:val="BodyText"/>
      </w:pPr>
    </w:p>
    <w:p>
      <w:pPr>
        <w:spacing w:line="360" w:lineRule="auto" w:before="142"/>
        <w:ind w:left="102" w:right="117" w:firstLine="0"/>
        <w:jc w:val="both"/>
        <w:rPr>
          <w:sz w:val="24"/>
        </w:rPr>
      </w:pPr>
      <w:r>
        <w:rPr>
          <w:sz w:val="24"/>
        </w:rPr>
        <w:t>Castañeda, Fernando (1994), “Constitución del Discurso Sociológico” en </w:t>
      </w:r>
      <w:r>
        <w:rPr>
          <w:i/>
          <w:sz w:val="24"/>
        </w:rPr>
        <w:t>La </w:t>
      </w:r>
      <w:r>
        <w:rPr>
          <w:i/>
          <w:sz w:val="24"/>
        </w:rPr>
        <w:t>Sociología Contemporánea en México: perspectivas disciplinarias y nuevos desafíos</w:t>
      </w:r>
      <w:r>
        <w:rPr>
          <w:sz w:val="24"/>
        </w:rPr>
        <w:t>, Juan Felipe Leal y Fernández (coor.) Universidad Nacional Autónoma de México, pp 13- 32.</w:t>
      </w:r>
    </w:p>
    <w:p>
      <w:pPr>
        <w:pStyle w:val="BodyText"/>
      </w:pPr>
    </w:p>
    <w:p>
      <w:pPr>
        <w:pStyle w:val="BodyText"/>
        <w:spacing w:before="142"/>
        <w:ind w:left="102"/>
        <w:jc w:val="both"/>
      </w:pPr>
      <w:r>
        <w:rPr/>
        <w:t>Castells, Manuel (1976) La cuestión urbana, siglo XXI editores, España.</w:t>
      </w:r>
    </w:p>
    <w:p>
      <w:pPr>
        <w:pStyle w:val="BodyText"/>
      </w:pPr>
    </w:p>
    <w:p>
      <w:pPr>
        <w:pStyle w:val="BodyText"/>
        <w:spacing w:before="9"/>
        <w:rPr>
          <w:sz w:val="23"/>
        </w:rPr>
      </w:pPr>
    </w:p>
    <w:p>
      <w:pPr>
        <w:spacing w:line="360" w:lineRule="auto" w:before="0"/>
        <w:ind w:left="102" w:right="115" w:firstLine="0"/>
        <w:jc w:val="both"/>
        <w:rPr>
          <w:sz w:val="24"/>
        </w:rPr>
      </w:pPr>
      <w:r>
        <w:rPr>
          <w:sz w:val="24"/>
        </w:rPr>
        <w:t>Cerejido, Marcelino (1994), </w:t>
      </w:r>
      <w:r>
        <w:rPr>
          <w:i/>
          <w:sz w:val="24"/>
        </w:rPr>
        <w:t>Ciencia sin seso, locura doble. Estás seguro que te </w:t>
      </w:r>
      <w:r>
        <w:rPr>
          <w:i/>
          <w:sz w:val="24"/>
        </w:rPr>
        <w:t>quieres dedicar a la investigación científica en un país subdesarrollado</w:t>
      </w:r>
      <w:r>
        <w:rPr>
          <w:sz w:val="24"/>
        </w:rPr>
        <w:t>, editorial Siglo XX] México.</w:t>
      </w:r>
    </w:p>
    <w:p>
      <w:pPr>
        <w:pStyle w:val="BodyText"/>
      </w:pPr>
    </w:p>
    <w:p>
      <w:pPr>
        <w:spacing w:line="362" w:lineRule="auto" w:before="139"/>
        <w:ind w:left="102" w:right="119" w:firstLine="0"/>
        <w:jc w:val="both"/>
        <w:rPr>
          <w:sz w:val="24"/>
        </w:rPr>
      </w:pPr>
      <w:r>
        <w:rPr>
          <w:sz w:val="24"/>
        </w:rPr>
        <w:t>Chalmers, Alan F. (1999), </w:t>
      </w:r>
      <w:r>
        <w:rPr>
          <w:i/>
          <w:sz w:val="24"/>
        </w:rPr>
        <w:t>¿Qué es esa cosa llamada ciencia? Una valoración de </w:t>
      </w:r>
      <w:r>
        <w:rPr>
          <w:i/>
          <w:sz w:val="24"/>
        </w:rPr>
        <w:t>la naturaleza y el estatuto de la ciencia y sus métodos</w:t>
      </w:r>
      <w:r>
        <w:rPr>
          <w:sz w:val="24"/>
        </w:rPr>
        <w:t>, 23a edición, editorial Siglo XXI</w:t>
      </w:r>
      <w:r>
        <w:rPr>
          <w:spacing w:val="-5"/>
          <w:sz w:val="24"/>
        </w:rPr>
        <w:t> </w:t>
      </w:r>
      <w:r>
        <w:rPr>
          <w:sz w:val="24"/>
        </w:rPr>
        <w:t>México.</w:t>
      </w:r>
    </w:p>
    <w:p>
      <w:pPr>
        <w:pStyle w:val="BodyText"/>
      </w:pPr>
    </w:p>
    <w:p>
      <w:pPr>
        <w:pStyle w:val="BodyText"/>
        <w:spacing w:line="360" w:lineRule="auto" w:before="139"/>
        <w:ind w:left="102" w:right="119"/>
        <w:jc w:val="both"/>
      </w:pPr>
      <w:r>
        <w:rPr/>
        <w:t>Coraggio, J. L. (1992), “Pautas para una discusión sobre el futuro de la investigación urbana en América Latina” en </w:t>
      </w:r>
      <w:r>
        <w:rPr>
          <w:i/>
        </w:rPr>
        <w:t>Sociológica, </w:t>
      </w:r>
      <w:r>
        <w:rPr/>
        <w:t>7(18), Departamento de Sociología de la Universidad Autónoma Metropolitana-Azcapotzalco, México.</w:t>
      </w:r>
    </w:p>
    <w:p>
      <w:pPr>
        <w:pStyle w:val="BodyText"/>
      </w:pPr>
    </w:p>
    <w:p>
      <w:pPr>
        <w:pStyle w:val="BodyText"/>
        <w:spacing w:line="360" w:lineRule="auto" w:before="142"/>
        <w:ind w:left="102" w:right="116"/>
        <w:jc w:val="both"/>
      </w:pPr>
      <w:r>
        <w:rPr/>
        <w:t>Covarrubias Villa, F. (2010), “El Proceso de Construcción de Corpus Teóricos: La importancia de los referentes no teóricos en los procesos de teorización” en </w:t>
      </w:r>
      <w:r>
        <w:rPr>
          <w:i/>
        </w:rPr>
        <w:t>Cinta </w:t>
      </w:r>
      <w:r>
        <w:rPr>
          <w:i/>
        </w:rPr>
        <w:t>de Moebio, </w:t>
      </w:r>
      <w:r>
        <w:rPr/>
        <w:t>37, 15-28.</w:t>
      </w:r>
    </w:p>
    <w:p>
      <w:pPr>
        <w:pStyle w:val="BodyText"/>
      </w:pPr>
    </w:p>
    <w:p>
      <w:pPr>
        <w:pStyle w:val="BodyText"/>
        <w:spacing w:line="357" w:lineRule="auto" w:before="144"/>
        <w:ind w:left="102" w:right="124"/>
        <w:jc w:val="both"/>
      </w:pPr>
      <w:r>
        <w:rPr/>
        <w:t>Cuervo, N. (2012), “Los avatares de la vivienda en la investigación urbana y regional latinoamericana (1990-2012)” en: </w:t>
      </w:r>
      <w:r>
        <w:rPr>
          <w:i/>
        </w:rPr>
        <w:t>Territorios, </w:t>
      </w:r>
      <w:r>
        <w:rPr/>
        <w:t>(27), 47-70.</w:t>
      </w:r>
    </w:p>
    <w:p>
      <w:pPr>
        <w:spacing w:after="0" w:line="357" w:lineRule="auto"/>
        <w:jc w:val="both"/>
        <w:sectPr>
          <w:pgSz w:w="12240" w:h="15840"/>
          <w:pgMar w:header="0" w:footer="629" w:top="1360" w:bottom="880" w:left="1600" w:right="1580"/>
        </w:sectPr>
      </w:pPr>
    </w:p>
    <w:p>
      <w:pPr>
        <w:spacing w:line="362" w:lineRule="auto" w:before="52"/>
        <w:ind w:left="102" w:right="117" w:firstLine="0"/>
        <w:jc w:val="both"/>
        <w:rPr>
          <w:sz w:val="24"/>
        </w:rPr>
      </w:pPr>
      <w:r>
        <w:rPr>
          <w:sz w:val="24"/>
        </w:rPr>
        <w:t>Díez y Moulines (2008), </w:t>
      </w:r>
      <w:r>
        <w:rPr>
          <w:i/>
          <w:sz w:val="24"/>
        </w:rPr>
        <w:t>Fundamentos de Filosofía de la Ciencia</w:t>
      </w:r>
      <w:r>
        <w:rPr>
          <w:sz w:val="24"/>
        </w:rPr>
        <w:t>, tercera edición, Ariel.</w:t>
      </w:r>
    </w:p>
    <w:p>
      <w:pPr>
        <w:pStyle w:val="BodyText"/>
      </w:pPr>
    </w:p>
    <w:p>
      <w:pPr>
        <w:pStyle w:val="BodyText"/>
        <w:spacing w:line="360" w:lineRule="auto" w:before="139"/>
        <w:ind w:left="102" w:right="117"/>
        <w:jc w:val="both"/>
      </w:pPr>
      <w:r>
        <w:rPr/>
        <w:t>Duhau, Emilio (2000), “Estudios urbanos: problemas y perspectivas en los años noventa” en </w:t>
      </w:r>
      <w:r>
        <w:rPr>
          <w:i/>
        </w:rPr>
        <w:t>Revista Sociológica</w:t>
      </w:r>
      <w:r>
        <w:rPr/>
        <w:t>, año 15, número 42, enero-abril, Universidad Autónoma Metropolitana-Azcapotzalco, pp13-35.</w:t>
      </w:r>
    </w:p>
    <w:p>
      <w:pPr>
        <w:pStyle w:val="BodyText"/>
      </w:pPr>
    </w:p>
    <w:p>
      <w:pPr>
        <w:pStyle w:val="BodyText"/>
        <w:spacing w:line="360" w:lineRule="auto" w:before="142"/>
        <w:ind w:left="102" w:right="119"/>
        <w:jc w:val="both"/>
      </w:pPr>
      <w:r>
        <w:rPr/>
        <w:t>Echeverría, Javier (2008), “Propuesta para una filosofía de las prácticas  científicas” en </w:t>
      </w:r>
      <w:r>
        <w:rPr>
          <w:i/>
        </w:rPr>
        <w:t>Normas y Prácticas de la Ciencia</w:t>
      </w:r>
      <w:r>
        <w:rPr/>
        <w:t>, (compiladores) J. Miguel Esteban y Sergio F. Martínez,  Instituto de Investigaciones Filosóficas,</w:t>
      </w:r>
      <w:r>
        <w:rPr>
          <w:spacing w:val="-27"/>
        </w:rPr>
        <w:t> </w:t>
      </w:r>
      <w:r>
        <w:rPr/>
        <w:t>UNAM.</w:t>
      </w:r>
    </w:p>
    <w:p>
      <w:pPr>
        <w:pStyle w:val="BodyText"/>
      </w:pPr>
    </w:p>
    <w:p>
      <w:pPr>
        <w:spacing w:line="357" w:lineRule="auto" w:before="142"/>
        <w:ind w:left="102" w:right="122" w:firstLine="0"/>
        <w:jc w:val="both"/>
        <w:rPr>
          <w:sz w:val="24"/>
        </w:rPr>
      </w:pPr>
      <w:r>
        <w:rPr>
          <w:sz w:val="24"/>
        </w:rPr>
        <w:t>Echeverría, Javier (2010) “De la filosofía de la ciencia a la filosofía de la tecnociencia” en </w:t>
      </w:r>
      <w:r>
        <w:rPr>
          <w:i/>
          <w:sz w:val="24"/>
        </w:rPr>
        <w:t>Daímon Revista Internacional de </w:t>
      </w:r>
      <w:r>
        <w:rPr>
          <w:sz w:val="24"/>
        </w:rPr>
        <w:t>Filosofía, número 50.</w:t>
      </w:r>
    </w:p>
    <w:p>
      <w:pPr>
        <w:pStyle w:val="BodyText"/>
      </w:pPr>
    </w:p>
    <w:p>
      <w:pPr>
        <w:pStyle w:val="BodyText"/>
        <w:spacing w:line="360" w:lineRule="auto" w:before="147"/>
        <w:ind w:left="102" w:right="120"/>
        <w:jc w:val="both"/>
      </w:pPr>
      <w:r>
        <w:rPr/>
        <w:t>Espinosa Calvo, María Eugenia y Benjamín Vargas Quesada, Viocente P. Rosa Guerrero Bote, Félix de Moya Anegón (2009), “Estudio comparativo de seis dominios científicos nacionales” en Revista Española de Documentación  Científica, número 32, julio –septiembre, Centro de Ciencias Humanas y Sociales, Madrid,</w:t>
      </w:r>
      <w:r>
        <w:rPr>
          <w:spacing w:val="-8"/>
        </w:rPr>
        <w:t> </w:t>
      </w:r>
      <w:r>
        <w:rPr/>
        <w:t>España.</w:t>
      </w:r>
    </w:p>
    <w:p>
      <w:pPr>
        <w:pStyle w:val="BodyText"/>
      </w:pPr>
    </w:p>
    <w:p>
      <w:pPr>
        <w:pStyle w:val="BodyText"/>
        <w:spacing w:line="360" w:lineRule="auto" w:before="142"/>
        <w:ind w:left="102" w:right="119"/>
        <w:jc w:val="both"/>
      </w:pPr>
      <w:r>
        <w:rPr/>
        <w:t>Foucault, Michel (1973), El orden del discurso, Fabula Tusquets editores, Barcelona.</w:t>
      </w:r>
    </w:p>
    <w:p>
      <w:pPr>
        <w:pStyle w:val="BodyText"/>
      </w:pPr>
    </w:p>
    <w:p>
      <w:pPr>
        <w:spacing w:line="360" w:lineRule="auto" w:before="142"/>
        <w:ind w:left="102" w:right="117" w:firstLine="0"/>
        <w:jc w:val="both"/>
        <w:rPr>
          <w:sz w:val="24"/>
        </w:rPr>
      </w:pPr>
      <w:r>
        <w:rPr>
          <w:sz w:val="24"/>
        </w:rPr>
        <w:t>Garcés Cano, Jorge Enrique (2007), “Metodología para el análisis y la revisión crística de artículos de investigación” en </w:t>
      </w:r>
      <w:r>
        <w:rPr>
          <w:i/>
          <w:sz w:val="24"/>
        </w:rPr>
        <w:t>INNOVAR. Revista de Ciencias </w:t>
      </w:r>
      <w:r>
        <w:rPr>
          <w:i/>
          <w:sz w:val="24"/>
        </w:rPr>
        <w:t>Administrativas y Sociales</w:t>
      </w:r>
      <w:r>
        <w:rPr>
          <w:sz w:val="24"/>
        </w:rPr>
        <w:t>, volumen 17, número 29, Universidad Nacional de Colombia, Bogota.</w:t>
      </w:r>
    </w:p>
    <w:p>
      <w:pPr>
        <w:pStyle w:val="BodyText"/>
      </w:pPr>
    </w:p>
    <w:p>
      <w:pPr>
        <w:spacing w:line="360" w:lineRule="auto" w:before="139"/>
        <w:ind w:left="102" w:right="120" w:firstLine="0"/>
        <w:jc w:val="both"/>
        <w:rPr>
          <w:sz w:val="24"/>
        </w:rPr>
      </w:pPr>
      <w:r>
        <w:rPr>
          <w:sz w:val="24"/>
        </w:rPr>
        <w:t>Garza Villareal, Gustavo (1996), </w:t>
      </w:r>
      <w:r>
        <w:rPr>
          <w:i/>
          <w:sz w:val="24"/>
        </w:rPr>
        <w:t>Cincuenta años de investigación urbana y </w:t>
      </w:r>
      <w:r>
        <w:rPr>
          <w:i/>
          <w:sz w:val="24"/>
        </w:rPr>
        <w:t>regional en México 1940-1991</w:t>
      </w:r>
      <w:r>
        <w:rPr>
          <w:sz w:val="24"/>
        </w:rPr>
        <w:t>. México: El Colegio de México, Centro de Estudios Demográficos y de Desarrollo</w:t>
      </w:r>
      <w:r>
        <w:rPr>
          <w:spacing w:val="-15"/>
          <w:sz w:val="24"/>
        </w:rPr>
        <w:t> </w:t>
      </w:r>
      <w:r>
        <w:rPr>
          <w:sz w:val="24"/>
        </w:rPr>
        <w:t>Urbano.</w:t>
      </w:r>
    </w:p>
    <w:p>
      <w:pPr>
        <w:spacing w:after="0" w:line="360" w:lineRule="auto"/>
        <w:jc w:val="both"/>
        <w:rPr>
          <w:sz w:val="24"/>
        </w:rPr>
        <w:sectPr>
          <w:pgSz w:w="12240" w:h="15840"/>
          <w:pgMar w:header="0" w:footer="629" w:top="1360" w:bottom="880" w:left="1600" w:right="1580"/>
        </w:sectPr>
      </w:pPr>
    </w:p>
    <w:p>
      <w:pPr>
        <w:pStyle w:val="BodyText"/>
        <w:spacing w:before="4"/>
        <w:rPr>
          <w:sz w:val="22"/>
        </w:rPr>
      </w:pPr>
    </w:p>
    <w:p>
      <w:pPr>
        <w:spacing w:line="360" w:lineRule="auto" w:before="70"/>
        <w:ind w:left="102" w:right="116" w:firstLine="0"/>
        <w:jc w:val="both"/>
        <w:rPr>
          <w:sz w:val="24"/>
        </w:rPr>
      </w:pPr>
      <w:r>
        <w:rPr>
          <w:sz w:val="24"/>
        </w:rPr>
        <w:t>Geymonat, Ludovico (1993), </w:t>
      </w:r>
      <w:r>
        <w:rPr>
          <w:i/>
          <w:sz w:val="24"/>
        </w:rPr>
        <w:t>Límites actuales de la filosofía de la ciencia</w:t>
      </w:r>
      <w:r>
        <w:rPr>
          <w:sz w:val="24"/>
        </w:rPr>
        <w:t>, Gedisa editorial, (Colección, Límites de la ciencia), Barcelona.</w:t>
      </w:r>
    </w:p>
    <w:p>
      <w:pPr>
        <w:pStyle w:val="BodyText"/>
      </w:pPr>
    </w:p>
    <w:p>
      <w:pPr>
        <w:pStyle w:val="BodyText"/>
        <w:spacing w:before="142"/>
        <w:ind w:left="102"/>
        <w:jc w:val="both"/>
      </w:pPr>
      <w:r>
        <w:rPr/>
        <w:t>Giménez, Gilberto (2004), “Pluralidad y unidad de las ciencias sociales” en Revista</w:t>
      </w:r>
    </w:p>
    <w:p>
      <w:pPr>
        <w:spacing w:before="137"/>
        <w:ind w:left="102" w:right="0" w:firstLine="0"/>
        <w:jc w:val="both"/>
        <w:rPr>
          <w:sz w:val="24"/>
        </w:rPr>
      </w:pPr>
      <w:r>
        <w:rPr>
          <w:i/>
          <w:sz w:val="24"/>
        </w:rPr>
        <w:t>Estudios Sociológicos</w:t>
      </w:r>
      <w:r>
        <w:rPr>
          <w:sz w:val="24"/>
        </w:rPr>
        <w:t>, número 65.</w:t>
      </w:r>
    </w:p>
    <w:p>
      <w:pPr>
        <w:pStyle w:val="BodyText"/>
      </w:pPr>
    </w:p>
    <w:p>
      <w:pPr>
        <w:pStyle w:val="BodyText"/>
        <w:spacing w:before="2"/>
      </w:pPr>
    </w:p>
    <w:p>
      <w:pPr>
        <w:pStyle w:val="BodyText"/>
        <w:spacing w:line="360" w:lineRule="auto"/>
        <w:ind w:left="102" w:right="413"/>
      </w:pPr>
      <w:r>
        <w:rPr/>
        <w:t>Giraldo Isaza, Fabio (1999) Ciudad y Crisis ¿hacia un nuevo paradigma? Tercer Mundo Editores, Bogotá, Colombia.</w:t>
      </w:r>
    </w:p>
    <w:p>
      <w:pPr>
        <w:pStyle w:val="BodyText"/>
      </w:pPr>
    </w:p>
    <w:p>
      <w:pPr>
        <w:pStyle w:val="BodyText"/>
        <w:spacing w:line="360" w:lineRule="auto" w:before="142"/>
        <w:ind w:left="102" w:right="118"/>
        <w:jc w:val="both"/>
      </w:pPr>
      <w:r>
        <w:rPr/>
        <w:t>González Reynoso, Arsenio (2003) “Los estados de la cuestión sobre la investigación urbana en América Latina (1990-2000)” en Anuario Americanista Europeo, número 1, Consejo Europeo de Investigaciones Sociales de América Latina, p. 133-146.</w:t>
      </w:r>
    </w:p>
    <w:p>
      <w:pPr>
        <w:pStyle w:val="BodyText"/>
      </w:pPr>
    </w:p>
    <w:p>
      <w:pPr>
        <w:pStyle w:val="BodyText"/>
        <w:spacing w:line="360" w:lineRule="auto" w:before="142"/>
        <w:ind w:left="102" w:right="121"/>
        <w:jc w:val="both"/>
      </w:pPr>
      <w:r>
        <w:rPr/>
        <w:t>Gutiérrez Gómez, Alfredo (1998) “Edgar Morin y las Posibilidades del pensamiento Complejo” en revista </w:t>
      </w:r>
      <w:r>
        <w:rPr>
          <w:i/>
        </w:rPr>
        <w:t>Metapolítica </w:t>
      </w:r>
      <w:r>
        <w:rPr/>
        <w:t>número 8, Centro de Estudios de Política Comparada A.C pp 643-659.</w:t>
      </w:r>
    </w:p>
    <w:p>
      <w:pPr>
        <w:pStyle w:val="BodyText"/>
      </w:pPr>
    </w:p>
    <w:p>
      <w:pPr>
        <w:spacing w:before="139"/>
        <w:ind w:left="102" w:right="0" w:firstLine="0"/>
        <w:jc w:val="both"/>
        <w:rPr>
          <w:sz w:val="24"/>
        </w:rPr>
      </w:pPr>
      <w:r>
        <w:rPr>
          <w:sz w:val="24"/>
        </w:rPr>
        <w:t>Hackin Ian (1985), </w:t>
      </w:r>
      <w:r>
        <w:rPr>
          <w:i/>
          <w:sz w:val="24"/>
        </w:rPr>
        <w:t>Revoluciones Científicas</w:t>
      </w:r>
      <w:r>
        <w:rPr>
          <w:sz w:val="24"/>
        </w:rPr>
        <w:t>, Fondo de Cultura Económica.</w:t>
      </w:r>
    </w:p>
    <w:p>
      <w:pPr>
        <w:pStyle w:val="BodyText"/>
      </w:pPr>
    </w:p>
    <w:p>
      <w:pPr>
        <w:pStyle w:val="BodyText"/>
        <w:spacing w:before="2"/>
      </w:pPr>
    </w:p>
    <w:p>
      <w:pPr>
        <w:pStyle w:val="BodyText"/>
        <w:spacing w:line="360" w:lineRule="auto"/>
        <w:ind w:left="102" w:right="120"/>
        <w:jc w:val="both"/>
      </w:pPr>
      <w:r>
        <w:rPr/>
        <w:t>Janoschka, Michael (2002), “El nuevo modelo de la ciudad latinoamericana: fragmentación y privatización” en </w:t>
      </w:r>
      <w:r>
        <w:rPr>
          <w:i/>
        </w:rPr>
        <w:t>Eure</w:t>
      </w:r>
      <w:r>
        <w:rPr/>
        <w:t>, Revista Latinoamericana de Estudios Urbano Regionales, volumen 28, número 85, Pontificia Universidad Católica de chile, Santiago, Chile.</w:t>
      </w:r>
    </w:p>
    <w:p>
      <w:pPr>
        <w:pStyle w:val="BodyText"/>
      </w:pPr>
    </w:p>
    <w:p>
      <w:pPr>
        <w:pStyle w:val="BodyText"/>
        <w:spacing w:line="360" w:lineRule="auto" w:before="142"/>
        <w:ind w:left="102" w:right="121"/>
        <w:jc w:val="both"/>
      </w:pPr>
      <w:r>
        <w:rPr/>
        <w:t>Kowarick, L. (1994). “Investigación urbana y sociedad: Comentarios sobre nuestra América” en Eure, 20, 37-45, Pontificia Universidad Católica de Chile.</w:t>
      </w:r>
    </w:p>
    <w:p>
      <w:pPr>
        <w:spacing w:after="0" w:line="360" w:lineRule="auto"/>
        <w:jc w:val="both"/>
        <w:sectPr>
          <w:pgSz w:w="12240" w:h="15840"/>
          <w:pgMar w:header="0" w:footer="629" w:top="1500" w:bottom="880" w:left="1600" w:right="1580"/>
        </w:sectPr>
      </w:pPr>
    </w:p>
    <w:p>
      <w:pPr>
        <w:spacing w:line="360" w:lineRule="auto" w:before="52"/>
        <w:ind w:left="102" w:right="116" w:firstLine="0"/>
        <w:jc w:val="both"/>
        <w:rPr>
          <w:sz w:val="24"/>
        </w:rPr>
      </w:pPr>
      <w:r>
        <w:rPr>
          <w:sz w:val="24"/>
        </w:rPr>
        <w:t>Laudan, Larry (2005) “La historia de la ciencia y Filosofía de la ciencia” en </w:t>
      </w:r>
      <w:r>
        <w:rPr>
          <w:i/>
          <w:sz w:val="24"/>
        </w:rPr>
        <w:t>Historia, </w:t>
      </w:r>
      <w:r>
        <w:rPr>
          <w:i/>
          <w:sz w:val="24"/>
        </w:rPr>
        <w:t>Filosofía y Enseñanza de la Ciencia, </w:t>
      </w:r>
      <w:r>
        <w:rPr>
          <w:sz w:val="24"/>
        </w:rPr>
        <w:t>Sergio F. Martínez y Godfrey Guillaumin (compiladores), Instituto de Investigaciones Filosóficas, UNAM.</w:t>
      </w:r>
    </w:p>
    <w:p>
      <w:pPr>
        <w:pStyle w:val="BodyText"/>
      </w:pPr>
    </w:p>
    <w:p>
      <w:pPr>
        <w:spacing w:before="139"/>
        <w:ind w:left="102" w:right="0" w:firstLine="0"/>
        <w:jc w:val="both"/>
        <w:rPr>
          <w:sz w:val="24"/>
        </w:rPr>
      </w:pPr>
      <w:r>
        <w:rPr>
          <w:sz w:val="24"/>
        </w:rPr>
        <w:t>Lafuente, Antonio (2007), </w:t>
      </w:r>
      <w:r>
        <w:rPr>
          <w:i/>
          <w:sz w:val="24"/>
        </w:rPr>
        <w:t>El carnaval de la tecnociencia</w:t>
      </w:r>
      <w:r>
        <w:rPr>
          <w:sz w:val="24"/>
        </w:rPr>
        <w:t>, Madrid, Gadir</w:t>
      </w:r>
    </w:p>
    <w:p>
      <w:pPr>
        <w:pStyle w:val="BodyText"/>
      </w:pPr>
    </w:p>
    <w:p>
      <w:pPr>
        <w:pStyle w:val="BodyText"/>
      </w:pPr>
    </w:p>
    <w:p>
      <w:pPr>
        <w:spacing w:line="362" w:lineRule="auto" w:before="0"/>
        <w:ind w:left="102" w:right="115" w:firstLine="0"/>
        <w:jc w:val="both"/>
        <w:rPr>
          <w:sz w:val="24"/>
        </w:rPr>
      </w:pPr>
      <w:r>
        <w:rPr>
          <w:sz w:val="24"/>
        </w:rPr>
        <w:t>Lyotard, Jean Françoise (1991), </w:t>
      </w:r>
      <w:r>
        <w:rPr>
          <w:i/>
          <w:sz w:val="24"/>
        </w:rPr>
        <w:t>La condición posmoderna, informe sobre el saber</w:t>
      </w:r>
      <w:r>
        <w:rPr>
          <w:sz w:val="24"/>
        </w:rPr>
        <w:t>, segunda edición, editorial R.E.I, Argentina.</w:t>
      </w:r>
    </w:p>
    <w:p>
      <w:pPr>
        <w:pStyle w:val="BodyText"/>
      </w:pPr>
    </w:p>
    <w:p>
      <w:pPr>
        <w:pStyle w:val="BodyText"/>
        <w:spacing w:line="360" w:lineRule="auto" w:before="140"/>
        <w:ind w:left="102" w:right="119"/>
        <w:jc w:val="both"/>
      </w:pPr>
      <w:r>
        <w:rPr/>
        <w:t>Lezama, José Luis (1990) Hacia una revaloración del espacio en la teoría social  en Sociológica, año 5, número 12, enero-abril, Universidad Autónoma Metropolitana Azcapotzalco,</w:t>
      </w:r>
      <w:r>
        <w:rPr>
          <w:spacing w:val="-15"/>
        </w:rPr>
        <w:t> </w:t>
      </w:r>
      <w:r>
        <w:rPr/>
        <w:t>México.</w:t>
      </w:r>
    </w:p>
    <w:p>
      <w:pPr>
        <w:pStyle w:val="BodyText"/>
      </w:pPr>
    </w:p>
    <w:p>
      <w:pPr>
        <w:pStyle w:val="BodyText"/>
        <w:spacing w:line="360" w:lineRule="auto" w:before="142"/>
        <w:ind w:left="102" w:right="118"/>
        <w:jc w:val="both"/>
      </w:pPr>
      <w:r>
        <w:rPr/>
        <w:t>López Rangel, Rafael (2003), “El rebasamicnto cognoscitivo en la investigación urbana latinoamericana” en </w:t>
      </w:r>
      <w:r>
        <w:rPr>
          <w:i/>
        </w:rPr>
        <w:t>Revista Sociológica</w:t>
      </w:r>
      <w:r>
        <w:rPr/>
        <w:t>. México: U.AM Azcapotzalco; número 32.</w:t>
      </w:r>
    </w:p>
    <w:p>
      <w:pPr>
        <w:pStyle w:val="BodyText"/>
      </w:pPr>
    </w:p>
    <w:p>
      <w:pPr>
        <w:spacing w:line="360" w:lineRule="auto" w:before="140"/>
        <w:ind w:left="102" w:right="116" w:firstLine="0"/>
        <w:jc w:val="both"/>
        <w:rPr>
          <w:i/>
          <w:sz w:val="24"/>
        </w:rPr>
      </w:pPr>
      <w:r>
        <w:rPr>
          <w:sz w:val="24"/>
        </w:rPr>
        <w:t>Lorenzano, Pablo (2011), “</w:t>
      </w:r>
      <w:r>
        <w:rPr>
          <w:i/>
          <w:sz w:val="24"/>
        </w:rPr>
        <w:t>La teorización filosófica sobre la ciencia en el siglo XX </w:t>
      </w:r>
      <w:r>
        <w:rPr>
          <w:i/>
          <w:sz w:val="24"/>
        </w:rPr>
        <w:t>(y lo que va del XXI)” </w:t>
      </w:r>
      <w:r>
        <w:rPr>
          <w:sz w:val="24"/>
        </w:rPr>
        <w:t>en </w:t>
      </w:r>
      <w:r>
        <w:rPr>
          <w:i/>
          <w:sz w:val="24"/>
        </w:rPr>
        <w:t>Discusiones Filosóficas, Año 12, número 19, julio- </w:t>
      </w:r>
      <w:r>
        <w:rPr>
          <w:i/>
          <w:sz w:val="24"/>
        </w:rPr>
        <w:t>diciembre.</w:t>
      </w:r>
    </w:p>
    <w:p>
      <w:pPr>
        <w:pStyle w:val="BodyText"/>
        <w:rPr>
          <w:i/>
        </w:rPr>
      </w:pPr>
    </w:p>
    <w:p>
      <w:pPr>
        <w:spacing w:line="357" w:lineRule="auto" w:before="144"/>
        <w:ind w:left="102" w:right="117" w:firstLine="0"/>
        <w:jc w:val="both"/>
        <w:rPr>
          <w:sz w:val="24"/>
        </w:rPr>
      </w:pPr>
      <w:r>
        <w:rPr>
          <w:sz w:val="24"/>
        </w:rPr>
        <w:t>Lungo, Mario (1996), “Los retos de la investigación urbana. Una perspectiva Latinoamericana” en </w:t>
      </w:r>
      <w:r>
        <w:rPr>
          <w:i/>
          <w:sz w:val="24"/>
        </w:rPr>
        <w:t>International Social Science Journal</w:t>
      </w:r>
      <w:r>
        <w:rPr>
          <w:sz w:val="24"/>
        </w:rPr>
        <w:t>, número 1457, marzo,</w:t>
      </w:r>
    </w:p>
    <w:p>
      <w:pPr>
        <w:pStyle w:val="BodyText"/>
      </w:pPr>
    </w:p>
    <w:p>
      <w:pPr>
        <w:spacing w:line="362" w:lineRule="auto" w:before="145"/>
        <w:ind w:left="102" w:right="117" w:firstLine="0"/>
        <w:jc w:val="both"/>
        <w:rPr>
          <w:sz w:val="24"/>
        </w:rPr>
      </w:pPr>
      <w:r>
        <w:rPr>
          <w:sz w:val="24"/>
        </w:rPr>
        <w:t>Maffesoli, Michel (1985), “Perspectivas” en </w:t>
      </w:r>
      <w:r>
        <w:rPr>
          <w:i/>
          <w:sz w:val="24"/>
        </w:rPr>
        <w:t>El conocimiento ordinario</w:t>
      </w:r>
      <w:r>
        <w:rPr>
          <w:sz w:val="24"/>
        </w:rPr>
        <w:t>, compendio de sociología. Fondo de Cultura Económica.</w:t>
      </w:r>
    </w:p>
    <w:p>
      <w:pPr>
        <w:pStyle w:val="BodyText"/>
        <w:spacing w:before="10"/>
        <w:rPr>
          <w:sz w:val="35"/>
        </w:rPr>
      </w:pPr>
    </w:p>
    <w:p>
      <w:pPr>
        <w:spacing w:line="360" w:lineRule="auto" w:before="0"/>
        <w:ind w:left="102" w:right="115" w:firstLine="0"/>
        <w:jc w:val="both"/>
        <w:rPr>
          <w:sz w:val="24"/>
        </w:rPr>
      </w:pPr>
      <w:r>
        <w:rPr>
          <w:sz w:val="24"/>
        </w:rPr>
        <w:t>Martínez Migueles, Miguel (1999), </w:t>
      </w:r>
      <w:r>
        <w:rPr>
          <w:i/>
          <w:sz w:val="24"/>
        </w:rPr>
        <w:t>La nueva ciencia: su desafió, lógica y método</w:t>
      </w:r>
      <w:r>
        <w:rPr>
          <w:sz w:val="24"/>
        </w:rPr>
        <w:t>, Trillas México.</w:t>
      </w:r>
    </w:p>
    <w:p>
      <w:pPr>
        <w:spacing w:after="0" w:line="360" w:lineRule="auto"/>
        <w:jc w:val="both"/>
        <w:rPr>
          <w:sz w:val="24"/>
        </w:rPr>
        <w:sectPr>
          <w:pgSz w:w="12240" w:h="15840"/>
          <w:pgMar w:header="0" w:footer="629" w:top="1360" w:bottom="880" w:left="1600" w:right="1580"/>
        </w:sectPr>
      </w:pPr>
    </w:p>
    <w:p>
      <w:pPr>
        <w:pStyle w:val="BodyText"/>
        <w:spacing w:line="360" w:lineRule="auto" w:before="54"/>
        <w:ind w:left="102" w:right="119"/>
        <w:jc w:val="both"/>
      </w:pPr>
      <w:r>
        <w:rPr/>
        <w:t>Martínez, Sergio (2008), “Un lugar para las prácticas en una filosofía de la ciencia naturalizada” en </w:t>
      </w:r>
      <w:r>
        <w:rPr>
          <w:i/>
        </w:rPr>
        <w:t>Normas y Prácticas de la ciencia, </w:t>
      </w:r>
      <w:r>
        <w:rPr/>
        <w:t>José Miguel Esteban y Sergio Martínez (coordinadores), Instituto de Investigaciones Filosóficas, Universidad Nacional Autónoma de México. México.</w:t>
      </w:r>
    </w:p>
    <w:p>
      <w:pPr>
        <w:pStyle w:val="BodyText"/>
      </w:pPr>
    </w:p>
    <w:p>
      <w:pPr>
        <w:spacing w:line="360" w:lineRule="auto" w:before="139"/>
        <w:ind w:left="102" w:right="121" w:firstLine="0"/>
        <w:jc w:val="both"/>
        <w:rPr>
          <w:sz w:val="24"/>
        </w:rPr>
      </w:pPr>
      <w:r>
        <w:rPr>
          <w:sz w:val="24"/>
        </w:rPr>
        <w:t>Moulines, Carlos Ulises y José A. Díez (2013), </w:t>
      </w:r>
      <w:r>
        <w:rPr>
          <w:i/>
          <w:sz w:val="24"/>
        </w:rPr>
        <w:t>Fundamentos de la Filosofía de la </w:t>
      </w:r>
      <w:r>
        <w:rPr>
          <w:i/>
          <w:sz w:val="24"/>
        </w:rPr>
        <w:t>Ciencia</w:t>
      </w:r>
      <w:r>
        <w:rPr>
          <w:sz w:val="24"/>
        </w:rPr>
        <w:t>, Ariel Filosofía, tercera edición, España.</w:t>
      </w:r>
    </w:p>
    <w:p>
      <w:pPr>
        <w:pStyle w:val="BodyText"/>
      </w:pPr>
    </w:p>
    <w:p>
      <w:pPr>
        <w:spacing w:line="360" w:lineRule="auto" w:before="142"/>
        <w:ind w:left="102" w:right="114" w:firstLine="0"/>
        <w:jc w:val="both"/>
        <w:rPr>
          <w:rFonts w:ascii="Times New Roman" w:hAnsi="Times New Roman"/>
          <w:sz w:val="24"/>
        </w:rPr>
      </w:pPr>
      <w:r>
        <w:rPr>
          <w:sz w:val="24"/>
        </w:rPr>
        <w:t>Najamanovich, Denise (2000), </w:t>
      </w:r>
      <w:r>
        <w:rPr>
          <w:i/>
          <w:sz w:val="24"/>
        </w:rPr>
        <w:t>Curso de Epistemología: Una mirada post- </w:t>
      </w:r>
      <w:r>
        <w:rPr>
          <w:i/>
          <w:sz w:val="24"/>
        </w:rPr>
        <w:t>positivista</w:t>
      </w:r>
      <w:r>
        <w:rPr>
          <w:sz w:val="24"/>
        </w:rPr>
        <w:t>, página en internet </w:t>
      </w:r>
      <w:hyperlink r:id="rId36">
        <w:r>
          <w:rPr>
            <w:rFonts w:ascii="Times New Roman" w:hAnsi="Times New Roman"/>
            <w:color w:val="0000FF"/>
            <w:sz w:val="24"/>
            <w:u w:val="single" w:color="0000FF"/>
          </w:rPr>
          <w:t>http://www.edupsi.com/index2.htm</w:t>
        </w:r>
      </w:hyperlink>
    </w:p>
    <w:p>
      <w:pPr>
        <w:pStyle w:val="BodyText"/>
        <w:rPr>
          <w:rFonts w:ascii="Times New Roman"/>
          <w:sz w:val="20"/>
        </w:rPr>
      </w:pPr>
    </w:p>
    <w:p>
      <w:pPr>
        <w:pStyle w:val="BodyText"/>
        <w:spacing w:line="360" w:lineRule="auto" w:before="191"/>
        <w:ind w:left="102" w:right="118"/>
        <w:jc w:val="both"/>
      </w:pPr>
      <w:r>
        <w:rPr/>
        <w:t>Navarrete Cortés. José y Jesús Banqueri Ozáez (2008), “Los sistemas de información científica: herramientas para medir el impacto de la investigación biomédica” en </w:t>
      </w:r>
      <w:r>
        <w:rPr>
          <w:i/>
        </w:rPr>
        <w:t>Medicina Clínica</w:t>
      </w:r>
      <w:r>
        <w:rPr/>
        <w:t>, número 171, suplemento 5, Barcelona.</w:t>
      </w:r>
    </w:p>
    <w:p>
      <w:pPr>
        <w:pStyle w:val="BodyText"/>
      </w:pPr>
    </w:p>
    <w:p>
      <w:pPr>
        <w:spacing w:line="362" w:lineRule="auto" w:before="142"/>
        <w:ind w:left="102" w:right="119" w:firstLine="0"/>
        <w:jc w:val="both"/>
        <w:rPr>
          <w:sz w:val="24"/>
        </w:rPr>
      </w:pPr>
      <w:r>
        <w:rPr>
          <w:sz w:val="24"/>
        </w:rPr>
        <w:t>Olivé, León y Ruy Pérez Tamayo (2011), </w:t>
      </w:r>
      <w:r>
        <w:rPr>
          <w:i/>
          <w:sz w:val="24"/>
        </w:rPr>
        <w:t>Temas de ética y epistemología de la </w:t>
      </w:r>
      <w:r>
        <w:rPr>
          <w:i/>
          <w:sz w:val="24"/>
        </w:rPr>
        <w:t>ciencia, diálogos entre un filósofo y un científico</w:t>
      </w:r>
      <w:r>
        <w:rPr>
          <w:sz w:val="24"/>
        </w:rPr>
        <w:t>, Fondo de Cultura Económica, México.</w:t>
      </w:r>
    </w:p>
    <w:p>
      <w:pPr>
        <w:pStyle w:val="BodyText"/>
        <w:spacing w:before="10"/>
        <w:rPr>
          <w:sz w:val="35"/>
        </w:rPr>
      </w:pPr>
    </w:p>
    <w:p>
      <w:pPr>
        <w:spacing w:line="362" w:lineRule="auto" w:before="0"/>
        <w:ind w:left="102" w:right="119" w:firstLine="0"/>
        <w:jc w:val="both"/>
        <w:rPr>
          <w:sz w:val="24"/>
        </w:rPr>
      </w:pPr>
      <w:r>
        <w:rPr>
          <w:sz w:val="24"/>
        </w:rPr>
        <w:t>Olivé, León (2000), </w:t>
      </w:r>
      <w:r>
        <w:rPr>
          <w:i/>
          <w:sz w:val="24"/>
        </w:rPr>
        <w:t>El bien, el mal y la razón</w:t>
      </w:r>
      <w:r>
        <w:rPr>
          <w:sz w:val="24"/>
        </w:rPr>
        <w:t>. Facetas de la ciencia y de la tecnología. México, Paidos/UNAM.</w:t>
      </w:r>
    </w:p>
    <w:p>
      <w:pPr>
        <w:pStyle w:val="BodyText"/>
      </w:pPr>
    </w:p>
    <w:p>
      <w:pPr>
        <w:pStyle w:val="BodyText"/>
        <w:spacing w:line="360" w:lineRule="auto" w:before="139"/>
        <w:ind w:left="102" w:right="112"/>
        <w:jc w:val="both"/>
      </w:pPr>
      <w:r>
        <w:rPr/>
        <w:t>Olvera Serrano, Margarita (1993), “La especialización del conocimiento” en </w:t>
      </w:r>
      <w:r>
        <w:rPr>
          <w:i/>
        </w:rPr>
        <w:t>Sociológica </w:t>
      </w:r>
      <w:r>
        <w:rPr/>
        <w:t>año 8 número 23, Las sociologías especializadas, septiembre- diciembre 1993, Universidad Autónoma Metropolitana, Unidad Azcapotzalco, México, pp 11-35.</w:t>
      </w:r>
    </w:p>
    <w:p>
      <w:pPr>
        <w:pStyle w:val="BodyText"/>
      </w:pPr>
    </w:p>
    <w:p>
      <w:pPr>
        <w:spacing w:line="360" w:lineRule="auto" w:before="142"/>
        <w:ind w:left="102" w:right="115" w:firstLine="0"/>
        <w:jc w:val="both"/>
        <w:rPr>
          <w:sz w:val="24"/>
        </w:rPr>
      </w:pPr>
      <w:r>
        <w:rPr>
          <w:sz w:val="24"/>
        </w:rPr>
        <w:t>Ordorika Sacristán, Francisco Javier Lozano Espinosa y Roberto Rodríguez Gómez, (2009), </w:t>
      </w:r>
      <w:r>
        <w:rPr>
          <w:i/>
          <w:sz w:val="24"/>
        </w:rPr>
        <w:t>Las revistas de Investigación de la UNAM: un panorama general</w:t>
      </w:r>
      <w:r>
        <w:rPr>
          <w:sz w:val="24"/>
        </w:rPr>
        <w:t>, Cuadernos de Trabajo de la Dirección General de Evaluación Institucional,  Número 4, mayo. DGEI-UNAM,</w:t>
      </w:r>
      <w:r>
        <w:rPr>
          <w:spacing w:val="-13"/>
          <w:sz w:val="24"/>
        </w:rPr>
        <w:t> </w:t>
      </w:r>
      <w:r>
        <w:rPr>
          <w:sz w:val="24"/>
        </w:rPr>
        <w:t>México.</w:t>
      </w:r>
    </w:p>
    <w:p>
      <w:pPr>
        <w:spacing w:after="0" w:line="360" w:lineRule="auto"/>
        <w:jc w:val="both"/>
        <w:rPr>
          <w:sz w:val="24"/>
        </w:rPr>
        <w:sectPr>
          <w:pgSz w:w="12240" w:h="15840"/>
          <w:pgMar w:header="0" w:footer="629" w:top="1360" w:bottom="880" w:left="1600" w:right="1580"/>
        </w:sectPr>
      </w:pPr>
    </w:p>
    <w:p>
      <w:pPr>
        <w:pStyle w:val="BodyText"/>
        <w:spacing w:before="7"/>
        <w:rPr>
          <w:sz w:val="22"/>
        </w:rPr>
      </w:pPr>
    </w:p>
    <w:p>
      <w:pPr>
        <w:spacing w:line="360" w:lineRule="auto" w:before="69"/>
        <w:ind w:left="102" w:right="119" w:firstLine="0"/>
        <w:jc w:val="both"/>
        <w:rPr>
          <w:sz w:val="24"/>
        </w:rPr>
      </w:pPr>
      <w:r>
        <w:rPr>
          <w:sz w:val="24"/>
        </w:rPr>
        <w:t>Pedroza, René (2003) “Conocimiento científico en las disciplinas: institucionalización y proceso metodológico” en </w:t>
      </w:r>
      <w:r>
        <w:rPr>
          <w:i/>
          <w:sz w:val="24"/>
        </w:rPr>
        <w:t>La complejidad en las ciencias: </w:t>
      </w:r>
      <w:r>
        <w:rPr>
          <w:i/>
          <w:sz w:val="24"/>
        </w:rPr>
        <w:t>método, enseñanza e institucionalización</w:t>
      </w:r>
      <w:r>
        <w:rPr>
          <w:sz w:val="24"/>
        </w:rPr>
        <w:t>, (cord.) Carlos Massé y René Pedroza,  El Colegio Mexiquense A.C, Toluca, México, pp.</w:t>
      </w:r>
      <w:r>
        <w:rPr>
          <w:spacing w:val="-18"/>
          <w:sz w:val="24"/>
        </w:rPr>
        <w:t> </w:t>
      </w:r>
      <w:r>
        <w:rPr>
          <w:sz w:val="24"/>
        </w:rPr>
        <w:t>111-135.</w:t>
      </w:r>
    </w:p>
    <w:p>
      <w:pPr>
        <w:pStyle w:val="BodyText"/>
        <w:spacing w:line="360" w:lineRule="auto" w:before="5"/>
        <w:ind w:left="102" w:right="117"/>
        <w:jc w:val="both"/>
      </w:pPr>
      <w:r>
        <w:rPr/>
        <w:t>Pérez Sedeño, Eulalia (2000), “Institucionalización de la ciencia, valores epistémicos y contextuales: un caso ejemplar” en </w:t>
      </w:r>
      <w:r>
        <w:rPr>
          <w:i/>
        </w:rPr>
        <w:t>Cadernos Pagu </w:t>
      </w:r>
      <w:r>
        <w:rPr/>
        <w:t>número 15, Universidade Estadual de Campinas, Brasil, pp.77-102.</w:t>
      </w:r>
    </w:p>
    <w:p>
      <w:pPr>
        <w:pStyle w:val="BodyText"/>
      </w:pPr>
    </w:p>
    <w:p>
      <w:pPr>
        <w:spacing w:line="360" w:lineRule="auto" w:before="140"/>
        <w:ind w:left="102" w:right="117" w:firstLine="0"/>
        <w:jc w:val="both"/>
        <w:rPr>
          <w:sz w:val="24"/>
        </w:rPr>
      </w:pPr>
      <w:r>
        <w:rPr>
          <w:sz w:val="24"/>
        </w:rPr>
        <w:t>Richards, Stewart (1987), </w:t>
      </w:r>
      <w:r>
        <w:rPr>
          <w:i/>
          <w:sz w:val="24"/>
        </w:rPr>
        <w:t>Filosofía y sociología de la ciencia</w:t>
      </w:r>
      <w:r>
        <w:rPr>
          <w:sz w:val="24"/>
        </w:rPr>
        <w:t>. México, Siglo veintiuno editores.</w:t>
      </w:r>
    </w:p>
    <w:p>
      <w:pPr>
        <w:pStyle w:val="BodyText"/>
      </w:pPr>
    </w:p>
    <w:p>
      <w:pPr>
        <w:spacing w:line="362" w:lineRule="auto" w:before="139"/>
        <w:ind w:left="102" w:right="119" w:firstLine="0"/>
        <w:jc w:val="both"/>
        <w:rPr>
          <w:sz w:val="24"/>
        </w:rPr>
      </w:pPr>
      <w:r>
        <w:rPr>
          <w:sz w:val="24"/>
        </w:rPr>
        <w:t>Ritzer, George (1993), </w:t>
      </w:r>
      <w:r>
        <w:rPr>
          <w:i/>
          <w:sz w:val="24"/>
        </w:rPr>
        <w:t>Teoría sociológica contemporánea</w:t>
      </w:r>
      <w:r>
        <w:rPr>
          <w:sz w:val="24"/>
        </w:rPr>
        <w:t>, Mc Graw Hill, Interamericana de España, Madrid.</w:t>
      </w:r>
    </w:p>
    <w:p>
      <w:pPr>
        <w:pStyle w:val="BodyText"/>
      </w:pPr>
    </w:p>
    <w:p>
      <w:pPr>
        <w:pStyle w:val="BodyText"/>
        <w:spacing w:line="360" w:lineRule="auto" w:before="139"/>
        <w:ind w:left="102" w:right="121"/>
        <w:jc w:val="both"/>
      </w:pPr>
      <w:r>
        <w:rPr/>
        <w:t>Rodríguez Alfredo y Vicente Espinoza, Hilda Herzer (1995), Argentina, Bolivia, Chile, Ecuador, Perú, Uruguay: Urban Research in the 1990s, Centre for Urban&amp; Community Studies, Canadá.</w:t>
      </w:r>
    </w:p>
    <w:p>
      <w:pPr>
        <w:pStyle w:val="BodyText"/>
      </w:pPr>
    </w:p>
    <w:p>
      <w:pPr>
        <w:spacing w:line="360" w:lineRule="auto" w:before="139"/>
        <w:ind w:left="102" w:right="115" w:firstLine="0"/>
        <w:jc w:val="both"/>
        <w:rPr>
          <w:sz w:val="24"/>
        </w:rPr>
      </w:pPr>
      <w:r>
        <w:rPr>
          <w:sz w:val="24"/>
        </w:rPr>
        <w:t>Ruiz y Ayala (1998) “El método en las ciencias”, en </w:t>
      </w:r>
      <w:r>
        <w:rPr>
          <w:i/>
          <w:sz w:val="24"/>
        </w:rPr>
        <w:t>El método en las ciencias</w:t>
      </w:r>
      <w:r>
        <w:rPr>
          <w:sz w:val="24"/>
        </w:rPr>
        <w:t>. </w:t>
      </w:r>
      <w:r>
        <w:rPr>
          <w:i/>
          <w:sz w:val="24"/>
        </w:rPr>
        <w:t>Epistemología y darwinismo</w:t>
      </w:r>
      <w:r>
        <w:rPr>
          <w:sz w:val="24"/>
        </w:rPr>
        <w:t>, Fondo de Cultura Económica, México, pp. 11-27.</w:t>
      </w:r>
    </w:p>
    <w:p>
      <w:pPr>
        <w:pStyle w:val="BodyText"/>
      </w:pPr>
    </w:p>
    <w:p>
      <w:pPr>
        <w:pStyle w:val="BodyText"/>
        <w:spacing w:before="144"/>
        <w:ind w:left="102"/>
        <w:jc w:val="both"/>
      </w:pPr>
      <w:r>
        <w:rPr/>
        <w:t>Saavedra Fernández, Óscar; Sotolongo Aguilar, Gilberto; Guzmán Sánchez, María</w:t>
      </w:r>
    </w:p>
    <w:p>
      <w:pPr>
        <w:pStyle w:val="BodyText"/>
        <w:spacing w:line="360" w:lineRule="auto" w:before="140"/>
        <w:ind w:left="102" w:right="125"/>
        <w:jc w:val="both"/>
      </w:pPr>
      <w:r>
        <w:rPr/>
        <w:t>V. (2002), Medición de la producción científica en América Latina y el Caribe en el campo agrícola y afines: un estudio bibliométrico en Revista Española.</w:t>
      </w:r>
    </w:p>
    <w:p>
      <w:pPr>
        <w:pStyle w:val="BodyText"/>
        <w:spacing w:before="10"/>
      </w:pPr>
    </w:p>
    <w:p>
      <w:pPr>
        <w:pStyle w:val="BodyText"/>
        <w:spacing w:line="357" w:lineRule="auto"/>
        <w:ind w:left="102" w:right="117"/>
        <w:jc w:val="both"/>
      </w:pPr>
      <w:r>
        <w:rPr/>
        <w:t>Salazar Estrada, José Guadalupe y Julio Cristóbal Guerrero Pupo (2009), “Clima y Cultura organizacional: dos componentes esenciales en la productividad laboral” en </w:t>
      </w:r>
      <w:r>
        <w:rPr>
          <w:i/>
        </w:rPr>
        <w:t>Revista AMICED</w:t>
      </w:r>
      <w:r>
        <w:rPr/>
        <w:t>, volumen 20, número 4, octubre, Habana,</w:t>
      </w:r>
      <w:r>
        <w:rPr>
          <w:spacing w:val="-24"/>
        </w:rPr>
        <w:t> </w:t>
      </w:r>
      <w:r>
        <w:rPr/>
        <w:t>Cuba.</w:t>
      </w:r>
    </w:p>
    <w:p>
      <w:pPr>
        <w:pStyle w:val="BodyText"/>
        <w:spacing w:before="10"/>
      </w:pPr>
    </w:p>
    <w:p>
      <w:pPr>
        <w:spacing w:line="362" w:lineRule="auto" w:before="0"/>
        <w:ind w:left="102" w:right="119" w:firstLine="0"/>
        <w:jc w:val="both"/>
        <w:rPr>
          <w:sz w:val="24"/>
        </w:rPr>
      </w:pPr>
      <w:r>
        <w:rPr>
          <w:sz w:val="24"/>
        </w:rPr>
        <w:t>Sánchez de Madagaria, Inés (1999), </w:t>
      </w:r>
      <w:r>
        <w:rPr>
          <w:i/>
          <w:sz w:val="24"/>
        </w:rPr>
        <w:t>Introducción al urbanismo. Conceptos y </w:t>
      </w:r>
      <w:r>
        <w:rPr>
          <w:i/>
          <w:sz w:val="24"/>
        </w:rPr>
        <w:t>métodos de la planificación urbana</w:t>
      </w:r>
      <w:r>
        <w:rPr>
          <w:sz w:val="24"/>
        </w:rPr>
        <w:t>, Alianza editorial, Madrid.</w:t>
      </w:r>
    </w:p>
    <w:p>
      <w:pPr>
        <w:spacing w:after="0" w:line="362" w:lineRule="auto"/>
        <w:jc w:val="both"/>
        <w:rPr>
          <w:sz w:val="24"/>
        </w:rPr>
        <w:sectPr>
          <w:pgSz w:w="12240" w:h="15840"/>
          <w:pgMar w:header="0" w:footer="629" w:top="1500" w:bottom="880" w:left="1600" w:right="1580"/>
        </w:sectPr>
      </w:pPr>
    </w:p>
    <w:p>
      <w:pPr>
        <w:pStyle w:val="BodyText"/>
        <w:spacing w:before="4"/>
        <w:rPr>
          <w:sz w:val="22"/>
        </w:rPr>
      </w:pPr>
    </w:p>
    <w:p>
      <w:pPr>
        <w:pStyle w:val="BodyText"/>
        <w:spacing w:line="360" w:lineRule="auto" w:before="70"/>
        <w:ind w:left="102" w:right="120"/>
        <w:jc w:val="both"/>
      </w:pPr>
      <w:r>
        <w:rPr/>
        <w:t>Saskia, Sassen (1999), </w:t>
      </w:r>
      <w:r>
        <w:rPr>
          <w:i/>
        </w:rPr>
        <w:t>La Ciudad Global</w:t>
      </w:r>
      <w:r>
        <w:rPr/>
        <w:t>, Universidad de Buenos Aires,  Argentina.</w:t>
      </w:r>
    </w:p>
    <w:p>
      <w:pPr>
        <w:pStyle w:val="BodyText"/>
      </w:pPr>
    </w:p>
    <w:p>
      <w:pPr>
        <w:spacing w:line="360" w:lineRule="auto" w:before="139"/>
        <w:ind w:left="102" w:right="118" w:firstLine="0"/>
        <w:jc w:val="both"/>
        <w:rPr>
          <w:sz w:val="24"/>
        </w:rPr>
      </w:pPr>
      <w:r>
        <w:rPr>
          <w:sz w:val="24"/>
        </w:rPr>
        <w:t>Soja, Edward (2008), </w:t>
      </w:r>
      <w:r>
        <w:rPr>
          <w:i/>
          <w:sz w:val="24"/>
        </w:rPr>
        <w:t>Postmetrópolis. Estudios críticos sobre las ciudades y las </w:t>
      </w:r>
      <w:r>
        <w:rPr>
          <w:i/>
          <w:sz w:val="24"/>
        </w:rPr>
        <w:t>regiones, </w:t>
      </w:r>
      <w:r>
        <w:rPr>
          <w:sz w:val="24"/>
        </w:rPr>
        <w:t>Blackwell Publishing.</w:t>
      </w:r>
    </w:p>
    <w:p>
      <w:pPr>
        <w:pStyle w:val="BodyText"/>
      </w:pPr>
    </w:p>
    <w:p>
      <w:pPr>
        <w:spacing w:line="362" w:lineRule="auto" w:before="142"/>
        <w:ind w:left="102" w:right="117" w:firstLine="0"/>
        <w:jc w:val="both"/>
        <w:rPr>
          <w:sz w:val="24"/>
        </w:rPr>
      </w:pPr>
      <w:r>
        <w:rPr>
          <w:sz w:val="24"/>
        </w:rPr>
        <w:t>Sokal, Alan y Jean Bricmont (1999), </w:t>
      </w:r>
      <w:r>
        <w:rPr>
          <w:i/>
          <w:sz w:val="24"/>
        </w:rPr>
        <w:t>Imposturas Intelectuales</w:t>
      </w:r>
      <w:r>
        <w:rPr>
          <w:sz w:val="24"/>
        </w:rPr>
        <w:t>, Ediciones Paidos Ibérica, Barcerlona.</w:t>
      </w:r>
    </w:p>
    <w:p>
      <w:pPr>
        <w:pStyle w:val="BodyText"/>
        <w:spacing w:before="10"/>
        <w:rPr>
          <w:sz w:val="35"/>
        </w:rPr>
      </w:pPr>
    </w:p>
    <w:p>
      <w:pPr>
        <w:spacing w:before="0"/>
        <w:ind w:left="102" w:right="0" w:firstLine="0"/>
        <w:jc w:val="both"/>
        <w:rPr>
          <w:i/>
          <w:sz w:val="24"/>
        </w:rPr>
      </w:pPr>
      <w:r>
        <w:rPr>
          <w:sz w:val="24"/>
        </w:rPr>
        <w:t>Spinak,  Ernesto  (1998),  </w:t>
      </w:r>
      <w:r>
        <w:rPr>
          <w:i/>
          <w:sz w:val="24"/>
        </w:rPr>
        <w:t>Indicadores  cienciométricos  </w:t>
      </w:r>
      <w:r>
        <w:rPr>
          <w:sz w:val="24"/>
        </w:rPr>
        <w:t>en  </w:t>
      </w:r>
      <w:r>
        <w:rPr>
          <w:i/>
          <w:sz w:val="24"/>
        </w:rPr>
        <w:t>Ciencia      Informática,</w:t>
      </w:r>
    </w:p>
    <w:p>
      <w:pPr>
        <w:pStyle w:val="BodyText"/>
        <w:spacing w:before="141"/>
        <w:ind w:left="102"/>
        <w:jc w:val="both"/>
      </w:pPr>
      <w:r>
        <w:rPr/>
        <w:t>volumen 27, número 2, mayo/agosto, pp. 141-148, Brasil.</w:t>
      </w:r>
    </w:p>
    <w:p>
      <w:pPr>
        <w:pStyle w:val="BodyText"/>
      </w:pPr>
    </w:p>
    <w:p>
      <w:pPr>
        <w:pStyle w:val="BodyText"/>
      </w:pPr>
    </w:p>
    <w:p>
      <w:pPr>
        <w:pStyle w:val="BodyText"/>
        <w:spacing w:line="357" w:lineRule="auto"/>
        <w:ind w:left="102" w:right="123"/>
        <w:jc w:val="both"/>
      </w:pPr>
      <w:r>
        <w:rPr/>
        <w:t>Suárez Díaz, Edna y Sergio F. Martínez (2008), “Homogeneidad y Unidad en la Ciencia” en </w:t>
      </w:r>
      <w:r>
        <w:rPr>
          <w:i/>
        </w:rPr>
        <w:t>Ciencia y Tecnología, </w:t>
      </w:r>
      <w:r>
        <w:rPr/>
        <w:t>Limusa, UNAM.</w:t>
      </w:r>
    </w:p>
    <w:p>
      <w:pPr>
        <w:pStyle w:val="BodyText"/>
      </w:pPr>
    </w:p>
    <w:p>
      <w:pPr>
        <w:pStyle w:val="BodyText"/>
        <w:spacing w:line="360" w:lineRule="auto" w:before="147"/>
        <w:ind w:left="102" w:right="125"/>
        <w:jc w:val="both"/>
      </w:pPr>
      <w:r>
        <w:rPr/>
        <w:t>Suárez, Mauricio (2003), “Hacking Kuhn” en Revista de Filosofía, volumen 28, número 2, Universidad Complutense de Madrid, España.</w:t>
      </w:r>
    </w:p>
    <w:p>
      <w:pPr>
        <w:pStyle w:val="BodyText"/>
      </w:pPr>
    </w:p>
    <w:p>
      <w:pPr>
        <w:pStyle w:val="BodyText"/>
        <w:spacing w:line="360" w:lineRule="auto" w:before="142"/>
        <w:ind w:left="102" w:right="118"/>
        <w:jc w:val="both"/>
      </w:pPr>
      <w:r>
        <w:rPr/>
        <w:t>Schteingart, Martha (2000), “La Investigación urbana en América Latina” en </w:t>
      </w:r>
      <w:r>
        <w:rPr>
          <w:i/>
        </w:rPr>
        <w:t>Papeles de Población</w:t>
      </w:r>
      <w:r>
        <w:rPr/>
        <w:t>, volumen 6, número 23, enero-marzo,  Universidad Autónoma del Estado de México, México.</w:t>
      </w:r>
    </w:p>
    <w:p>
      <w:pPr>
        <w:pStyle w:val="BodyText"/>
      </w:pPr>
    </w:p>
    <w:p>
      <w:pPr>
        <w:pStyle w:val="BodyText"/>
        <w:spacing w:before="142"/>
        <w:ind w:left="102"/>
        <w:jc w:val="both"/>
      </w:pPr>
      <w:r>
        <w:rPr/>
        <w:t>Thomson Corporation (2005), Journal Citanon reports on the Web 4.0.</w:t>
      </w:r>
    </w:p>
    <w:p>
      <w:pPr>
        <w:pStyle w:val="BodyText"/>
      </w:pPr>
    </w:p>
    <w:p>
      <w:pPr>
        <w:pStyle w:val="BodyText"/>
      </w:pPr>
    </w:p>
    <w:p>
      <w:pPr>
        <w:pStyle w:val="BodyText"/>
        <w:spacing w:line="360" w:lineRule="auto"/>
        <w:ind w:left="102" w:right="118"/>
        <w:jc w:val="both"/>
      </w:pPr>
      <w:r>
        <w:rPr/>
        <w:t>Vattimo, Gianni (1994), En torno a la posrnodernidad —reimpresión- Anthropos; Santafé de Bogotá.</w:t>
      </w:r>
    </w:p>
    <w:p>
      <w:pPr>
        <w:pStyle w:val="BodyText"/>
      </w:pPr>
    </w:p>
    <w:p>
      <w:pPr>
        <w:spacing w:line="357" w:lineRule="auto" w:before="142"/>
        <w:ind w:left="102" w:right="121" w:firstLine="0"/>
        <w:jc w:val="both"/>
        <w:rPr>
          <w:i/>
          <w:sz w:val="24"/>
        </w:rPr>
      </w:pPr>
      <w:r>
        <w:rPr>
          <w:sz w:val="24"/>
        </w:rPr>
        <w:t>Veiga, Danilo (2000) “Notas para una agenda de investigación sobre procesos emergentes  en  la  sociedad  urbana”  en  </w:t>
      </w:r>
      <w:r>
        <w:rPr>
          <w:i/>
          <w:sz w:val="24"/>
        </w:rPr>
        <w:t>Repensando  la  experiencia  urbana de</w:t>
      </w:r>
    </w:p>
    <w:p>
      <w:pPr>
        <w:spacing w:after="0" w:line="357" w:lineRule="auto"/>
        <w:jc w:val="both"/>
        <w:rPr>
          <w:sz w:val="24"/>
        </w:rPr>
        <w:sectPr>
          <w:pgSz w:w="12240" w:h="15840"/>
          <w:pgMar w:header="0" w:footer="629" w:top="1500" w:bottom="880" w:left="1600" w:right="1580"/>
        </w:sectPr>
      </w:pPr>
    </w:p>
    <w:p>
      <w:pPr>
        <w:spacing w:line="362" w:lineRule="auto" w:before="52"/>
        <w:ind w:left="102" w:right="119" w:firstLine="0"/>
        <w:jc w:val="both"/>
        <w:rPr>
          <w:sz w:val="24"/>
        </w:rPr>
      </w:pPr>
      <w:r>
        <w:rPr>
          <w:i/>
          <w:sz w:val="24"/>
        </w:rPr>
        <w:t>América Latina: cuestiones, conceptos y valores</w:t>
      </w:r>
      <w:r>
        <w:rPr>
          <w:sz w:val="24"/>
        </w:rPr>
        <w:t>, Ana Clara Torres Ribeiro (compiladora), CLACSO, Argentina.</w:t>
      </w:r>
    </w:p>
    <w:p>
      <w:pPr>
        <w:pStyle w:val="BodyText"/>
      </w:pPr>
    </w:p>
    <w:p>
      <w:pPr>
        <w:pStyle w:val="BodyText"/>
        <w:spacing w:line="360" w:lineRule="auto" w:before="139"/>
        <w:ind w:left="102" w:right="117"/>
        <w:jc w:val="both"/>
      </w:pPr>
      <w:r>
        <w:rPr/>
        <w:t>Villalobos Galvis, Fredy y Raquel Puertas Campanario (2007), “Impacto e internacionalidad de tres revistas iberoamericanas en revistas de psicología de España” en </w:t>
      </w:r>
      <w:r>
        <w:rPr>
          <w:i/>
        </w:rPr>
        <w:t>Revista Latinoamericana de Psicología</w:t>
      </w:r>
      <w:r>
        <w:rPr/>
        <w:t>, volumen 39, número 3.</w:t>
      </w:r>
    </w:p>
    <w:p>
      <w:pPr>
        <w:pStyle w:val="BodyText"/>
      </w:pPr>
    </w:p>
    <w:p>
      <w:pPr>
        <w:spacing w:before="142"/>
        <w:ind w:left="102" w:right="0" w:firstLine="0"/>
        <w:jc w:val="both"/>
        <w:rPr>
          <w:sz w:val="24"/>
        </w:rPr>
      </w:pPr>
      <w:r>
        <w:rPr>
          <w:sz w:val="24"/>
        </w:rPr>
        <w:t>Villoro, Luis (1998), </w:t>
      </w:r>
      <w:r>
        <w:rPr>
          <w:i/>
          <w:sz w:val="24"/>
        </w:rPr>
        <w:t>Creer, saber, conocer</w:t>
      </w:r>
      <w:r>
        <w:rPr>
          <w:sz w:val="24"/>
        </w:rPr>
        <w:t>, Siglo XXI Editores, México.</w:t>
      </w:r>
    </w:p>
    <w:p>
      <w:pPr>
        <w:pStyle w:val="BodyText"/>
      </w:pPr>
    </w:p>
    <w:p>
      <w:pPr>
        <w:pStyle w:val="BodyText"/>
      </w:pPr>
    </w:p>
    <w:p>
      <w:pPr>
        <w:spacing w:line="360" w:lineRule="auto" w:before="0"/>
        <w:ind w:left="102" w:right="116" w:firstLine="0"/>
        <w:jc w:val="both"/>
        <w:rPr>
          <w:sz w:val="24"/>
        </w:rPr>
      </w:pPr>
      <w:r>
        <w:rPr>
          <w:sz w:val="24"/>
        </w:rPr>
        <w:t>Wallerstein, Immanuel (2001), </w:t>
      </w:r>
      <w:r>
        <w:rPr>
          <w:i/>
          <w:sz w:val="24"/>
        </w:rPr>
        <w:t>Conocer el mundo, saber el mundo: el fin de lo </w:t>
      </w:r>
      <w:r>
        <w:rPr>
          <w:i/>
          <w:sz w:val="24"/>
        </w:rPr>
        <w:t>aprendido, una ciencia social para el siglo XXI</w:t>
      </w:r>
      <w:r>
        <w:rPr>
          <w:sz w:val="24"/>
        </w:rPr>
        <w:t>, Siglo veintiuno editores — Centro de Investigaciones Interdisciplinarias en Ciencias y Humanidades (UNAM), tercera edición en español, México.</w:t>
      </w:r>
    </w:p>
    <w:p>
      <w:pPr>
        <w:pStyle w:val="BodyText"/>
      </w:pPr>
    </w:p>
    <w:p>
      <w:pPr>
        <w:spacing w:before="139"/>
        <w:ind w:left="102" w:right="0" w:firstLine="0"/>
        <w:jc w:val="both"/>
        <w:rPr>
          <w:sz w:val="24"/>
        </w:rPr>
      </w:pPr>
      <w:r>
        <w:rPr>
          <w:sz w:val="24"/>
        </w:rPr>
        <w:t>Wallerstein, Immanuel (1998a), </w:t>
      </w:r>
      <w:r>
        <w:rPr>
          <w:i/>
          <w:sz w:val="24"/>
        </w:rPr>
        <w:t>Abrir las ciencias sociales</w:t>
      </w:r>
      <w:r>
        <w:rPr>
          <w:sz w:val="24"/>
        </w:rPr>
        <w:t>. Siglo veintiuno editores</w:t>
      </w:r>
    </w:p>
    <w:p>
      <w:pPr>
        <w:pStyle w:val="BodyText"/>
        <w:spacing w:line="360" w:lineRule="auto" w:before="141"/>
        <w:ind w:left="102" w:right="125"/>
        <w:jc w:val="both"/>
      </w:pPr>
      <w:r>
        <w:rPr/>
        <w:t>— Centro de Investigaciones Interdisciplinarias en Ciencias y Humani1adcs (UNAM), México.</w:t>
      </w:r>
    </w:p>
    <w:p>
      <w:pPr>
        <w:pStyle w:val="BodyText"/>
      </w:pPr>
    </w:p>
    <w:p>
      <w:pPr>
        <w:spacing w:line="360" w:lineRule="auto" w:before="139"/>
        <w:ind w:left="102" w:right="120" w:firstLine="0"/>
        <w:jc w:val="both"/>
        <w:rPr>
          <w:sz w:val="24"/>
        </w:rPr>
      </w:pPr>
      <w:r>
        <w:rPr>
          <w:sz w:val="24"/>
        </w:rPr>
        <w:t>Wallerstein, lmmanuel (1998b), </w:t>
      </w:r>
      <w:r>
        <w:rPr>
          <w:i/>
          <w:sz w:val="24"/>
        </w:rPr>
        <w:t>Impensar las Ciencias Sociales: Límites de los </w:t>
      </w:r>
      <w:r>
        <w:rPr>
          <w:i/>
          <w:sz w:val="24"/>
        </w:rPr>
        <w:t>paradigmas decimononicos</w:t>
      </w:r>
      <w:r>
        <w:rPr>
          <w:sz w:val="24"/>
        </w:rPr>
        <w:t>, Siglo veintiuno editores. Centro de Investigaciones Interdisciplinarias en Ciencias y Humanidades (UNAM) segunda edición en español, México.</w:t>
      </w:r>
    </w:p>
    <w:p>
      <w:pPr>
        <w:pStyle w:val="BodyText"/>
      </w:pPr>
    </w:p>
    <w:p>
      <w:pPr>
        <w:spacing w:line="360" w:lineRule="auto" w:before="140"/>
        <w:ind w:left="102" w:right="116" w:firstLine="0"/>
        <w:jc w:val="both"/>
        <w:rPr>
          <w:sz w:val="24"/>
        </w:rPr>
      </w:pPr>
      <w:r>
        <w:rPr>
          <w:sz w:val="24"/>
        </w:rPr>
        <w:t>Zemelman, Hugo (1987) “Razones para un debate epistemológico” en </w:t>
      </w:r>
      <w:r>
        <w:rPr>
          <w:i/>
          <w:sz w:val="24"/>
        </w:rPr>
        <w:t>Revista </w:t>
      </w:r>
      <w:r>
        <w:rPr>
          <w:i/>
          <w:sz w:val="24"/>
        </w:rPr>
        <w:t>Mexicana de Sociología </w:t>
      </w:r>
      <w:r>
        <w:rPr>
          <w:sz w:val="24"/>
        </w:rPr>
        <w:t>Núm. 1. IISCH-UNAM, México pp 1-10.</w:t>
      </w:r>
    </w:p>
    <w:p>
      <w:pPr>
        <w:spacing w:after="0" w:line="360" w:lineRule="auto"/>
        <w:jc w:val="both"/>
        <w:rPr>
          <w:sz w:val="24"/>
        </w:rPr>
        <w:sectPr>
          <w:pgSz w:w="12240" w:h="15840"/>
          <w:pgMar w:header="0" w:footer="629" w:top="1360" w:bottom="880" w:left="1600" w:right="1580"/>
        </w:sectPr>
      </w:pPr>
    </w:p>
    <w:p>
      <w:pPr>
        <w:pStyle w:val="Heading1"/>
        <w:spacing w:before="54"/>
        <w:ind w:left="122" w:right="-15"/>
        <w:jc w:val="left"/>
      </w:pPr>
      <w:r>
        <w:rPr>
          <w:spacing w:val="-1"/>
        </w:rPr>
        <w:t>Anexos</w:t>
      </w:r>
    </w:p>
    <w:p>
      <w:pPr>
        <w:pStyle w:val="BodyText"/>
        <w:rPr>
          <w:b/>
        </w:rPr>
      </w:pPr>
      <w:r>
        <w:rPr/>
        <w:br w:type="column"/>
      </w:r>
      <w:r>
        <w:rPr>
          <w:b/>
        </w:rPr>
      </w:r>
    </w:p>
    <w:p>
      <w:pPr>
        <w:spacing w:line="360" w:lineRule="auto" w:before="193"/>
        <w:ind w:left="496" w:right="3313" w:hanging="375"/>
        <w:jc w:val="left"/>
        <w:rPr>
          <w:b/>
          <w:sz w:val="24"/>
        </w:rPr>
      </w:pPr>
      <w:r>
        <w:rPr>
          <w:b/>
          <w:sz w:val="24"/>
        </w:rPr>
        <w:t>Artículos más citados Eure 2001-2013</w:t>
      </w:r>
    </w:p>
    <w:p>
      <w:pPr>
        <w:spacing w:after="0" w:line="360" w:lineRule="auto"/>
        <w:jc w:val="left"/>
        <w:rPr>
          <w:sz w:val="24"/>
        </w:rPr>
        <w:sectPr>
          <w:pgSz w:w="12240" w:h="15840"/>
          <w:pgMar w:header="0" w:footer="629" w:top="1360" w:bottom="880" w:left="1580" w:right="1540"/>
          <w:cols w:num="2" w:equalWidth="0">
            <w:col w:w="988" w:space="2183"/>
            <w:col w:w="5949"/>
          </w:cols>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6"/>
        <w:gridCol w:w="3745"/>
        <w:gridCol w:w="831"/>
        <w:gridCol w:w="2564"/>
        <w:gridCol w:w="1106"/>
      </w:tblGrid>
      <w:tr>
        <w:trPr>
          <w:trHeight w:val="958" w:hRule="exact"/>
        </w:trPr>
        <w:tc>
          <w:tcPr>
            <w:tcW w:w="646" w:type="dxa"/>
            <w:shd w:val="clear" w:color="auto" w:fill="538DD3"/>
          </w:tcPr>
          <w:p>
            <w:pPr/>
          </w:p>
        </w:tc>
        <w:tc>
          <w:tcPr>
            <w:tcW w:w="3745" w:type="dxa"/>
            <w:shd w:val="clear" w:color="auto" w:fill="538DD3"/>
          </w:tcPr>
          <w:p>
            <w:pPr>
              <w:pStyle w:val="TableParagraph"/>
              <w:rPr>
                <w:b/>
                <w:sz w:val="20"/>
              </w:rPr>
            </w:pPr>
          </w:p>
          <w:p>
            <w:pPr>
              <w:pStyle w:val="TableParagraph"/>
              <w:spacing w:before="122"/>
              <w:ind w:left="1467" w:right="1471"/>
              <w:jc w:val="center"/>
              <w:rPr>
                <w:b/>
                <w:sz w:val="20"/>
              </w:rPr>
            </w:pPr>
            <w:r>
              <w:rPr>
                <w:b/>
                <w:color w:val="FFFFFF"/>
                <w:sz w:val="20"/>
              </w:rPr>
              <w:t>Artículo</w:t>
            </w:r>
          </w:p>
        </w:tc>
        <w:tc>
          <w:tcPr>
            <w:tcW w:w="831" w:type="dxa"/>
            <w:shd w:val="clear" w:color="auto" w:fill="538DD3"/>
          </w:tcPr>
          <w:p>
            <w:pPr>
              <w:pStyle w:val="TableParagraph"/>
              <w:spacing w:before="9"/>
              <w:rPr>
                <w:b/>
                <w:sz w:val="20"/>
              </w:rPr>
            </w:pPr>
          </w:p>
          <w:p>
            <w:pPr>
              <w:pStyle w:val="TableParagraph"/>
              <w:ind w:left="182" w:right="153" w:hanging="12"/>
              <w:rPr>
                <w:b/>
                <w:sz w:val="20"/>
              </w:rPr>
            </w:pPr>
            <w:r>
              <w:rPr>
                <w:b/>
                <w:color w:val="FFFFFF"/>
                <w:sz w:val="20"/>
              </w:rPr>
              <w:t>Total citas</w:t>
            </w:r>
          </w:p>
        </w:tc>
        <w:tc>
          <w:tcPr>
            <w:tcW w:w="2564" w:type="dxa"/>
            <w:shd w:val="clear" w:color="auto" w:fill="538DD3"/>
          </w:tcPr>
          <w:p>
            <w:pPr>
              <w:pStyle w:val="TableParagraph"/>
              <w:rPr>
                <w:b/>
                <w:sz w:val="20"/>
              </w:rPr>
            </w:pPr>
          </w:p>
          <w:p>
            <w:pPr>
              <w:pStyle w:val="TableParagraph"/>
              <w:spacing w:before="122"/>
              <w:ind w:left="55" w:right="59"/>
              <w:jc w:val="center"/>
              <w:rPr>
                <w:b/>
                <w:sz w:val="20"/>
              </w:rPr>
            </w:pPr>
            <w:r>
              <w:rPr>
                <w:b/>
                <w:color w:val="FFFFFF"/>
                <w:sz w:val="20"/>
              </w:rPr>
              <w:t>Autor primario</w:t>
            </w:r>
          </w:p>
        </w:tc>
        <w:tc>
          <w:tcPr>
            <w:tcW w:w="1106" w:type="dxa"/>
            <w:shd w:val="clear" w:color="auto" w:fill="538DD3"/>
          </w:tcPr>
          <w:p>
            <w:pPr>
              <w:pStyle w:val="TableParagraph"/>
              <w:spacing w:before="124"/>
              <w:ind w:left="191" w:right="193" w:firstLine="3"/>
              <w:jc w:val="center"/>
              <w:rPr>
                <w:b/>
                <w:sz w:val="20"/>
              </w:rPr>
            </w:pPr>
            <w:r>
              <w:rPr>
                <w:b/>
                <w:color w:val="FFFFFF"/>
                <w:sz w:val="20"/>
              </w:rPr>
              <w:t>% del total de citas</w:t>
            </w:r>
          </w:p>
        </w:tc>
      </w:tr>
      <w:tr>
        <w:trPr>
          <w:trHeight w:val="929" w:hRule="exact"/>
        </w:trPr>
        <w:tc>
          <w:tcPr>
            <w:tcW w:w="646" w:type="dxa"/>
          </w:tcPr>
          <w:p>
            <w:pPr>
              <w:pStyle w:val="TableParagraph"/>
              <w:spacing w:before="6"/>
              <w:rPr>
                <w:b/>
                <w:sz w:val="29"/>
              </w:rPr>
            </w:pPr>
          </w:p>
          <w:p>
            <w:pPr>
              <w:pStyle w:val="TableParagraph"/>
              <w:spacing w:before="1"/>
              <w:ind w:right="1"/>
              <w:jc w:val="center"/>
              <w:rPr>
                <w:b/>
                <w:sz w:val="20"/>
              </w:rPr>
            </w:pPr>
            <w:r>
              <w:rPr>
                <w:b/>
                <w:w w:val="99"/>
                <w:sz w:val="20"/>
              </w:rPr>
              <w:t>1</w:t>
            </w:r>
          </w:p>
        </w:tc>
        <w:tc>
          <w:tcPr>
            <w:tcW w:w="3745" w:type="dxa"/>
          </w:tcPr>
          <w:p>
            <w:pPr>
              <w:pStyle w:val="TableParagraph"/>
              <w:ind w:left="64" w:right="69"/>
              <w:rPr>
                <w:sz w:val="20"/>
              </w:rPr>
            </w:pPr>
            <w:r>
              <w:rPr>
                <w:sz w:val="20"/>
              </w:rPr>
              <w:t>Residential segregation in main Chilean cities: Tendencies from the past three decades and possible frameworks for action</w:t>
            </w:r>
          </w:p>
        </w:tc>
        <w:tc>
          <w:tcPr>
            <w:tcW w:w="831" w:type="dxa"/>
          </w:tcPr>
          <w:p>
            <w:pPr>
              <w:pStyle w:val="TableParagraph"/>
              <w:spacing w:before="9"/>
              <w:rPr>
                <w:b/>
                <w:sz w:val="29"/>
              </w:rPr>
            </w:pPr>
          </w:p>
          <w:p>
            <w:pPr>
              <w:pStyle w:val="TableParagraph"/>
              <w:ind w:left="297" w:right="153"/>
              <w:rPr>
                <w:sz w:val="20"/>
              </w:rPr>
            </w:pPr>
            <w:r>
              <w:rPr>
                <w:sz w:val="20"/>
              </w:rPr>
              <w:t>37</w:t>
            </w:r>
          </w:p>
        </w:tc>
        <w:tc>
          <w:tcPr>
            <w:tcW w:w="2564" w:type="dxa"/>
          </w:tcPr>
          <w:p>
            <w:pPr>
              <w:pStyle w:val="TableParagraph"/>
              <w:spacing w:before="9"/>
              <w:rPr>
                <w:b/>
                <w:sz w:val="19"/>
              </w:rPr>
            </w:pPr>
          </w:p>
          <w:p>
            <w:pPr>
              <w:pStyle w:val="TableParagraph"/>
              <w:ind w:left="842" w:right="113" w:hanging="711"/>
              <w:rPr>
                <w:sz w:val="20"/>
              </w:rPr>
            </w:pPr>
            <w:r>
              <w:rPr>
                <w:sz w:val="20"/>
              </w:rPr>
              <w:t>Sabatini, F; Cáceres, G; y Cerda, J</w:t>
            </w:r>
          </w:p>
        </w:tc>
        <w:tc>
          <w:tcPr>
            <w:tcW w:w="1106" w:type="dxa"/>
          </w:tcPr>
          <w:p>
            <w:pPr>
              <w:pStyle w:val="TableParagraph"/>
              <w:spacing w:before="9"/>
              <w:rPr>
                <w:b/>
                <w:sz w:val="29"/>
              </w:rPr>
            </w:pPr>
          </w:p>
          <w:p>
            <w:pPr>
              <w:pStyle w:val="TableParagraph"/>
              <w:ind w:left="387" w:right="391"/>
              <w:jc w:val="center"/>
              <w:rPr>
                <w:sz w:val="20"/>
              </w:rPr>
            </w:pPr>
            <w:r>
              <w:rPr>
                <w:sz w:val="20"/>
              </w:rPr>
              <w:t>8.2</w:t>
            </w:r>
          </w:p>
        </w:tc>
      </w:tr>
      <w:tr>
        <w:trPr>
          <w:trHeight w:val="613" w:hRule="exact"/>
        </w:trPr>
        <w:tc>
          <w:tcPr>
            <w:tcW w:w="646" w:type="dxa"/>
          </w:tcPr>
          <w:p>
            <w:pPr>
              <w:pStyle w:val="TableParagraph"/>
              <w:spacing w:before="10"/>
              <w:rPr>
                <w:b/>
                <w:sz w:val="15"/>
              </w:rPr>
            </w:pPr>
          </w:p>
          <w:p>
            <w:pPr>
              <w:pStyle w:val="TableParagraph"/>
              <w:ind w:right="1"/>
              <w:jc w:val="center"/>
              <w:rPr>
                <w:b/>
                <w:sz w:val="20"/>
              </w:rPr>
            </w:pPr>
            <w:r>
              <w:rPr>
                <w:b/>
                <w:w w:val="99"/>
                <w:sz w:val="20"/>
              </w:rPr>
              <w:t>2</w:t>
            </w:r>
          </w:p>
        </w:tc>
        <w:tc>
          <w:tcPr>
            <w:tcW w:w="3745" w:type="dxa"/>
          </w:tcPr>
          <w:p>
            <w:pPr>
              <w:pStyle w:val="TableParagraph"/>
              <w:spacing w:before="70"/>
              <w:ind w:left="64" w:right="338"/>
              <w:rPr>
                <w:sz w:val="20"/>
              </w:rPr>
            </w:pPr>
            <w:r>
              <w:rPr>
                <w:sz w:val="20"/>
              </w:rPr>
              <w:t>The new model of the Latin American city: fragmentation and privatization</w:t>
            </w:r>
          </w:p>
        </w:tc>
        <w:tc>
          <w:tcPr>
            <w:tcW w:w="831" w:type="dxa"/>
          </w:tcPr>
          <w:p>
            <w:pPr>
              <w:pStyle w:val="TableParagraph"/>
              <w:spacing w:before="1"/>
              <w:rPr>
                <w:b/>
                <w:sz w:val="16"/>
              </w:rPr>
            </w:pPr>
          </w:p>
          <w:p>
            <w:pPr>
              <w:pStyle w:val="TableParagraph"/>
              <w:ind w:left="297" w:right="153"/>
              <w:rPr>
                <w:sz w:val="20"/>
              </w:rPr>
            </w:pPr>
            <w:r>
              <w:rPr>
                <w:sz w:val="20"/>
              </w:rPr>
              <w:t>26</w:t>
            </w:r>
          </w:p>
        </w:tc>
        <w:tc>
          <w:tcPr>
            <w:tcW w:w="2564" w:type="dxa"/>
          </w:tcPr>
          <w:p>
            <w:pPr>
              <w:pStyle w:val="TableParagraph"/>
              <w:spacing w:before="1"/>
              <w:rPr>
                <w:b/>
                <w:sz w:val="16"/>
              </w:rPr>
            </w:pPr>
          </w:p>
          <w:p>
            <w:pPr>
              <w:pStyle w:val="TableParagraph"/>
              <w:ind w:left="55" w:right="56"/>
              <w:jc w:val="center"/>
              <w:rPr>
                <w:sz w:val="20"/>
              </w:rPr>
            </w:pPr>
            <w:r>
              <w:rPr>
                <w:sz w:val="20"/>
              </w:rPr>
              <w:t>Janoschka, M</w:t>
            </w:r>
          </w:p>
        </w:tc>
        <w:tc>
          <w:tcPr>
            <w:tcW w:w="1106" w:type="dxa"/>
          </w:tcPr>
          <w:p>
            <w:pPr>
              <w:pStyle w:val="TableParagraph"/>
              <w:spacing w:before="1"/>
              <w:rPr>
                <w:b/>
                <w:sz w:val="16"/>
              </w:rPr>
            </w:pPr>
          </w:p>
          <w:p>
            <w:pPr>
              <w:pStyle w:val="TableParagraph"/>
              <w:ind w:left="387" w:right="391"/>
              <w:jc w:val="center"/>
              <w:rPr>
                <w:sz w:val="20"/>
              </w:rPr>
            </w:pPr>
            <w:r>
              <w:rPr>
                <w:sz w:val="20"/>
              </w:rPr>
              <w:t>5.8</w:t>
            </w:r>
          </w:p>
        </w:tc>
      </w:tr>
      <w:tr>
        <w:trPr>
          <w:trHeight w:val="1082" w:hRule="exact"/>
        </w:trPr>
        <w:tc>
          <w:tcPr>
            <w:tcW w:w="646" w:type="dxa"/>
          </w:tcPr>
          <w:p>
            <w:pPr>
              <w:pStyle w:val="TableParagraph"/>
              <w:rPr>
                <w:b/>
                <w:sz w:val="20"/>
              </w:rPr>
            </w:pPr>
          </w:p>
          <w:p>
            <w:pPr>
              <w:pStyle w:val="TableParagraph"/>
              <w:rPr>
                <w:b/>
                <w:sz w:val="16"/>
              </w:rPr>
            </w:pPr>
          </w:p>
          <w:p>
            <w:pPr>
              <w:pStyle w:val="TableParagraph"/>
              <w:spacing w:before="1"/>
              <w:ind w:right="1"/>
              <w:jc w:val="center"/>
              <w:rPr>
                <w:b/>
                <w:sz w:val="20"/>
              </w:rPr>
            </w:pPr>
            <w:r>
              <w:rPr>
                <w:b/>
                <w:w w:val="99"/>
                <w:sz w:val="20"/>
              </w:rPr>
              <w:t>3</w:t>
            </w:r>
          </w:p>
        </w:tc>
        <w:tc>
          <w:tcPr>
            <w:tcW w:w="3745" w:type="dxa"/>
          </w:tcPr>
          <w:p>
            <w:pPr>
              <w:pStyle w:val="TableParagraph"/>
              <w:spacing w:before="74"/>
              <w:ind w:left="64" w:right="69"/>
              <w:rPr>
                <w:sz w:val="20"/>
              </w:rPr>
            </w:pPr>
            <w:r>
              <w:rPr>
                <w:sz w:val="20"/>
              </w:rPr>
              <w:t>From small condominiums to fenced city: enclosed urbanizations and the</w:t>
            </w:r>
            <w:r>
              <w:rPr>
                <w:spacing w:val="-13"/>
                <w:sz w:val="20"/>
              </w:rPr>
              <w:t> </w:t>
            </w:r>
            <w:r>
              <w:rPr>
                <w:sz w:val="20"/>
              </w:rPr>
              <w:t>new social geography in Santiago of Chile (1990-2000)</w:t>
            </w:r>
          </w:p>
        </w:tc>
        <w:tc>
          <w:tcPr>
            <w:tcW w:w="831" w:type="dxa"/>
          </w:tcPr>
          <w:p>
            <w:pPr>
              <w:pStyle w:val="TableParagraph"/>
              <w:rPr>
                <w:b/>
                <w:sz w:val="20"/>
              </w:rPr>
            </w:pPr>
          </w:p>
          <w:p>
            <w:pPr>
              <w:pStyle w:val="TableParagraph"/>
              <w:spacing w:before="3"/>
              <w:rPr>
                <w:b/>
                <w:sz w:val="16"/>
              </w:rPr>
            </w:pPr>
          </w:p>
          <w:p>
            <w:pPr>
              <w:pStyle w:val="TableParagraph"/>
              <w:ind w:left="297" w:right="153"/>
              <w:rPr>
                <w:sz w:val="20"/>
              </w:rPr>
            </w:pPr>
            <w:r>
              <w:rPr>
                <w:sz w:val="20"/>
              </w:rPr>
              <w:t>16</w:t>
            </w:r>
          </w:p>
        </w:tc>
        <w:tc>
          <w:tcPr>
            <w:tcW w:w="2564" w:type="dxa"/>
          </w:tcPr>
          <w:p>
            <w:pPr>
              <w:pStyle w:val="TableParagraph"/>
              <w:rPr>
                <w:b/>
                <w:sz w:val="20"/>
              </w:rPr>
            </w:pPr>
          </w:p>
          <w:p>
            <w:pPr>
              <w:pStyle w:val="TableParagraph"/>
              <w:spacing w:before="3"/>
              <w:rPr>
                <w:b/>
                <w:sz w:val="16"/>
              </w:rPr>
            </w:pPr>
          </w:p>
          <w:p>
            <w:pPr>
              <w:pStyle w:val="TableParagraph"/>
              <w:ind w:left="55" w:right="59"/>
              <w:jc w:val="center"/>
              <w:rPr>
                <w:sz w:val="20"/>
              </w:rPr>
            </w:pPr>
            <w:r>
              <w:rPr>
                <w:sz w:val="20"/>
              </w:rPr>
              <w:t>Hidalgo, R</w:t>
            </w:r>
          </w:p>
        </w:tc>
        <w:tc>
          <w:tcPr>
            <w:tcW w:w="1106" w:type="dxa"/>
          </w:tcPr>
          <w:p>
            <w:pPr>
              <w:pStyle w:val="TableParagraph"/>
              <w:rPr>
                <w:b/>
                <w:sz w:val="20"/>
              </w:rPr>
            </w:pPr>
          </w:p>
          <w:p>
            <w:pPr>
              <w:pStyle w:val="TableParagraph"/>
              <w:spacing w:before="3"/>
              <w:rPr>
                <w:b/>
                <w:sz w:val="16"/>
              </w:rPr>
            </w:pPr>
          </w:p>
          <w:p>
            <w:pPr>
              <w:pStyle w:val="TableParagraph"/>
              <w:ind w:left="387" w:right="391"/>
              <w:jc w:val="center"/>
              <w:rPr>
                <w:sz w:val="20"/>
              </w:rPr>
            </w:pPr>
            <w:r>
              <w:rPr>
                <w:sz w:val="20"/>
              </w:rPr>
              <w:t>3.5</w:t>
            </w:r>
          </w:p>
        </w:tc>
      </w:tr>
      <w:tr>
        <w:trPr>
          <w:trHeight w:val="559" w:hRule="exact"/>
        </w:trPr>
        <w:tc>
          <w:tcPr>
            <w:tcW w:w="646" w:type="dxa"/>
          </w:tcPr>
          <w:p>
            <w:pPr>
              <w:pStyle w:val="TableParagraph"/>
              <w:spacing w:before="155"/>
              <w:ind w:right="1"/>
              <w:jc w:val="center"/>
              <w:rPr>
                <w:b/>
                <w:sz w:val="20"/>
              </w:rPr>
            </w:pPr>
            <w:r>
              <w:rPr>
                <w:b/>
                <w:w w:val="99"/>
                <w:sz w:val="20"/>
              </w:rPr>
              <w:t>4</w:t>
            </w:r>
          </w:p>
        </w:tc>
        <w:tc>
          <w:tcPr>
            <w:tcW w:w="3745" w:type="dxa"/>
          </w:tcPr>
          <w:p>
            <w:pPr>
              <w:pStyle w:val="TableParagraph"/>
              <w:spacing w:before="43"/>
              <w:ind w:left="64" w:right="661"/>
              <w:rPr>
                <w:sz w:val="20"/>
              </w:rPr>
            </w:pPr>
            <w:r>
              <w:rPr>
                <w:sz w:val="20"/>
              </w:rPr>
              <w:t>Socio-territorial transformations in Buenos Aires during the 1990's</w:t>
            </w:r>
          </w:p>
        </w:tc>
        <w:tc>
          <w:tcPr>
            <w:tcW w:w="831" w:type="dxa"/>
          </w:tcPr>
          <w:p>
            <w:pPr>
              <w:pStyle w:val="TableParagraph"/>
              <w:spacing w:before="158"/>
              <w:ind w:left="297" w:right="153"/>
              <w:rPr>
                <w:sz w:val="20"/>
              </w:rPr>
            </w:pPr>
            <w:r>
              <w:rPr>
                <w:sz w:val="20"/>
              </w:rPr>
              <w:t>15</w:t>
            </w:r>
          </w:p>
        </w:tc>
        <w:tc>
          <w:tcPr>
            <w:tcW w:w="2564" w:type="dxa"/>
          </w:tcPr>
          <w:p>
            <w:pPr>
              <w:pStyle w:val="TableParagraph"/>
              <w:spacing w:before="158"/>
              <w:ind w:left="55" w:right="55"/>
              <w:jc w:val="center"/>
              <w:rPr>
                <w:sz w:val="20"/>
              </w:rPr>
            </w:pPr>
            <w:r>
              <w:rPr>
                <w:sz w:val="20"/>
              </w:rPr>
              <w:t>Torres, HA</w:t>
            </w:r>
          </w:p>
        </w:tc>
        <w:tc>
          <w:tcPr>
            <w:tcW w:w="1106" w:type="dxa"/>
          </w:tcPr>
          <w:p>
            <w:pPr>
              <w:pStyle w:val="TableParagraph"/>
              <w:spacing w:before="158"/>
              <w:ind w:left="387" w:right="391"/>
              <w:jc w:val="center"/>
              <w:rPr>
                <w:sz w:val="20"/>
              </w:rPr>
            </w:pPr>
            <w:r>
              <w:rPr>
                <w:sz w:val="20"/>
              </w:rPr>
              <w:t>3.3</w:t>
            </w:r>
          </w:p>
        </w:tc>
      </w:tr>
      <w:tr>
        <w:trPr>
          <w:trHeight w:val="612" w:hRule="exact"/>
        </w:trPr>
        <w:tc>
          <w:tcPr>
            <w:tcW w:w="646" w:type="dxa"/>
          </w:tcPr>
          <w:p>
            <w:pPr>
              <w:pStyle w:val="TableParagraph"/>
              <w:spacing w:before="9"/>
              <w:rPr>
                <w:b/>
                <w:sz w:val="15"/>
              </w:rPr>
            </w:pPr>
          </w:p>
          <w:p>
            <w:pPr>
              <w:pStyle w:val="TableParagraph"/>
              <w:ind w:right="1"/>
              <w:jc w:val="center"/>
              <w:rPr>
                <w:b/>
                <w:sz w:val="20"/>
              </w:rPr>
            </w:pPr>
            <w:r>
              <w:rPr>
                <w:b/>
                <w:w w:val="99"/>
                <w:sz w:val="20"/>
              </w:rPr>
              <w:t>5</w:t>
            </w:r>
          </w:p>
        </w:tc>
        <w:tc>
          <w:tcPr>
            <w:tcW w:w="3745" w:type="dxa"/>
          </w:tcPr>
          <w:p>
            <w:pPr>
              <w:pStyle w:val="TableParagraph"/>
              <w:spacing w:before="69"/>
              <w:ind w:left="64" w:right="305"/>
              <w:rPr>
                <w:sz w:val="20"/>
              </w:rPr>
            </w:pPr>
            <w:r>
              <w:rPr>
                <w:sz w:val="20"/>
              </w:rPr>
              <w:t>How to model of Latin American cities development and dynamics</w:t>
            </w:r>
          </w:p>
        </w:tc>
        <w:tc>
          <w:tcPr>
            <w:tcW w:w="831" w:type="dxa"/>
          </w:tcPr>
          <w:p>
            <w:pPr>
              <w:pStyle w:val="TableParagraph"/>
              <w:rPr>
                <w:b/>
                <w:sz w:val="16"/>
              </w:rPr>
            </w:pPr>
          </w:p>
          <w:p>
            <w:pPr>
              <w:pStyle w:val="TableParagraph"/>
              <w:ind w:left="297" w:right="153"/>
              <w:rPr>
                <w:sz w:val="20"/>
              </w:rPr>
            </w:pPr>
            <w:r>
              <w:rPr>
                <w:sz w:val="20"/>
              </w:rPr>
              <w:t>14</w:t>
            </w:r>
          </w:p>
        </w:tc>
        <w:tc>
          <w:tcPr>
            <w:tcW w:w="2564" w:type="dxa"/>
          </w:tcPr>
          <w:p>
            <w:pPr>
              <w:pStyle w:val="TableParagraph"/>
              <w:rPr>
                <w:b/>
                <w:sz w:val="16"/>
              </w:rPr>
            </w:pPr>
          </w:p>
          <w:p>
            <w:pPr>
              <w:pStyle w:val="TableParagraph"/>
              <w:ind w:left="55" w:right="57"/>
              <w:jc w:val="center"/>
              <w:rPr>
                <w:sz w:val="20"/>
              </w:rPr>
            </w:pPr>
            <w:r>
              <w:rPr>
                <w:sz w:val="20"/>
              </w:rPr>
              <w:t>Borsdorf, A</w:t>
            </w:r>
          </w:p>
        </w:tc>
        <w:tc>
          <w:tcPr>
            <w:tcW w:w="1106" w:type="dxa"/>
          </w:tcPr>
          <w:p>
            <w:pPr>
              <w:pStyle w:val="TableParagraph"/>
              <w:rPr>
                <w:b/>
                <w:sz w:val="16"/>
              </w:rPr>
            </w:pPr>
          </w:p>
          <w:p>
            <w:pPr>
              <w:pStyle w:val="TableParagraph"/>
              <w:ind w:left="387" w:right="391"/>
              <w:jc w:val="center"/>
              <w:rPr>
                <w:sz w:val="20"/>
              </w:rPr>
            </w:pPr>
            <w:r>
              <w:rPr>
                <w:sz w:val="20"/>
              </w:rPr>
              <w:t>3.1</w:t>
            </w:r>
          </w:p>
        </w:tc>
      </w:tr>
      <w:tr>
        <w:trPr>
          <w:trHeight w:val="533" w:hRule="exact"/>
        </w:trPr>
        <w:tc>
          <w:tcPr>
            <w:tcW w:w="646" w:type="dxa"/>
          </w:tcPr>
          <w:p>
            <w:pPr>
              <w:pStyle w:val="TableParagraph"/>
              <w:spacing w:before="141"/>
              <w:ind w:right="1"/>
              <w:jc w:val="center"/>
              <w:rPr>
                <w:b/>
                <w:sz w:val="20"/>
              </w:rPr>
            </w:pPr>
            <w:r>
              <w:rPr>
                <w:b/>
                <w:w w:val="99"/>
                <w:sz w:val="20"/>
              </w:rPr>
              <w:t>6</w:t>
            </w:r>
          </w:p>
        </w:tc>
        <w:tc>
          <w:tcPr>
            <w:tcW w:w="3745" w:type="dxa"/>
          </w:tcPr>
          <w:p>
            <w:pPr>
              <w:pStyle w:val="TableParagraph"/>
              <w:spacing w:before="28"/>
              <w:ind w:left="64" w:right="69"/>
              <w:rPr>
                <w:sz w:val="20"/>
              </w:rPr>
            </w:pPr>
            <w:r>
              <w:rPr>
                <w:sz w:val="20"/>
              </w:rPr>
              <w:t>Innovation and territorial development: some recent theoretical debates</w:t>
            </w:r>
          </w:p>
        </w:tc>
        <w:tc>
          <w:tcPr>
            <w:tcW w:w="831" w:type="dxa"/>
          </w:tcPr>
          <w:p>
            <w:pPr>
              <w:pStyle w:val="TableParagraph"/>
              <w:spacing w:before="143"/>
              <w:ind w:left="297" w:right="153"/>
              <w:rPr>
                <w:sz w:val="20"/>
              </w:rPr>
            </w:pPr>
            <w:r>
              <w:rPr>
                <w:sz w:val="20"/>
              </w:rPr>
              <w:t>13</w:t>
            </w:r>
          </w:p>
        </w:tc>
        <w:tc>
          <w:tcPr>
            <w:tcW w:w="2564" w:type="dxa"/>
          </w:tcPr>
          <w:p>
            <w:pPr>
              <w:pStyle w:val="TableParagraph"/>
              <w:spacing w:before="143"/>
              <w:ind w:left="55" w:right="58"/>
              <w:jc w:val="center"/>
              <w:rPr>
                <w:sz w:val="20"/>
              </w:rPr>
            </w:pPr>
            <w:r>
              <w:rPr>
                <w:sz w:val="20"/>
              </w:rPr>
              <w:t>Mendez, R</w:t>
            </w:r>
          </w:p>
        </w:tc>
        <w:tc>
          <w:tcPr>
            <w:tcW w:w="1106" w:type="dxa"/>
          </w:tcPr>
          <w:p>
            <w:pPr>
              <w:pStyle w:val="TableParagraph"/>
              <w:spacing w:before="143"/>
              <w:ind w:left="387" w:right="391"/>
              <w:jc w:val="center"/>
              <w:rPr>
                <w:sz w:val="20"/>
              </w:rPr>
            </w:pPr>
            <w:r>
              <w:rPr>
                <w:sz w:val="20"/>
              </w:rPr>
              <w:t>2.9</w:t>
            </w:r>
          </w:p>
        </w:tc>
      </w:tr>
      <w:tr>
        <w:trPr>
          <w:trHeight w:val="701" w:hRule="exact"/>
        </w:trPr>
        <w:tc>
          <w:tcPr>
            <w:tcW w:w="646" w:type="dxa"/>
          </w:tcPr>
          <w:p>
            <w:pPr>
              <w:pStyle w:val="TableParagraph"/>
              <w:spacing w:before="6"/>
              <w:rPr>
                <w:b/>
                <w:sz w:val="19"/>
              </w:rPr>
            </w:pPr>
          </w:p>
          <w:p>
            <w:pPr>
              <w:pStyle w:val="TableParagraph"/>
              <w:ind w:right="1"/>
              <w:jc w:val="center"/>
              <w:rPr>
                <w:b/>
                <w:sz w:val="20"/>
              </w:rPr>
            </w:pPr>
            <w:r>
              <w:rPr>
                <w:b/>
                <w:w w:val="99"/>
                <w:sz w:val="20"/>
              </w:rPr>
              <w:t>7</w:t>
            </w:r>
          </w:p>
        </w:tc>
        <w:tc>
          <w:tcPr>
            <w:tcW w:w="3745" w:type="dxa"/>
          </w:tcPr>
          <w:p>
            <w:pPr>
              <w:pStyle w:val="TableParagraph"/>
              <w:ind w:left="64" w:right="69"/>
              <w:rPr>
                <w:sz w:val="20"/>
              </w:rPr>
            </w:pPr>
            <w:r>
              <w:rPr>
                <w:sz w:val="20"/>
              </w:rPr>
              <w:t>Changes in growth patterns in an intermediate city: the case of Chillan in Central Chile</w:t>
            </w:r>
          </w:p>
        </w:tc>
        <w:tc>
          <w:tcPr>
            <w:tcW w:w="831" w:type="dxa"/>
          </w:tcPr>
          <w:p>
            <w:pPr>
              <w:pStyle w:val="TableParagraph"/>
              <w:spacing w:before="9"/>
              <w:rPr>
                <w:b/>
                <w:sz w:val="19"/>
              </w:rPr>
            </w:pPr>
          </w:p>
          <w:p>
            <w:pPr>
              <w:pStyle w:val="TableParagraph"/>
              <w:ind w:left="297" w:right="153"/>
              <w:rPr>
                <w:sz w:val="20"/>
              </w:rPr>
            </w:pPr>
            <w:r>
              <w:rPr>
                <w:sz w:val="20"/>
              </w:rPr>
              <w:t>11</w:t>
            </w:r>
          </w:p>
        </w:tc>
        <w:tc>
          <w:tcPr>
            <w:tcW w:w="2564" w:type="dxa"/>
          </w:tcPr>
          <w:p>
            <w:pPr>
              <w:pStyle w:val="TableParagraph"/>
              <w:spacing w:before="112"/>
              <w:ind w:left="636" w:right="73" w:hanging="543"/>
              <w:rPr>
                <w:sz w:val="20"/>
              </w:rPr>
            </w:pPr>
            <w:r>
              <w:rPr>
                <w:sz w:val="20"/>
              </w:rPr>
              <w:t>Azocar, G; Sanhueza, R; y Henriquez, C</w:t>
            </w:r>
          </w:p>
        </w:tc>
        <w:tc>
          <w:tcPr>
            <w:tcW w:w="1106" w:type="dxa"/>
          </w:tcPr>
          <w:p>
            <w:pPr>
              <w:pStyle w:val="TableParagraph"/>
              <w:spacing w:before="9"/>
              <w:rPr>
                <w:b/>
                <w:sz w:val="19"/>
              </w:rPr>
            </w:pPr>
          </w:p>
          <w:p>
            <w:pPr>
              <w:pStyle w:val="TableParagraph"/>
              <w:ind w:left="387" w:right="391"/>
              <w:jc w:val="center"/>
              <w:rPr>
                <w:sz w:val="20"/>
              </w:rPr>
            </w:pPr>
            <w:r>
              <w:rPr>
                <w:sz w:val="20"/>
              </w:rPr>
              <w:t>2.4</w:t>
            </w:r>
          </w:p>
        </w:tc>
      </w:tr>
      <w:tr>
        <w:trPr>
          <w:trHeight w:val="612" w:hRule="exact"/>
        </w:trPr>
        <w:tc>
          <w:tcPr>
            <w:tcW w:w="646" w:type="dxa"/>
          </w:tcPr>
          <w:p>
            <w:pPr>
              <w:pStyle w:val="TableParagraph"/>
              <w:spacing w:before="179"/>
              <w:ind w:right="1"/>
              <w:jc w:val="center"/>
              <w:rPr>
                <w:b/>
                <w:sz w:val="20"/>
              </w:rPr>
            </w:pPr>
            <w:r>
              <w:rPr>
                <w:b/>
                <w:w w:val="99"/>
                <w:sz w:val="20"/>
              </w:rPr>
              <w:t>8</w:t>
            </w:r>
          </w:p>
        </w:tc>
        <w:tc>
          <w:tcPr>
            <w:tcW w:w="3745" w:type="dxa"/>
          </w:tcPr>
          <w:p>
            <w:pPr>
              <w:pStyle w:val="TableParagraph"/>
              <w:spacing w:before="69"/>
              <w:ind w:left="64" w:right="69"/>
              <w:rPr>
                <w:sz w:val="20"/>
              </w:rPr>
            </w:pPr>
            <w:r>
              <w:rPr>
                <w:sz w:val="20"/>
              </w:rPr>
              <w:t>Urban industrial trajectories: new processes, new contrasts</w:t>
            </w:r>
          </w:p>
        </w:tc>
        <w:tc>
          <w:tcPr>
            <w:tcW w:w="831" w:type="dxa"/>
          </w:tcPr>
          <w:p>
            <w:pPr>
              <w:pStyle w:val="TableParagraph"/>
              <w:spacing w:before="9"/>
              <w:rPr>
                <w:b/>
                <w:sz w:val="15"/>
              </w:rPr>
            </w:pPr>
          </w:p>
          <w:p>
            <w:pPr>
              <w:pStyle w:val="TableParagraph"/>
              <w:ind w:left="297" w:right="153"/>
              <w:rPr>
                <w:sz w:val="20"/>
              </w:rPr>
            </w:pPr>
            <w:r>
              <w:rPr>
                <w:sz w:val="20"/>
              </w:rPr>
              <w:t>10</w:t>
            </w:r>
          </w:p>
        </w:tc>
        <w:tc>
          <w:tcPr>
            <w:tcW w:w="2564" w:type="dxa"/>
          </w:tcPr>
          <w:p>
            <w:pPr>
              <w:pStyle w:val="TableParagraph"/>
              <w:spacing w:before="9"/>
              <w:rPr>
                <w:b/>
                <w:sz w:val="15"/>
              </w:rPr>
            </w:pPr>
          </w:p>
          <w:p>
            <w:pPr>
              <w:pStyle w:val="TableParagraph"/>
              <w:ind w:left="55" w:right="117"/>
              <w:jc w:val="center"/>
              <w:rPr>
                <w:sz w:val="20"/>
              </w:rPr>
            </w:pPr>
            <w:r>
              <w:rPr>
                <w:sz w:val="20"/>
              </w:rPr>
              <w:t>Caravaca, I; Mendez, R</w:t>
            </w:r>
          </w:p>
        </w:tc>
        <w:tc>
          <w:tcPr>
            <w:tcW w:w="1106" w:type="dxa"/>
          </w:tcPr>
          <w:p>
            <w:pPr>
              <w:pStyle w:val="TableParagraph"/>
              <w:spacing w:before="9"/>
              <w:rPr>
                <w:b/>
                <w:sz w:val="15"/>
              </w:rPr>
            </w:pPr>
          </w:p>
          <w:p>
            <w:pPr>
              <w:pStyle w:val="TableParagraph"/>
              <w:ind w:left="387" w:right="391"/>
              <w:jc w:val="center"/>
              <w:rPr>
                <w:sz w:val="20"/>
              </w:rPr>
            </w:pPr>
            <w:r>
              <w:rPr>
                <w:sz w:val="20"/>
              </w:rPr>
              <w:t>2.2</w:t>
            </w:r>
          </w:p>
        </w:tc>
      </w:tr>
      <w:tr>
        <w:trPr>
          <w:trHeight w:val="814" w:hRule="exact"/>
        </w:trPr>
        <w:tc>
          <w:tcPr>
            <w:tcW w:w="646" w:type="dxa"/>
          </w:tcPr>
          <w:p>
            <w:pPr>
              <w:pStyle w:val="TableParagraph"/>
              <w:spacing w:before="6"/>
              <w:rPr>
                <w:b/>
                <w:sz w:val="24"/>
              </w:rPr>
            </w:pPr>
          </w:p>
          <w:p>
            <w:pPr>
              <w:pStyle w:val="TableParagraph"/>
              <w:spacing w:before="1"/>
              <w:ind w:right="1"/>
              <w:jc w:val="center"/>
              <w:rPr>
                <w:b/>
                <w:sz w:val="20"/>
              </w:rPr>
            </w:pPr>
            <w:r>
              <w:rPr>
                <w:b/>
                <w:w w:val="99"/>
                <w:sz w:val="20"/>
              </w:rPr>
              <w:t>9</w:t>
            </w:r>
          </w:p>
        </w:tc>
        <w:tc>
          <w:tcPr>
            <w:tcW w:w="3745" w:type="dxa"/>
          </w:tcPr>
          <w:p>
            <w:pPr>
              <w:pStyle w:val="TableParagraph"/>
              <w:spacing w:before="55"/>
              <w:ind w:left="64" w:right="69"/>
              <w:rPr>
                <w:sz w:val="20"/>
              </w:rPr>
            </w:pPr>
            <w:r>
              <w:rPr>
                <w:sz w:val="20"/>
              </w:rPr>
              <w:t>Globalization and socio-territorial inequalities: the expansion of Caracas' metropolitan periphery</w:t>
            </w:r>
          </w:p>
        </w:tc>
        <w:tc>
          <w:tcPr>
            <w:tcW w:w="831" w:type="dxa"/>
          </w:tcPr>
          <w:p>
            <w:pPr>
              <w:pStyle w:val="TableParagraph"/>
              <w:spacing w:before="9"/>
              <w:rPr>
                <w:b/>
                <w:sz w:val="24"/>
              </w:rPr>
            </w:pPr>
          </w:p>
          <w:p>
            <w:pPr>
              <w:pStyle w:val="TableParagraph"/>
              <w:ind w:left="355"/>
              <w:rPr>
                <w:sz w:val="20"/>
              </w:rPr>
            </w:pPr>
            <w:r>
              <w:rPr>
                <w:w w:val="99"/>
                <w:sz w:val="20"/>
              </w:rPr>
              <w:t>9</w:t>
            </w:r>
          </w:p>
        </w:tc>
        <w:tc>
          <w:tcPr>
            <w:tcW w:w="2564" w:type="dxa"/>
          </w:tcPr>
          <w:p>
            <w:pPr>
              <w:pStyle w:val="TableParagraph"/>
              <w:spacing w:before="9"/>
              <w:rPr>
                <w:b/>
                <w:sz w:val="24"/>
              </w:rPr>
            </w:pPr>
          </w:p>
          <w:p>
            <w:pPr>
              <w:pStyle w:val="TableParagraph"/>
              <w:ind w:left="55" w:right="112"/>
              <w:jc w:val="center"/>
              <w:rPr>
                <w:sz w:val="20"/>
              </w:rPr>
            </w:pPr>
            <w:r>
              <w:rPr>
                <w:sz w:val="20"/>
              </w:rPr>
              <w:t>Cariola, C; Lacabana, M</w:t>
            </w:r>
          </w:p>
        </w:tc>
        <w:tc>
          <w:tcPr>
            <w:tcW w:w="1106" w:type="dxa"/>
          </w:tcPr>
          <w:p>
            <w:pPr>
              <w:pStyle w:val="TableParagraph"/>
              <w:spacing w:before="9"/>
              <w:rPr>
                <w:b/>
                <w:sz w:val="24"/>
              </w:rPr>
            </w:pPr>
          </w:p>
          <w:p>
            <w:pPr>
              <w:pStyle w:val="TableParagraph"/>
              <w:jc w:val="center"/>
              <w:rPr>
                <w:sz w:val="20"/>
              </w:rPr>
            </w:pPr>
            <w:r>
              <w:rPr>
                <w:w w:val="99"/>
                <w:sz w:val="20"/>
              </w:rPr>
              <w:t>2</w:t>
            </w:r>
          </w:p>
        </w:tc>
      </w:tr>
      <w:tr>
        <w:trPr>
          <w:trHeight w:val="713" w:hRule="exact"/>
        </w:trPr>
        <w:tc>
          <w:tcPr>
            <w:tcW w:w="646" w:type="dxa"/>
          </w:tcPr>
          <w:p>
            <w:pPr>
              <w:pStyle w:val="TableParagraph"/>
              <w:spacing w:before="2"/>
              <w:rPr>
                <w:b/>
                <w:sz w:val="20"/>
              </w:rPr>
            </w:pPr>
          </w:p>
          <w:p>
            <w:pPr>
              <w:pStyle w:val="TableParagraph"/>
              <w:ind w:left="186" w:right="186"/>
              <w:jc w:val="center"/>
              <w:rPr>
                <w:b/>
                <w:sz w:val="20"/>
              </w:rPr>
            </w:pPr>
            <w:r>
              <w:rPr>
                <w:b/>
                <w:sz w:val="20"/>
              </w:rPr>
              <w:t>10</w:t>
            </w:r>
          </w:p>
        </w:tc>
        <w:tc>
          <w:tcPr>
            <w:tcW w:w="3745" w:type="dxa"/>
          </w:tcPr>
          <w:p>
            <w:pPr>
              <w:pStyle w:val="TableParagraph"/>
              <w:spacing w:before="4"/>
              <w:ind w:left="64" w:right="69"/>
              <w:rPr>
                <w:sz w:val="20"/>
              </w:rPr>
            </w:pPr>
            <w:r>
              <w:rPr>
                <w:sz w:val="20"/>
              </w:rPr>
              <w:t>Mega-cities and expanded outskirts. Expanding on the concept in Ciudad de Mexico</w:t>
            </w:r>
          </w:p>
        </w:tc>
        <w:tc>
          <w:tcPr>
            <w:tcW w:w="831" w:type="dxa"/>
          </w:tcPr>
          <w:p>
            <w:pPr>
              <w:pStyle w:val="TableParagraph"/>
              <w:spacing w:before="4"/>
              <w:rPr>
                <w:b/>
                <w:sz w:val="20"/>
              </w:rPr>
            </w:pPr>
          </w:p>
          <w:p>
            <w:pPr>
              <w:pStyle w:val="TableParagraph"/>
              <w:spacing w:before="1"/>
              <w:ind w:left="355"/>
              <w:rPr>
                <w:sz w:val="20"/>
              </w:rPr>
            </w:pPr>
            <w:r>
              <w:rPr>
                <w:w w:val="99"/>
                <w:sz w:val="20"/>
              </w:rPr>
              <w:t>8</w:t>
            </w:r>
          </w:p>
        </w:tc>
        <w:tc>
          <w:tcPr>
            <w:tcW w:w="2564" w:type="dxa"/>
          </w:tcPr>
          <w:p>
            <w:pPr>
              <w:pStyle w:val="TableParagraph"/>
              <w:spacing w:before="4"/>
              <w:rPr>
                <w:b/>
                <w:sz w:val="20"/>
              </w:rPr>
            </w:pPr>
          </w:p>
          <w:p>
            <w:pPr>
              <w:pStyle w:val="TableParagraph"/>
              <w:spacing w:before="1"/>
              <w:ind w:left="55" w:right="57"/>
              <w:jc w:val="center"/>
              <w:rPr>
                <w:sz w:val="20"/>
              </w:rPr>
            </w:pPr>
            <w:r>
              <w:rPr>
                <w:sz w:val="20"/>
              </w:rPr>
              <w:t>Aguilar, AG</w:t>
            </w:r>
          </w:p>
        </w:tc>
        <w:tc>
          <w:tcPr>
            <w:tcW w:w="1106" w:type="dxa"/>
          </w:tcPr>
          <w:p>
            <w:pPr>
              <w:pStyle w:val="TableParagraph"/>
              <w:spacing w:before="4"/>
              <w:rPr>
                <w:b/>
                <w:sz w:val="20"/>
              </w:rPr>
            </w:pPr>
          </w:p>
          <w:p>
            <w:pPr>
              <w:pStyle w:val="TableParagraph"/>
              <w:spacing w:before="1"/>
              <w:ind w:left="387" w:right="391"/>
              <w:jc w:val="center"/>
              <w:rPr>
                <w:sz w:val="20"/>
              </w:rPr>
            </w:pPr>
            <w:r>
              <w:rPr>
                <w:sz w:val="20"/>
              </w:rPr>
              <w:t>1.8</w:t>
            </w:r>
          </w:p>
        </w:tc>
      </w:tr>
      <w:tr>
        <w:trPr>
          <w:trHeight w:val="555" w:hRule="exact"/>
        </w:trPr>
        <w:tc>
          <w:tcPr>
            <w:tcW w:w="646" w:type="dxa"/>
          </w:tcPr>
          <w:p>
            <w:pPr>
              <w:pStyle w:val="TableParagraph"/>
              <w:spacing w:before="154"/>
              <w:ind w:left="186" w:right="186"/>
              <w:jc w:val="center"/>
              <w:rPr>
                <w:b/>
                <w:sz w:val="20"/>
              </w:rPr>
            </w:pPr>
            <w:r>
              <w:rPr>
                <w:b/>
                <w:sz w:val="20"/>
              </w:rPr>
              <w:t>11</w:t>
            </w:r>
          </w:p>
        </w:tc>
        <w:tc>
          <w:tcPr>
            <w:tcW w:w="3745" w:type="dxa"/>
          </w:tcPr>
          <w:p>
            <w:pPr>
              <w:pStyle w:val="TableParagraph"/>
              <w:spacing w:before="40"/>
              <w:ind w:left="64" w:right="69"/>
              <w:rPr>
                <w:sz w:val="20"/>
              </w:rPr>
            </w:pPr>
            <w:r>
              <w:rPr>
                <w:sz w:val="20"/>
              </w:rPr>
              <w:t>The territory of the new metropolitan economies</w:t>
            </w:r>
          </w:p>
        </w:tc>
        <w:tc>
          <w:tcPr>
            <w:tcW w:w="831" w:type="dxa"/>
          </w:tcPr>
          <w:p>
            <w:pPr>
              <w:pStyle w:val="TableParagraph"/>
              <w:spacing w:before="156"/>
              <w:ind w:left="355"/>
              <w:rPr>
                <w:sz w:val="20"/>
              </w:rPr>
            </w:pPr>
            <w:r>
              <w:rPr>
                <w:w w:val="99"/>
                <w:sz w:val="20"/>
              </w:rPr>
              <w:t>7</w:t>
            </w:r>
          </w:p>
        </w:tc>
        <w:tc>
          <w:tcPr>
            <w:tcW w:w="2564" w:type="dxa"/>
          </w:tcPr>
          <w:p>
            <w:pPr>
              <w:pStyle w:val="TableParagraph"/>
              <w:spacing w:before="156"/>
              <w:ind w:left="55" w:right="58"/>
              <w:jc w:val="center"/>
              <w:rPr>
                <w:sz w:val="20"/>
              </w:rPr>
            </w:pPr>
            <w:r>
              <w:rPr>
                <w:sz w:val="20"/>
              </w:rPr>
              <w:t>Mendez, R</w:t>
            </w:r>
          </w:p>
        </w:tc>
        <w:tc>
          <w:tcPr>
            <w:tcW w:w="1106" w:type="dxa"/>
          </w:tcPr>
          <w:p>
            <w:pPr>
              <w:pStyle w:val="TableParagraph"/>
              <w:spacing w:before="156"/>
              <w:ind w:left="387" w:right="391"/>
              <w:jc w:val="center"/>
              <w:rPr>
                <w:sz w:val="20"/>
              </w:rPr>
            </w:pPr>
            <w:r>
              <w:rPr>
                <w:sz w:val="20"/>
              </w:rPr>
              <w:t>1.6</w:t>
            </w:r>
          </w:p>
        </w:tc>
      </w:tr>
      <w:tr>
        <w:trPr>
          <w:trHeight w:val="847" w:hRule="exact"/>
        </w:trPr>
        <w:tc>
          <w:tcPr>
            <w:tcW w:w="646" w:type="dxa"/>
          </w:tcPr>
          <w:p>
            <w:pPr>
              <w:pStyle w:val="TableParagraph"/>
              <w:spacing w:before="9"/>
              <w:rPr>
                <w:b/>
                <w:sz w:val="25"/>
              </w:rPr>
            </w:pPr>
          </w:p>
          <w:p>
            <w:pPr>
              <w:pStyle w:val="TableParagraph"/>
              <w:ind w:left="186" w:right="186"/>
              <w:jc w:val="center"/>
              <w:rPr>
                <w:b/>
                <w:sz w:val="20"/>
              </w:rPr>
            </w:pPr>
            <w:r>
              <w:rPr>
                <w:b/>
                <w:sz w:val="20"/>
              </w:rPr>
              <w:t>12</w:t>
            </w:r>
          </w:p>
        </w:tc>
        <w:tc>
          <w:tcPr>
            <w:tcW w:w="3745" w:type="dxa"/>
          </w:tcPr>
          <w:p>
            <w:pPr>
              <w:pStyle w:val="TableParagraph"/>
              <w:spacing w:before="71"/>
              <w:ind w:left="64" w:right="69"/>
              <w:rPr>
                <w:sz w:val="20"/>
              </w:rPr>
            </w:pPr>
            <w:r>
              <w:rPr>
                <w:sz w:val="20"/>
              </w:rPr>
              <w:t>Environmental evaluation of Andean piedmont urbanization process in Santiago de Chile</w:t>
            </w:r>
          </w:p>
        </w:tc>
        <w:tc>
          <w:tcPr>
            <w:tcW w:w="831" w:type="dxa"/>
          </w:tcPr>
          <w:p>
            <w:pPr>
              <w:pStyle w:val="TableParagraph"/>
              <w:rPr>
                <w:b/>
                <w:sz w:val="26"/>
              </w:rPr>
            </w:pPr>
          </w:p>
          <w:p>
            <w:pPr>
              <w:pStyle w:val="TableParagraph"/>
              <w:ind w:left="355"/>
              <w:rPr>
                <w:sz w:val="20"/>
              </w:rPr>
            </w:pPr>
            <w:r>
              <w:rPr>
                <w:w w:val="99"/>
                <w:sz w:val="20"/>
              </w:rPr>
              <w:t>7</w:t>
            </w:r>
          </w:p>
        </w:tc>
        <w:tc>
          <w:tcPr>
            <w:tcW w:w="2564" w:type="dxa"/>
          </w:tcPr>
          <w:p>
            <w:pPr>
              <w:pStyle w:val="TableParagraph"/>
              <w:rPr>
                <w:b/>
                <w:sz w:val="26"/>
              </w:rPr>
            </w:pPr>
          </w:p>
          <w:p>
            <w:pPr>
              <w:pStyle w:val="TableParagraph"/>
              <w:ind w:left="55" w:right="169"/>
              <w:jc w:val="center"/>
              <w:rPr>
                <w:sz w:val="20"/>
              </w:rPr>
            </w:pPr>
            <w:r>
              <w:rPr>
                <w:sz w:val="20"/>
              </w:rPr>
              <w:t>Romero, H; Vaquez, A;</w:t>
            </w:r>
          </w:p>
        </w:tc>
        <w:tc>
          <w:tcPr>
            <w:tcW w:w="1106" w:type="dxa"/>
          </w:tcPr>
          <w:p>
            <w:pPr>
              <w:pStyle w:val="TableParagraph"/>
              <w:rPr>
                <w:b/>
                <w:sz w:val="26"/>
              </w:rPr>
            </w:pPr>
          </w:p>
          <w:p>
            <w:pPr>
              <w:pStyle w:val="TableParagraph"/>
              <w:ind w:left="387" w:right="391"/>
              <w:jc w:val="center"/>
              <w:rPr>
                <w:sz w:val="20"/>
              </w:rPr>
            </w:pPr>
            <w:r>
              <w:rPr>
                <w:sz w:val="20"/>
              </w:rPr>
              <w:t>1.6</w:t>
            </w:r>
          </w:p>
        </w:tc>
      </w:tr>
      <w:tr>
        <w:trPr>
          <w:trHeight w:val="1282" w:hRule="exact"/>
        </w:trPr>
        <w:tc>
          <w:tcPr>
            <w:tcW w:w="646" w:type="dxa"/>
          </w:tcPr>
          <w:p>
            <w:pPr>
              <w:pStyle w:val="TableParagraph"/>
              <w:rPr>
                <w:b/>
                <w:sz w:val="20"/>
              </w:rPr>
            </w:pPr>
          </w:p>
          <w:p>
            <w:pPr>
              <w:pStyle w:val="TableParagraph"/>
              <w:spacing w:before="9"/>
              <w:rPr>
                <w:b/>
                <w:sz w:val="24"/>
              </w:rPr>
            </w:pPr>
          </w:p>
          <w:p>
            <w:pPr>
              <w:pStyle w:val="TableParagraph"/>
              <w:ind w:left="186" w:right="186"/>
              <w:jc w:val="center"/>
              <w:rPr>
                <w:b/>
                <w:sz w:val="20"/>
              </w:rPr>
            </w:pPr>
            <w:r>
              <w:rPr>
                <w:b/>
                <w:sz w:val="20"/>
              </w:rPr>
              <w:t>13</w:t>
            </w:r>
          </w:p>
        </w:tc>
        <w:tc>
          <w:tcPr>
            <w:tcW w:w="3745" w:type="dxa"/>
          </w:tcPr>
          <w:p>
            <w:pPr>
              <w:pStyle w:val="TableParagraph"/>
              <w:rPr>
                <w:b/>
                <w:sz w:val="25"/>
              </w:rPr>
            </w:pPr>
          </w:p>
          <w:p>
            <w:pPr>
              <w:pStyle w:val="TableParagraph"/>
              <w:ind w:left="64" w:right="69"/>
              <w:rPr>
                <w:sz w:val="20"/>
              </w:rPr>
            </w:pPr>
            <w:r>
              <w:rPr>
                <w:sz w:val="20"/>
              </w:rPr>
              <w:t>High speed railway and metropolitan integration in Spain: the case of Ciudad Real and Puertollano</w:t>
            </w:r>
          </w:p>
        </w:tc>
        <w:tc>
          <w:tcPr>
            <w:tcW w:w="831" w:type="dxa"/>
          </w:tcPr>
          <w:p>
            <w:pPr>
              <w:pStyle w:val="TableParagraph"/>
              <w:rPr>
                <w:b/>
                <w:sz w:val="20"/>
              </w:rPr>
            </w:pPr>
          </w:p>
          <w:p>
            <w:pPr>
              <w:pStyle w:val="TableParagraph"/>
              <w:rPr>
                <w:b/>
                <w:sz w:val="25"/>
              </w:rPr>
            </w:pPr>
          </w:p>
          <w:p>
            <w:pPr>
              <w:pStyle w:val="TableParagraph"/>
              <w:ind w:left="355"/>
              <w:rPr>
                <w:sz w:val="20"/>
              </w:rPr>
            </w:pPr>
            <w:r>
              <w:rPr>
                <w:w w:val="99"/>
                <w:sz w:val="20"/>
              </w:rPr>
              <w:t>7</w:t>
            </w:r>
          </w:p>
        </w:tc>
        <w:tc>
          <w:tcPr>
            <w:tcW w:w="2564" w:type="dxa"/>
          </w:tcPr>
          <w:p>
            <w:pPr>
              <w:pStyle w:val="TableParagraph"/>
              <w:spacing w:before="57"/>
              <w:ind w:left="55" w:right="58"/>
              <w:jc w:val="center"/>
              <w:rPr>
                <w:sz w:val="20"/>
              </w:rPr>
            </w:pPr>
            <w:r>
              <w:rPr>
                <w:sz w:val="20"/>
              </w:rPr>
              <w:t>Urena, JM; Menendez, JM; Guirao, B; Escobedo, F; Rodriguez, FJ; Coronado, JM; Ribalaygua, C; Rivas,</w:t>
            </w:r>
          </w:p>
          <w:p>
            <w:pPr>
              <w:pStyle w:val="TableParagraph"/>
              <w:spacing w:line="228" w:lineRule="exact"/>
              <w:ind w:left="453" w:right="113"/>
              <w:rPr>
                <w:sz w:val="20"/>
              </w:rPr>
            </w:pPr>
            <w:r>
              <w:rPr>
                <w:sz w:val="20"/>
              </w:rPr>
              <w:t>A; Martinez, A</w:t>
            </w:r>
          </w:p>
        </w:tc>
        <w:tc>
          <w:tcPr>
            <w:tcW w:w="1106" w:type="dxa"/>
          </w:tcPr>
          <w:p>
            <w:pPr>
              <w:pStyle w:val="TableParagraph"/>
              <w:rPr>
                <w:b/>
                <w:sz w:val="20"/>
              </w:rPr>
            </w:pPr>
          </w:p>
          <w:p>
            <w:pPr>
              <w:pStyle w:val="TableParagraph"/>
              <w:rPr>
                <w:b/>
                <w:sz w:val="25"/>
              </w:rPr>
            </w:pPr>
          </w:p>
          <w:p>
            <w:pPr>
              <w:pStyle w:val="TableParagraph"/>
              <w:ind w:left="387" w:right="391"/>
              <w:jc w:val="center"/>
              <w:rPr>
                <w:sz w:val="20"/>
              </w:rPr>
            </w:pPr>
            <w:r>
              <w:rPr>
                <w:sz w:val="20"/>
              </w:rPr>
              <w:t>1.6</w:t>
            </w:r>
          </w:p>
        </w:tc>
      </w:tr>
      <w:tr>
        <w:trPr>
          <w:trHeight w:val="326" w:hRule="exact"/>
        </w:trPr>
        <w:tc>
          <w:tcPr>
            <w:tcW w:w="646" w:type="dxa"/>
          </w:tcPr>
          <w:p>
            <w:pPr>
              <w:pStyle w:val="TableParagraph"/>
              <w:spacing w:before="38"/>
              <w:ind w:left="186" w:right="186"/>
              <w:jc w:val="center"/>
              <w:rPr>
                <w:b/>
                <w:sz w:val="20"/>
              </w:rPr>
            </w:pPr>
            <w:r>
              <w:rPr>
                <w:b/>
                <w:sz w:val="20"/>
              </w:rPr>
              <w:t>14</w:t>
            </w:r>
          </w:p>
        </w:tc>
        <w:tc>
          <w:tcPr>
            <w:tcW w:w="3745" w:type="dxa"/>
          </w:tcPr>
          <w:p>
            <w:pPr>
              <w:pStyle w:val="TableParagraph"/>
              <w:spacing w:before="40"/>
              <w:ind w:left="64" w:right="69"/>
              <w:rPr>
                <w:sz w:val="20"/>
              </w:rPr>
            </w:pPr>
            <w:r>
              <w:rPr>
                <w:sz w:val="20"/>
              </w:rPr>
              <w:t>Locating cities on global circuits</w:t>
            </w:r>
          </w:p>
        </w:tc>
        <w:tc>
          <w:tcPr>
            <w:tcW w:w="831" w:type="dxa"/>
          </w:tcPr>
          <w:p>
            <w:pPr>
              <w:pStyle w:val="TableParagraph"/>
              <w:spacing w:before="40"/>
              <w:ind w:left="355"/>
              <w:rPr>
                <w:sz w:val="20"/>
              </w:rPr>
            </w:pPr>
            <w:r>
              <w:rPr>
                <w:w w:val="99"/>
                <w:sz w:val="20"/>
              </w:rPr>
              <w:t>7</w:t>
            </w:r>
          </w:p>
        </w:tc>
        <w:tc>
          <w:tcPr>
            <w:tcW w:w="2564" w:type="dxa"/>
          </w:tcPr>
          <w:p>
            <w:pPr>
              <w:pStyle w:val="TableParagraph"/>
              <w:spacing w:before="40"/>
              <w:ind w:left="55" w:right="55"/>
              <w:jc w:val="center"/>
              <w:rPr>
                <w:sz w:val="20"/>
              </w:rPr>
            </w:pPr>
            <w:r>
              <w:rPr>
                <w:sz w:val="20"/>
              </w:rPr>
              <w:t>Sassen, S</w:t>
            </w:r>
          </w:p>
        </w:tc>
        <w:tc>
          <w:tcPr>
            <w:tcW w:w="1106" w:type="dxa"/>
          </w:tcPr>
          <w:p>
            <w:pPr>
              <w:pStyle w:val="TableParagraph"/>
              <w:spacing w:before="40"/>
              <w:ind w:left="387" w:right="391"/>
              <w:jc w:val="center"/>
              <w:rPr>
                <w:sz w:val="20"/>
              </w:rPr>
            </w:pPr>
            <w:r>
              <w:rPr>
                <w:sz w:val="20"/>
              </w:rPr>
              <w:t>1.6</w:t>
            </w:r>
          </w:p>
        </w:tc>
      </w:tr>
    </w:tbl>
    <w:p>
      <w:pPr>
        <w:spacing w:after="0"/>
        <w:jc w:val="center"/>
        <w:rPr>
          <w:sz w:val="20"/>
        </w:rPr>
        <w:sectPr>
          <w:type w:val="continuous"/>
          <w:pgSz w:w="12240" w:h="15840"/>
          <w:pgMar w:top="1360" w:bottom="0" w:left="1580" w:right="154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6"/>
        <w:gridCol w:w="3745"/>
        <w:gridCol w:w="831"/>
        <w:gridCol w:w="2564"/>
        <w:gridCol w:w="1106"/>
      </w:tblGrid>
      <w:tr>
        <w:trPr>
          <w:trHeight w:val="957" w:hRule="exact"/>
        </w:trPr>
        <w:tc>
          <w:tcPr>
            <w:tcW w:w="646" w:type="dxa"/>
            <w:shd w:val="clear" w:color="auto" w:fill="538DD3"/>
          </w:tcPr>
          <w:p>
            <w:pPr/>
          </w:p>
        </w:tc>
        <w:tc>
          <w:tcPr>
            <w:tcW w:w="3745" w:type="dxa"/>
            <w:shd w:val="clear" w:color="auto" w:fill="538DD3"/>
          </w:tcPr>
          <w:p>
            <w:pPr>
              <w:pStyle w:val="TableParagraph"/>
              <w:rPr>
                <w:b/>
                <w:sz w:val="20"/>
              </w:rPr>
            </w:pPr>
          </w:p>
          <w:p>
            <w:pPr>
              <w:pStyle w:val="TableParagraph"/>
              <w:spacing w:before="121"/>
              <w:ind w:left="1467" w:right="1471"/>
              <w:jc w:val="center"/>
              <w:rPr>
                <w:b/>
                <w:sz w:val="20"/>
              </w:rPr>
            </w:pPr>
            <w:r>
              <w:rPr>
                <w:b/>
                <w:color w:val="FFFFFF"/>
                <w:sz w:val="20"/>
              </w:rPr>
              <w:t>Artículo</w:t>
            </w:r>
          </w:p>
        </w:tc>
        <w:tc>
          <w:tcPr>
            <w:tcW w:w="831" w:type="dxa"/>
            <w:shd w:val="clear" w:color="auto" w:fill="538DD3"/>
          </w:tcPr>
          <w:p>
            <w:pPr>
              <w:pStyle w:val="TableParagraph"/>
              <w:spacing w:before="6"/>
              <w:rPr>
                <w:b/>
                <w:sz w:val="20"/>
              </w:rPr>
            </w:pPr>
          </w:p>
          <w:p>
            <w:pPr>
              <w:pStyle w:val="TableParagraph"/>
              <w:ind w:left="182" w:right="153" w:hanging="12"/>
              <w:rPr>
                <w:b/>
                <w:sz w:val="20"/>
              </w:rPr>
            </w:pPr>
            <w:r>
              <w:rPr>
                <w:b/>
                <w:color w:val="FFFFFF"/>
                <w:sz w:val="20"/>
              </w:rPr>
              <w:t>Total citas</w:t>
            </w:r>
          </w:p>
        </w:tc>
        <w:tc>
          <w:tcPr>
            <w:tcW w:w="2564" w:type="dxa"/>
            <w:shd w:val="clear" w:color="auto" w:fill="538DD3"/>
          </w:tcPr>
          <w:p>
            <w:pPr>
              <w:pStyle w:val="TableParagraph"/>
              <w:rPr>
                <w:b/>
                <w:sz w:val="20"/>
              </w:rPr>
            </w:pPr>
          </w:p>
          <w:p>
            <w:pPr>
              <w:pStyle w:val="TableParagraph"/>
              <w:spacing w:before="121"/>
              <w:ind w:left="55" w:right="59"/>
              <w:jc w:val="center"/>
              <w:rPr>
                <w:b/>
                <w:sz w:val="20"/>
              </w:rPr>
            </w:pPr>
            <w:r>
              <w:rPr>
                <w:b/>
                <w:color w:val="FFFFFF"/>
                <w:sz w:val="20"/>
              </w:rPr>
              <w:t>Autor primario</w:t>
            </w:r>
          </w:p>
        </w:tc>
        <w:tc>
          <w:tcPr>
            <w:tcW w:w="1106" w:type="dxa"/>
            <w:shd w:val="clear" w:color="auto" w:fill="538DD3"/>
          </w:tcPr>
          <w:p>
            <w:pPr>
              <w:pStyle w:val="TableParagraph"/>
              <w:spacing w:before="121"/>
              <w:ind w:left="191" w:right="193" w:firstLine="3"/>
              <w:jc w:val="center"/>
              <w:rPr>
                <w:b/>
                <w:sz w:val="20"/>
              </w:rPr>
            </w:pPr>
            <w:r>
              <w:rPr>
                <w:b/>
                <w:color w:val="FFFFFF"/>
                <w:sz w:val="20"/>
              </w:rPr>
              <w:t>% del total de citas</w:t>
            </w:r>
          </w:p>
        </w:tc>
      </w:tr>
      <w:tr>
        <w:trPr>
          <w:trHeight w:val="912" w:hRule="exact"/>
        </w:trPr>
        <w:tc>
          <w:tcPr>
            <w:tcW w:w="646" w:type="dxa"/>
          </w:tcPr>
          <w:p>
            <w:pPr>
              <w:pStyle w:val="TableParagraph"/>
              <w:spacing w:before="6"/>
              <w:rPr>
                <w:b/>
                <w:sz w:val="28"/>
              </w:rPr>
            </w:pPr>
          </w:p>
          <w:p>
            <w:pPr>
              <w:pStyle w:val="TableParagraph"/>
              <w:ind w:left="186" w:right="186"/>
              <w:jc w:val="center"/>
              <w:rPr>
                <w:b/>
                <w:sz w:val="20"/>
              </w:rPr>
            </w:pPr>
            <w:r>
              <w:rPr>
                <w:b/>
                <w:sz w:val="20"/>
              </w:rPr>
              <w:t>15</w:t>
            </w:r>
          </w:p>
        </w:tc>
        <w:tc>
          <w:tcPr>
            <w:tcW w:w="3745" w:type="dxa"/>
          </w:tcPr>
          <w:p>
            <w:pPr>
              <w:pStyle w:val="TableParagraph"/>
              <w:spacing w:before="100"/>
              <w:ind w:left="64" w:right="173"/>
              <w:rPr>
                <w:sz w:val="20"/>
              </w:rPr>
            </w:pPr>
            <w:r>
              <w:rPr>
                <w:sz w:val="20"/>
              </w:rPr>
              <w:t>The formation of the global city and the re-scaling of the State's space in post- fordist Western Europe</w:t>
            </w:r>
          </w:p>
        </w:tc>
        <w:tc>
          <w:tcPr>
            <w:tcW w:w="831" w:type="dxa"/>
          </w:tcPr>
          <w:p>
            <w:pPr>
              <w:pStyle w:val="TableParagraph"/>
              <w:spacing w:before="8"/>
              <w:rPr>
                <w:b/>
                <w:sz w:val="28"/>
              </w:rPr>
            </w:pPr>
          </w:p>
          <w:p>
            <w:pPr>
              <w:pStyle w:val="TableParagraph"/>
              <w:jc w:val="center"/>
              <w:rPr>
                <w:sz w:val="20"/>
              </w:rPr>
            </w:pPr>
            <w:r>
              <w:rPr>
                <w:w w:val="99"/>
                <w:sz w:val="20"/>
              </w:rPr>
              <w:t>7</w:t>
            </w:r>
          </w:p>
        </w:tc>
        <w:tc>
          <w:tcPr>
            <w:tcW w:w="2564" w:type="dxa"/>
          </w:tcPr>
          <w:p>
            <w:pPr>
              <w:pStyle w:val="TableParagraph"/>
              <w:spacing w:before="8"/>
              <w:rPr>
                <w:b/>
                <w:sz w:val="28"/>
              </w:rPr>
            </w:pPr>
          </w:p>
          <w:p>
            <w:pPr>
              <w:pStyle w:val="TableParagraph"/>
              <w:ind w:left="55" w:right="59"/>
              <w:jc w:val="center"/>
              <w:rPr>
                <w:sz w:val="20"/>
              </w:rPr>
            </w:pPr>
            <w:r>
              <w:rPr>
                <w:sz w:val="20"/>
              </w:rPr>
              <w:t>Brenner, N</w:t>
            </w:r>
          </w:p>
        </w:tc>
        <w:tc>
          <w:tcPr>
            <w:tcW w:w="1106" w:type="dxa"/>
          </w:tcPr>
          <w:p>
            <w:pPr>
              <w:pStyle w:val="TableParagraph"/>
              <w:spacing w:before="8"/>
              <w:rPr>
                <w:b/>
                <w:sz w:val="28"/>
              </w:rPr>
            </w:pPr>
          </w:p>
          <w:p>
            <w:pPr>
              <w:pStyle w:val="TableParagraph"/>
              <w:ind w:left="407"/>
              <w:rPr>
                <w:sz w:val="20"/>
              </w:rPr>
            </w:pPr>
            <w:r>
              <w:rPr>
                <w:sz w:val="20"/>
              </w:rPr>
              <w:t>1.6</w:t>
            </w:r>
          </w:p>
        </w:tc>
      </w:tr>
      <w:tr>
        <w:trPr>
          <w:trHeight w:val="545" w:hRule="exact"/>
        </w:trPr>
        <w:tc>
          <w:tcPr>
            <w:tcW w:w="646" w:type="dxa"/>
          </w:tcPr>
          <w:p>
            <w:pPr>
              <w:pStyle w:val="TableParagraph"/>
              <w:spacing w:before="143"/>
              <w:ind w:left="186" w:right="186"/>
              <w:jc w:val="center"/>
              <w:rPr>
                <w:b/>
                <w:sz w:val="20"/>
              </w:rPr>
            </w:pPr>
            <w:r>
              <w:rPr>
                <w:b/>
                <w:sz w:val="20"/>
              </w:rPr>
              <w:t>16</w:t>
            </w:r>
          </w:p>
        </w:tc>
        <w:tc>
          <w:tcPr>
            <w:tcW w:w="3745" w:type="dxa"/>
          </w:tcPr>
          <w:p>
            <w:pPr>
              <w:pStyle w:val="TableParagraph"/>
              <w:spacing w:before="32"/>
              <w:ind w:left="64" w:right="69"/>
              <w:rPr>
                <w:sz w:val="20"/>
              </w:rPr>
            </w:pPr>
            <w:r>
              <w:rPr>
                <w:sz w:val="20"/>
              </w:rPr>
              <w:t>Metropolitan dimension of globalization: Lima at the end of the 20(th) century</w:t>
            </w:r>
          </w:p>
        </w:tc>
        <w:tc>
          <w:tcPr>
            <w:tcW w:w="831" w:type="dxa"/>
          </w:tcPr>
          <w:p>
            <w:pPr>
              <w:pStyle w:val="TableParagraph"/>
              <w:spacing w:before="145"/>
              <w:jc w:val="center"/>
              <w:rPr>
                <w:sz w:val="20"/>
              </w:rPr>
            </w:pPr>
            <w:r>
              <w:rPr>
                <w:w w:val="99"/>
                <w:sz w:val="20"/>
              </w:rPr>
              <w:t>7</w:t>
            </w:r>
          </w:p>
        </w:tc>
        <w:tc>
          <w:tcPr>
            <w:tcW w:w="2564" w:type="dxa"/>
          </w:tcPr>
          <w:p>
            <w:pPr>
              <w:pStyle w:val="TableParagraph"/>
              <w:spacing w:before="145"/>
              <w:ind w:left="55" w:right="58"/>
              <w:jc w:val="center"/>
              <w:rPr>
                <w:sz w:val="20"/>
              </w:rPr>
            </w:pPr>
            <w:r>
              <w:rPr>
                <w:sz w:val="20"/>
              </w:rPr>
              <w:t>Chion, M</w:t>
            </w:r>
          </w:p>
        </w:tc>
        <w:tc>
          <w:tcPr>
            <w:tcW w:w="1106" w:type="dxa"/>
          </w:tcPr>
          <w:p>
            <w:pPr>
              <w:pStyle w:val="TableParagraph"/>
              <w:spacing w:before="145"/>
              <w:ind w:left="407"/>
              <w:rPr>
                <w:sz w:val="20"/>
              </w:rPr>
            </w:pPr>
            <w:r>
              <w:rPr>
                <w:sz w:val="20"/>
              </w:rPr>
              <w:t>1.6</w:t>
            </w:r>
          </w:p>
        </w:tc>
      </w:tr>
      <w:tr>
        <w:trPr>
          <w:trHeight w:val="850" w:hRule="exact"/>
        </w:trPr>
        <w:tc>
          <w:tcPr>
            <w:tcW w:w="646" w:type="dxa"/>
          </w:tcPr>
          <w:p>
            <w:pPr>
              <w:pStyle w:val="TableParagraph"/>
              <w:spacing w:before="9"/>
              <w:rPr>
                <w:b/>
                <w:sz w:val="25"/>
              </w:rPr>
            </w:pPr>
          </w:p>
          <w:p>
            <w:pPr>
              <w:pStyle w:val="TableParagraph"/>
              <w:ind w:left="186" w:right="186"/>
              <w:jc w:val="center"/>
              <w:rPr>
                <w:b/>
                <w:sz w:val="20"/>
              </w:rPr>
            </w:pPr>
            <w:r>
              <w:rPr>
                <w:b/>
                <w:sz w:val="20"/>
              </w:rPr>
              <w:t>17</w:t>
            </w:r>
          </w:p>
        </w:tc>
        <w:tc>
          <w:tcPr>
            <w:tcW w:w="3745" w:type="dxa"/>
          </w:tcPr>
          <w:p>
            <w:pPr>
              <w:pStyle w:val="TableParagraph"/>
              <w:spacing w:before="68"/>
              <w:ind w:left="64" w:right="69"/>
              <w:rPr>
                <w:sz w:val="20"/>
              </w:rPr>
            </w:pPr>
            <w:r>
              <w:rPr>
                <w:sz w:val="20"/>
              </w:rPr>
              <w:t>Urban sprawl and new challenges for (metropolitan) governance in Latin America: the case of Santiago de Chile</w:t>
            </w:r>
          </w:p>
        </w:tc>
        <w:tc>
          <w:tcPr>
            <w:tcW w:w="831" w:type="dxa"/>
          </w:tcPr>
          <w:p>
            <w:pPr>
              <w:pStyle w:val="TableParagraph"/>
              <w:rPr>
                <w:b/>
                <w:sz w:val="26"/>
              </w:rPr>
            </w:pPr>
          </w:p>
          <w:p>
            <w:pPr>
              <w:pStyle w:val="TableParagraph"/>
              <w:jc w:val="center"/>
              <w:rPr>
                <w:sz w:val="20"/>
              </w:rPr>
            </w:pPr>
            <w:r>
              <w:rPr>
                <w:w w:val="99"/>
                <w:sz w:val="20"/>
              </w:rPr>
              <w:t>6</w:t>
            </w:r>
          </w:p>
        </w:tc>
        <w:tc>
          <w:tcPr>
            <w:tcW w:w="2564" w:type="dxa"/>
          </w:tcPr>
          <w:p>
            <w:pPr>
              <w:pStyle w:val="TableParagraph"/>
              <w:spacing w:before="11"/>
              <w:rPr>
                <w:b/>
                <w:sz w:val="15"/>
              </w:rPr>
            </w:pPr>
          </w:p>
          <w:p>
            <w:pPr>
              <w:pStyle w:val="TableParagraph"/>
              <w:ind w:left="770" w:right="229" w:hanging="521"/>
              <w:rPr>
                <w:sz w:val="20"/>
              </w:rPr>
            </w:pPr>
            <w:r>
              <w:rPr>
                <w:sz w:val="20"/>
              </w:rPr>
              <w:t>Heinrichs, D; Nuissl, H; Seeger, C</w:t>
            </w:r>
          </w:p>
        </w:tc>
        <w:tc>
          <w:tcPr>
            <w:tcW w:w="1106" w:type="dxa"/>
          </w:tcPr>
          <w:p>
            <w:pPr>
              <w:pStyle w:val="TableParagraph"/>
              <w:rPr>
                <w:b/>
                <w:sz w:val="26"/>
              </w:rPr>
            </w:pPr>
          </w:p>
          <w:p>
            <w:pPr>
              <w:pStyle w:val="TableParagraph"/>
              <w:ind w:left="407"/>
              <w:rPr>
                <w:sz w:val="20"/>
              </w:rPr>
            </w:pPr>
            <w:r>
              <w:rPr>
                <w:sz w:val="20"/>
              </w:rPr>
              <w:t>1.3</w:t>
            </w:r>
          </w:p>
        </w:tc>
      </w:tr>
      <w:tr>
        <w:trPr>
          <w:trHeight w:val="709" w:hRule="exact"/>
        </w:trPr>
        <w:tc>
          <w:tcPr>
            <w:tcW w:w="646" w:type="dxa"/>
          </w:tcPr>
          <w:p>
            <w:pPr>
              <w:pStyle w:val="TableParagraph"/>
              <w:spacing w:before="9"/>
              <w:rPr>
                <w:b/>
                <w:sz w:val="19"/>
              </w:rPr>
            </w:pPr>
          </w:p>
          <w:p>
            <w:pPr>
              <w:pStyle w:val="TableParagraph"/>
              <w:ind w:left="186" w:right="186"/>
              <w:jc w:val="center"/>
              <w:rPr>
                <w:b/>
                <w:sz w:val="20"/>
              </w:rPr>
            </w:pPr>
            <w:r>
              <w:rPr>
                <w:b/>
                <w:sz w:val="20"/>
              </w:rPr>
              <w:t>18</w:t>
            </w:r>
          </w:p>
        </w:tc>
        <w:tc>
          <w:tcPr>
            <w:tcW w:w="3745" w:type="dxa"/>
          </w:tcPr>
          <w:p>
            <w:pPr>
              <w:pStyle w:val="TableParagraph"/>
              <w:spacing w:before="115"/>
              <w:ind w:left="64" w:right="293"/>
              <w:rPr>
                <w:sz w:val="20"/>
              </w:rPr>
            </w:pPr>
            <w:r>
              <w:rPr>
                <w:sz w:val="20"/>
              </w:rPr>
              <w:t>Regional commutation in Chile and its impact on the Region of Antofagasta</w:t>
            </w:r>
          </w:p>
        </w:tc>
        <w:tc>
          <w:tcPr>
            <w:tcW w:w="831" w:type="dxa"/>
          </w:tcPr>
          <w:p>
            <w:pPr>
              <w:pStyle w:val="TableParagraph"/>
              <w:rPr>
                <w:b/>
                <w:sz w:val="20"/>
              </w:rPr>
            </w:pPr>
          </w:p>
          <w:p>
            <w:pPr>
              <w:pStyle w:val="TableParagraph"/>
              <w:jc w:val="center"/>
              <w:rPr>
                <w:sz w:val="20"/>
              </w:rPr>
            </w:pPr>
            <w:r>
              <w:rPr>
                <w:w w:val="99"/>
                <w:sz w:val="20"/>
              </w:rPr>
              <w:t>6</w:t>
            </w:r>
          </w:p>
        </w:tc>
        <w:tc>
          <w:tcPr>
            <w:tcW w:w="2564" w:type="dxa"/>
          </w:tcPr>
          <w:p>
            <w:pPr>
              <w:pStyle w:val="TableParagraph"/>
              <w:rPr>
                <w:b/>
                <w:sz w:val="20"/>
              </w:rPr>
            </w:pPr>
          </w:p>
          <w:p>
            <w:pPr>
              <w:pStyle w:val="TableParagraph"/>
              <w:ind w:left="55" w:right="114"/>
              <w:jc w:val="center"/>
              <w:rPr>
                <w:sz w:val="20"/>
              </w:rPr>
            </w:pPr>
            <w:r>
              <w:rPr>
                <w:sz w:val="20"/>
              </w:rPr>
              <w:t>Aroca, P; Atienza, M</w:t>
            </w:r>
          </w:p>
        </w:tc>
        <w:tc>
          <w:tcPr>
            <w:tcW w:w="1106" w:type="dxa"/>
          </w:tcPr>
          <w:p>
            <w:pPr>
              <w:pStyle w:val="TableParagraph"/>
              <w:rPr>
                <w:b/>
                <w:sz w:val="20"/>
              </w:rPr>
            </w:pPr>
          </w:p>
          <w:p>
            <w:pPr>
              <w:pStyle w:val="TableParagraph"/>
              <w:ind w:left="407"/>
              <w:rPr>
                <w:sz w:val="20"/>
              </w:rPr>
            </w:pPr>
            <w:r>
              <w:rPr>
                <w:sz w:val="20"/>
              </w:rPr>
              <w:t>1.3</w:t>
            </w:r>
          </w:p>
        </w:tc>
      </w:tr>
      <w:tr>
        <w:trPr>
          <w:trHeight w:val="1212" w:hRule="exact"/>
        </w:trPr>
        <w:tc>
          <w:tcPr>
            <w:tcW w:w="646" w:type="dxa"/>
          </w:tcPr>
          <w:p>
            <w:pPr>
              <w:pStyle w:val="TableParagraph"/>
              <w:rPr>
                <w:b/>
                <w:sz w:val="20"/>
              </w:rPr>
            </w:pPr>
          </w:p>
          <w:p>
            <w:pPr>
              <w:pStyle w:val="TableParagraph"/>
              <w:spacing w:before="7"/>
              <w:rPr>
                <w:b/>
                <w:sz w:val="21"/>
              </w:rPr>
            </w:pPr>
          </w:p>
          <w:p>
            <w:pPr>
              <w:pStyle w:val="TableParagraph"/>
              <w:ind w:left="186" w:right="186"/>
              <w:jc w:val="center"/>
              <w:rPr>
                <w:b/>
                <w:sz w:val="20"/>
              </w:rPr>
            </w:pPr>
            <w:r>
              <w:rPr>
                <w:b/>
                <w:sz w:val="20"/>
              </w:rPr>
              <w:t>19</w:t>
            </w:r>
          </w:p>
        </w:tc>
        <w:tc>
          <w:tcPr>
            <w:tcW w:w="3745" w:type="dxa"/>
          </w:tcPr>
          <w:p>
            <w:pPr>
              <w:pStyle w:val="TableParagraph"/>
              <w:spacing w:before="9"/>
              <w:rPr>
                <w:b/>
                <w:sz w:val="21"/>
              </w:rPr>
            </w:pPr>
          </w:p>
          <w:p>
            <w:pPr>
              <w:pStyle w:val="TableParagraph"/>
              <w:ind w:left="64" w:right="193"/>
              <w:rPr>
                <w:sz w:val="20"/>
              </w:rPr>
            </w:pPr>
            <w:r>
              <w:rPr>
                <w:sz w:val="20"/>
              </w:rPr>
              <w:t>The repositioning of urban cities and urban regions in a global economy: pushing policy and governance options</w:t>
            </w:r>
          </w:p>
        </w:tc>
        <w:tc>
          <w:tcPr>
            <w:tcW w:w="831" w:type="dxa"/>
          </w:tcPr>
          <w:p>
            <w:pPr>
              <w:pStyle w:val="TableParagraph"/>
              <w:rPr>
                <w:b/>
                <w:sz w:val="20"/>
              </w:rPr>
            </w:pPr>
          </w:p>
          <w:p>
            <w:pPr>
              <w:pStyle w:val="TableParagraph"/>
              <w:spacing w:before="10"/>
              <w:rPr>
                <w:b/>
                <w:sz w:val="21"/>
              </w:rPr>
            </w:pPr>
          </w:p>
          <w:p>
            <w:pPr>
              <w:pStyle w:val="TableParagraph"/>
              <w:jc w:val="center"/>
              <w:rPr>
                <w:sz w:val="20"/>
              </w:rPr>
            </w:pPr>
            <w:r>
              <w:rPr>
                <w:w w:val="99"/>
                <w:sz w:val="20"/>
              </w:rPr>
              <w:t>6</w:t>
            </w:r>
          </w:p>
        </w:tc>
        <w:tc>
          <w:tcPr>
            <w:tcW w:w="2564" w:type="dxa"/>
          </w:tcPr>
          <w:p>
            <w:pPr>
              <w:pStyle w:val="TableParagraph"/>
              <w:rPr>
                <w:b/>
                <w:sz w:val="20"/>
              </w:rPr>
            </w:pPr>
          </w:p>
          <w:p>
            <w:pPr>
              <w:pStyle w:val="TableParagraph"/>
              <w:spacing w:before="10"/>
              <w:rPr>
                <w:b/>
                <w:sz w:val="21"/>
              </w:rPr>
            </w:pPr>
          </w:p>
          <w:p>
            <w:pPr>
              <w:pStyle w:val="TableParagraph"/>
              <w:ind w:left="55" w:right="55"/>
              <w:jc w:val="center"/>
              <w:rPr>
                <w:sz w:val="20"/>
              </w:rPr>
            </w:pPr>
            <w:r>
              <w:rPr>
                <w:sz w:val="20"/>
              </w:rPr>
              <w:t>Sassen, S</w:t>
            </w:r>
          </w:p>
        </w:tc>
        <w:tc>
          <w:tcPr>
            <w:tcW w:w="1106" w:type="dxa"/>
          </w:tcPr>
          <w:p>
            <w:pPr>
              <w:pStyle w:val="TableParagraph"/>
              <w:rPr>
                <w:b/>
                <w:sz w:val="20"/>
              </w:rPr>
            </w:pPr>
          </w:p>
          <w:p>
            <w:pPr>
              <w:pStyle w:val="TableParagraph"/>
              <w:spacing w:before="10"/>
              <w:rPr>
                <w:b/>
                <w:sz w:val="21"/>
              </w:rPr>
            </w:pPr>
          </w:p>
          <w:p>
            <w:pPr>
              <w:pStyle w:val="TableParagraph"/>
              <w:ind w:left="407"/>
              <w:rPr>
                <w:sz w:val="20"/>
              </w:rPr>
            </w:pPr>
            <w:r>
              <w:rPr>
                <w:sz w:val="20"/>
              </w:rPr>
              <w:t>1.3</w:t>
            </w:r>
          </w:p>
        </w:tc>
      </w:tr>
      <w:tr>
        <w:trPr>
          <w:trHeight w:val="912" w:hRule="exact"/>
        </w:trPr>
        <w:tc>
          <w:tcPr>
            <w:tcW w:w="646" w:type="dxa"/>
          </w:tcPr>
          <w:p>
            <w:pPr>
              <w:pStyle w:val="TableParagraph"/>
              <w:spacing w:before="6"/>
              <w:rPr>
                <w:b/>
                <w:sz w:val="28"/>
              </w:rPr>
            </w:pPr>
          </w:p>
          <w:p>
            <w:pPr>
              <w:pStyle w:val="TableParagraph"/>
              <w:ind w:left="186" w:right="186"/>
              <w:jc w:val="center"/>
              <w:rPr>
                <w:b/>
                <w:sz w:val="20"/>
              </w:rPr>
            </w:pPr>
            <w:r>
              <w:rPr>
                <w:b/>
                <w:sz w:val="20"/>
              </w:rPr>
              <w:t>20</w:t>
            </w:r>
          </w:p>
        </w:tc>
        <w:tc>
          <w:tcPr>
            <w:tcW w:w="3745" w:type="dxa"/>
          </w:tcPr>
          <w:p>
            <w:pPr>
              <w:pStyle w:val="TableParagraph"/>
              <w:spacing w:before="100"/>
              <w:ind w:left="64" w:right="69"/>
              <w:rPr>
                <w:sz w:val="20"/>
              </w:rPr>
            </w:pPr>
            <w:r>
              <w:rPr>
                <w:sz w:val="20"/>
              </w:rPr>
              <w:t>Synthetic indicators of environmental quality: a general model for great urban zones</w:t>
            </w:r>
          </w:p>
        </w:tc>
        <w:tc>
          <w:tcPr>
            <w:tcW w:w="831" w:type="dxa"/>
          </w:tcPr>
          <w:p>
            <w:pPr>
              <w:pStyle w:val="TableParagraph"/>
              <w:spacing w:before="8"/>
              <w:rPr>
                <w:b/>
                <w:sz w:val="28"/>
              </w:rPr>
            </w:pPr>
          </w:p>
          <w:p>
            <w:pPr>
              <w:pStyle w:val="TableParagraph"/>
              <w:jc w:val="center"/>
              <w:rPr>
                <w:sz w:val="20"/>
              </w:rPr>
            </w:pPr>
            <w:r>
              <w:rPr>
                <w:w w:val="99"/>
                <w:sz w:val="20"/>
              </w:rPr>
              <w:t>6</w:t>
            </w:r>
          </w:p>
        </w:tc>
        <w:tc>
          <w:tcPr>
            <w:tcW w:w="2564" w:type="dxa"/>
          </w:tcPr>
          <w:p>
            <w:pPr>
              <w:pStyle w:val="TableParagraph"/>
              <w:spacing w:before="8"/>
              <w:rPr>
                <w:b/>
                <w:sz w:val="28"/>
              </w:rPr>
            </w:pPr>
          </w:p>
          <w:p>
            <w:pPr>
              <w:pStyle w:val="TableParagraph"/>
              <w:ind w:left="55" w:right="56"/>
              <w:jc w:val="center"/>
              <w:rPr>
                <w:sz w:val="20"/>
              </w:rPr>
            </w:pPr>
            <w:r>
              <w:rPr>
                <w:sz w:val="20"/>
              </w:rPr>
              <w:t>Escobar, L</w:t>
            </w:r>
          </w:p>
        </w:tc>
        <w:tc>
          <w:tcPr>
            <w:tcW w:w="1106" w:type="dxa"/>
          </w:tcPr>
          <w:p>
            <w:pPr>
              <w:pStyle w:val="TableParagraph"/>
              <w:spacing w:before="8"/>
              <w:rPr>
                <w:b/>
                <w:sz w:val="28"/>
              </w:rPr>
            </w:pPr>
          </w:p>
          <w:p>
            <w:pPr>
              <w:pStyle w:val="TableParagraph"/>
              <w:ind w:left="407"/>
              <w:rPr>
                <w:sz w:val="20"/>
              </w:rPr>
            </w:pPr>
            <w:r>
              <w:rPr>
                <w:sz w:val="20"/>
              </w:rPr>
              <w:t>1.3</w:t>
            </w:r>
          </w:p>
        </w:tc>
      </w:tr>
      <w:tr>
        <w:trPr>
          <w:trHeight w:val="610" w:hRule="exact"/>
        </w:trPr>
        <w:tc>
          <w:tcPr>
            <w:tcW w:w="646" w:type="dxa"/>
          </w:tcPr>
          <w:p>
            <w:pPr>
              <w:pStyle w:val="TableParagraph"/>
              <w:spacing w:before="177"/>
              <w:ind w:left="186" w:right="186"/>
              <w:jc w:val="center"/>
              <w:rPr>
                <w:b/>
                <w:sz w:val="20"/>
              </w:rPr>
            </w:pPr>
            <w:r>
              <w:rPr>
                <w:b/>
                <w:sz w:val="20"/>
              </w:rPr>
              <w:t>21</w:t>
            </w:r>
          </w:p>
        </w:tc>
        <w:tc>
          <w:tcPr>
            <w:tcW w:w="3745" w:type="dxa"/>
          </w:tcPr>
          <w:p>
            <w:pPr>
              <w:pStyle w:val="TableParagraph"/>
              <w:spacing w:before="64"/>
              <w:ind w:left="64"/>
              <w:rPr>
                <w:sz w:val="20"/>
              </w:rPr>
            </w:pPr>
            <w:r>
              <w:rPr>
                <w:sz w:val="20"/>
              </w:rPr>
              <w:t>The trash war of Santiago: from the right to housing to the right to the city</w:t>
            </w:r>
          </w:p>
        </w:tc>
        <w:tc>
          <w:tcPr>
            <w:tcW w:w="831" w:type="dxa"/>
          </w:tcPr>
          <w:p>
            <w:pPr>
              <w:pStyle w:val="TableParagraph"/>
              <w:spacing w:before="179"/>
              <w:jc w:val="center"/>
              <w:rPr>
                <w:sz w:val="20"/>
              </w:rPr>
            </w:pPr>
            <w:r>
              <w:rPr>
                <w:w w:val="99"/>
                <w:sz w:val="20"/>
              </w:rPr>
              <w:t>6</w:t>
            </w:r>
          </w:p>
        </w:tc>
        <w:tc>
          <w:tcPr>
            <w:tcW w:w="2564" w:type="dxa"/>
          </w:tcPr>
          <w:p>
            <w:pPr>
              <w:pStyle w:val="TableParagraph"/>
              <w:spacing w:before="179"/>
              <w:ind w:left="55" w:right="111"/>
              <w:jc w:val="center"/>
              <w:rPr>
                <w:sz w:val="20"/>
              </w:rPr>
            </w:pPr>
            <w:r>
              <w:rPr>
                <w:sz w:val="20"/>
              </w:rPr>
              <w:t>Sabatini, F; Wormald, G</w:t>
            </w:r>
          </w:p>
        </w:tc>
        <w:tc>
          <w:tcPr>
            <w:tcW w:w="1106" w:type="dxa"/>
          </w:tcPr>
          <w:p>
            <w:pPr>
              <w:pStyle w:val="TableParagraph"/>
              <w:spacing w:before="179"/>
              <w:ind w:left="407"/>
              <w:rPr>
                <w:sz w:val="20"/>
              </w:rPr>
            </w:pPr>
            <w:r>
              <w:rPr>
                <w:sz w:val="20"/>
              </w:rPr>
              <w:t>1.3</w:t>
            </w:r>
          </w:p>
        </w:tc>
      </w:tr>
      <w:tr>
        <w:trPr>
          <w:trHeight w:val="612" w:hRule="exact"/>
        </w:trPr>
        <w:tc>
          <w:tcPr>
            <w:tcW w:w="646" w:type="dxa"/>
          </w:tcPr>
          <w:p>
            <w:pPr>
              <w:pStyle w:val="TableParagraph"/>
              <w:spacing w:before="179"/>
              <w:ind w:left="186" w:right="186"/>
              <w:jc w:val="center"/>
              <w:rPr>
                <w:b/>
                <w:sz w:val="20"/>
              </w:rPr>
            </w:pPr>
            <w:r>
              <w:rPr>
                <w:b/>
                <w:sz w:val="20"/>
              </w:rPr>
              <w:t>22</w:t>
            </w:r>
          </w:p>
        </w:tc>
        <w:tc>
          <w:tcPr>
            <w:tcW w:w="3745" w:type="dxa"/>
          </w:tcPr>
          <w:p>
            <w:pPr>
              <w:pStyle w:val="TableParagraph"/>
              <w:spacing w:before="66"/>
              <w:ind w:left="64" w:right="69"/>
              <w:rPr>
                <w:sz w:val="20"/>
              </w:rPr>
            </w:pPr>
            <w:r>
              <w:rPr>
                <w:sz w:val="20"/>
              </w:rPr>
              <w:t>Urban tourism and the geography of the city</w:t>
            </w:r>
          </w:p>
        </w:tc>
        <w:tc>
          <w:tcPr>
            <w:tcW w:w="831" w:type="dxa"/>
          </w:tcPr>
          <w:p>
            <w:pPr>
              <w:pStyle w:val="TableParagraph"/>
              <w:spacing w:before="9"/>
              <w:rPr>
                <w:b/>
                <w:sz w:val="15"/>
              </w:rPr>
            </w:pPr>
          </w:p>
          <w:p>
            <w:pPr>
              <w:pStyle w:val="TableParagraph"/>
              <w:jc w:val="center"/>
              <w:rPr>
                <w:sz w:val="20"/>
              </w:rPr>
            </w:pPr>
            <w:r>
              <w:rPr>
                <w:w w:val="99"/>
                <w:sz w:val="20"/>
              </w:rPr>
              <w:t>6</w:t>
            </w:r>
          </w:p>
        </w:tc>
        <w:tc>
          <w:tcPr>
            <w:tcW w:w="2564" w:type="dxa"/>
          </w:tcPr>
          <w:p>
            <w:pPr>
              <w:pStyle w:val="TableParagraph"/>
              <w:spacing w:before="9"/>
              <w:rPr>
                <w:b/>
                <w:sz w:val="15"/>
              </w:rPr>
            </w:pPr>
          </w:p>
          <w:p>
            <w:pPr>
              <w:pStyle w:val="TableParagraph"/>
              <w:ind w:left="55" w:right="59"/>
              <w:jc w:val="center"/>
              <w:rPr>
                <w:sz w:val="20"/>
              </w:rPr>
            </w:pPr>
            <w:r>
              <w:rPr>
                <w:sz w:val="20"/>
              </w:rPr>
              <w:t>Judd, DR</w:t>
            </w:r>
          </w:p>
        </w:tc>
        <w:tc>
          <w:tcPr>
            <w:tcW w:w="1106" w:type="dxa"/>
          </w:tcPr>
          <w:p>
            <w:pPr>
              <w:pStyle w:val="TableParagraph"/>
              <w:spacing w:before="9"/>
              <w:rPr>
                <w:b/>
                <w:sz w:val="15"/>
              </w:rPr>
            </w:pPr>
          </w:p>
          <w:p>
            <w:pPr>
              <w:pStyle w:val="TableParagraph"/>
              <w:ind w:left="407"/>
              <w:rPr>
                <w:sz w:val="20"/>
              </w:rPr>
            </w:pPr>
            <w:r>
              <w:rPr>
                <w:sz w:val="20"/>
              </w:rPr>
              <w:t>1.3</w:t>
            </w:r>
          </w:p>
        </w:tc>
      </w:tr>
      <w:tr>
        <w:trPr>
          <w:trHeight w:val="910" w:hRule="exact"/>
        </w:trPr>
        <w:tc>
          <w:tcPr>
            <w:tcW w:w="646" w:type="dxa"/>
          </w:tcPr>
          <w:p>
            <w:pPr>
              <w:pStyle w:val="TableParagraph"/>
              <w:spacing w:before="6"/>
              <w:rPr>
                <w:b/>
                <w:sz w:val="28"/>
              </w:rPr>
            </w:pPr>
          </w:p>
          <w:p>
            <w:pPr>
              <w:pStyle w:val="TableParagraph"/>
              <w:ind w:left="186" w:right="186"/>
              <w:jc w:val="center"/>
              <w:rPr>
                <w:b/>
                <w:sz w:val="20"/>
              </w:rPr>
            </w:pPr>
            <w:r>
              <w:rPr>
                <w:b/>
                <w:sz w:val="20"/>
              </w:rPr>
              <w:t>23</w:t>
            </w:r>
          </w:p>
        </w:tc>
        <w:tc>
          <w:tcPr>
            <w:tcW w:w="3745" w:type="dxa"/>
          </w:tcPr>
          <w:p>
            <w:pPr>
              <w:pStyle w:val="TableParagraph"/>
              <w:spacing w:before="100"/>
              <w:ind w:left="64" w:right="69"/>
              <w:rPr>
                <w:sz w:val="20"/>
              </w:rPr>
            </w:pPr>
            <w:r>
              <w:rPr>
                <w:sz w:val="20"/>
              </w:rPr>
              <w:t>Metropolitan labor market and social inequalities in Great Santiago. A dual city?</w:t>
            </w:r>
          </w:p>
        </w:tc>
        <w:tc>
          <w:tcPr>
            <w:tcW w:w="831" w:type="dxa"/>
          </w:tcPr>
          <w:p>
            <w:pPr>
              <w:pStyle w:val="TableParagraph"/>
              <w:spacing w:before="8"/>
              <w:rPr>
                <w:b/>
                <w:sz w:val="28"/>
              </w:rPr>
            </w:pPr>
          </w:p>
          <w:p>
            <w:pPr>
              <w:pStyle w:val="TableParagraph"/>
              <w:jc w:val="center"/>
              <w:rPr>
                <w:sz w:val="20"/>
              </w:rPr>
            </w:pPr>
            <w:r>
              <w:rPr>
                <w:w w:val="99"/>
                <w:sz w:val="20"/>
              </w:rPr>
              <w:t>6</w:t>
            </w:r>
          </w:p>
        </w:tc>
        <w:tc>
          <w:tcPr>
            <w:tcW w:w="2564" w:type="dxa"/>
          </w:tcPr>
          <w:p>
            <w:pPr>
              <w:pStyle w:val="TableParagraph"/>
              <w:spacing w:before="8"/>
              <w:rPr>
                <w:b/>
                <w:sz w:val="28"/>
              </w:rPr>
            </w:pPr>
          </w:p>
          <w:p>
            <w:pPr>
              <w:pStyle w:val="TableParagraph"/>
              <w:ind w:left="55" w:right="56"/>
              <w:jc w:val="center"/>
              <w:rPr>
                <w:sz w:val="20"/>
              </w:rPr>
            </w:pPr>
            <w:r>
              <w:rPr>
                <w:sz w:val="20"/>
              </w:rPr>
              <w:t>de Mattos, CA</w:t>
            </w:r>
          </w:p>
        </w:tc>
        <w:tc>
          <w:tcPr>
            <w:tcW w:w="1106" w:type="dxa"/>
          </w:tcPr>
          <w:p>
            <w:pPr>
              <w:pStyle w:val="TableParagraph"/>
              <w:spacing w:before="8"/>
              <w:rPr>
                <w:b/>
                <w:sz w:val="28"/>
              </w:rPr>
            </w:pPr>
          </w:p>
          <w:p>
            <w:pPr>
              <w:pStyle w:val="TableParagraph"/>
              <w:ind w:left="407"/>
              <w:rPr>
                <w:sz w:val="20"/>
              </w:rPr>
            </w:pPr>
            <w:r>
              <w:rPr>
                <w:sz w:val="20"/>
              </w:rPr>
              <w:t>1.3</w:t>
            </w:r>
          </w:p>
        </w:tc>
      </w:tr>
      <w:tr>
        <w:trPr>
          <w:trHeight w:val="612" w:hRule="exact"/>
        </w:trPr>
        <w:tc>
          <w:tcPr>
            <w:tcW w:w="646" w:type="dxa"/>
          </w:tcPr>
          <w:p>
            <w:pPr>
              <w:pStyle w:val="TableParagraph"/>
              <w:spacing w:before="179"/>
              <w:ind w:left="186" w:right="186"/>
              <w:jc w:val="center"/>
              <w:rPr>
                <w:b/>
                <w:sz w:val="20"/>
              </w:rPr>
            </w:pPr>
            <w:r>
              <w:rPr>
                <w:b/>
                <w:sz w:val="20"/>
              </w:rPr>
              <w:t>24</w:t>
            </w:r>
          </w:p>
        </w:tc>
        <w:tc>
          <w:tcPr>
            <w:tcW w:w="3745" w:type="dxa"/>
          </w:tcPr>
          <w:p>
            <w:pPr>
              <w:pStyle w:val="TableParagraph"/>
              <w:spacing w:before="66"/>
              <w:ind w:left="64" w:right="338"/>
              <w:rPr>
                <w:sz w:val="20"/>
              </w:rPr>
            </w:pPr>
            <w:r>
              <w:rPr>
                <w:sz w:val="20"/>
              </w:rPr>
              <w:t>Buenos Aires in the 90's: metropolization and inequalities</w:t>
            </w:r>
          </w:p>
        </w:tc>
        <w:tc>
          <w:tcPr>
            <w:tcW w:w="831" w:type="dxa"/>
          </w:tcPr>
          <w:p>
            <w:pPr>
              <w:pStyle w:val="TableParagraph"/>
              <w:spacing w:before="9"/>
              <w:rPr>
                <w:b/>
                <w:sz w:val="15"/>
              </w:rPr>
            </w:pPr>
          </w:p>
          <w:p>
            <w:pPr>
              <w:pStyle w:val="TableParagraph"/>
              <w:jc w:val="center"/>
              <w:rPr>
                <w:sz w:val="20"/>
              </w:rPr>
            </w:pPr>
            <w:r>
              <w:rPr>
                <w:w w:val="99"/>
                <w:sz w:val="20"/>
              </w:rPr>
              <w:t>6</w:t>
            </w:r>
          </w:p>
        </w:tc>
        <w:tc>
          <w:tcPr>
            <w:tcW w:w="2564" w:type="dxa"/>
          </w:tcPr>
          <w:p>
            <w:pPr>
              <w:pStyle w:val="TableParagraph"/>
              <w:spacing w:before="9"/>
              <w:rPr>
                <w:b/>
                <w:sz w:val="15"/>
              </w:rPr>
            </w:pPr>
          </w:p>
          <w:p>
            <w:pPr>
              <w:pStyle w:val="TableParagraph"/>
              <w:ind w:left="55" w:right="58"/>
              <w:jc w:val="center"/>
              <w:rPr>
                <w:sz w:val="20"/>
              </w:rPr>
            </w:pPr>
            <w:r>
              <w:rPr>
                <w:sz w:val="20"/>
              </w:rPr>
              <w:t>Schapira, MFP</w:t>
            </w:r>
          </w:p>
        </w:tc>
        <w:tc>
          <w:tcPr>
            <w:tcW w:w="1106" w:type="dxa"/>
          </w:tcPr>
          <w:p>
            <w:pPr>
              <w:pStyle w:val="TableParagraph"/>
              <w:spacing w:before="9"/>
              <w:rPr>
                <w:b/>
                <w:sz w:val="15"/>
              </w:rPr>
            </w:pPr>
          </w:p>
          <w:p>
            <w:pPr>
              <w:pStyle w:val="TableParagraph"/>
              <w:ind w:left="407"/>
              <w:rPr>
                <w:sz w:val="20"/>
              </w:rPr>
            </w:pPr>
            <w:r>
              <w:rPr>
                <w:sz w:val="20"/>
              </w:rPr>
              <w:t>1.3</w:t>
            </w:r>
          </w:p>
        </w:tc>
      </w:tr>
      <w:tr>
        <w:trPr>
          <w:trHeight w:val="913" w:hRule="exact"/>
        </w:trPr>
        <w:tc>
          <w:tcPr>
            <w:tcW w:w="646" w:type="dxa"/>
          </w:tcPr>
          <w:p>
            <w:pPr>
              <w:pStyle w:val="TableParagraph"/>
              <w:spacing w:before="6"/>
              <w:rPr>
                <w:b/>
                <w:sz w:val="28"/>
              </w:rPr>
            </w:pPr>
          </w:p>
          <w:p>
            <w:pPr>
              <w:pStyle w:val="TableParagraph"/>
              <w:ind w:left="186" w:right="186"/>
              <w:jc w:val="center"/>
              <w:rPr>
                <w:b/>
                <w:sz w:val="20"/>
              </w:rPr>
            </w:pPr>
            <w:r>
              <w:rPr>
                <w:b/>
                <w:sz w:val="20"/>
              </w:rPr>
              <w:t>25</w:t>
            </w:r>
          </w:p>
        </w:tc>
        <w:tc>
          <w:tcPr>
            <w:tcW w:w="3745" w:type="dxa"/>
          </w:tcPr>
          <w:p>
            <w:pPr>
              <w:pStyle w:val="TableParagraph"/>
              <w:spacing w:before="100"/>
              <w:ind w:left="64" w:right="173"/>
              <w:rPr>
                <w:sz w:val="20"/>
              </w:rPr>
            </w:pPr>
            <w:r>
              <w:rPr>
                <w:sz w:val="20"/>
              </w:rPr>
              <w:t>Zoning and evaluation of the natural risks of geomorphologic type: a tool of urban planning in Concepcion city</w:t>
            </w:r>
          </w:p>
        </w:tc>
        <w:tc>
          <w:tcPr>
            <w:tcW w:w="831" w:type="dxa"/>
          </w:tcPr>
          <w:p>
            <w:pPr>
              <w:pStyle w:val="TableParagraph"/>
              <w:spacing w:before="8"/>
              <w:rPr>
                <w:b/>
                <w:sz w:val="28"/>
              </w:rPr>
            </w:pPr>
          </w:p>
          <w:p>
            <w:pPr>
              <w:pStyle w:val="TableParagraph"/>
              <w:jc w:val="center"/>
              <w:rPr>
                <w:sz w:val="20"/>
              </w:rPr>
            </w:pPr>
            <w:r>
              <w:rPr>
                <w:w w:val="99"/>
                <w:sz w:val="20"/>
              </w:rPr>
              <w:t>6</w:t>
            </w:r>
          </w:p>
        </w:tc>
        <w:tc>
          <w:tcPr>
            <w:tcW w:w="2564" w:type="dxa"/>
          </w:tcPr>
          <w:p>
            <w:pPr>
              <w:pStyle w:val="TableParagraph"/>
              <w:spacing w:before="8"/>
              <w:rPr>
                <w:b/>
                <w:sz w:val="28"/>
              </w:rPr>
            </w:pPr>
          </w:p>
          <w:p>
            <w:pPr>
              <w:pStyle w:val="TableParagraph"/>
              <w:ind w:left="55" w:right="56"/>
              <w:jc w:val="center"/>
              <w:rPr>
                <w:sz w:val="20"/>
              </w:rPr>
            </w:pPr>
            <w:r>
              <w:rPr>
                <w:sz w:val="20"/>
              </w:rPr>
              <w:t>Mardones, M y Vidal, C</w:t>
            </w:r>
          </w:p>
        </w:tc>
        <w:tc>
          <w:tcPr>
            <w:tcW w:w="1106" w:type="dxa"/>
          </w:tcPr>
          <w:p>
            <w:pPr>
              <w:pStyle w:val="TableParagraph"/>
              <w:spacing w:before="8"/>
              <w:rPr>
                <w:b/>
                <w:sz w:val="28"/>
              </w:rPr>
            </w:pPr>
          </w:p>
          <w:p>
            <w:pPr>
              <w:pStyle w:val="TableParagraph"/>
              <w:ind w:left="407"/>
              <w:rPr>
                <w:sz w:val="20"/>
              </w:rPr>
            </w:pPr>
            <w:r>
              <w:rPr>
                <w:sz w:val="20"/>
              </w:rPr>
              <w:t>1.3</w:t>
            </w:r>
          </w:p>
        </w:tc>
      </w:tr>
      <w:tr>
        <w:trPr>
          <w:trHeight w:val="325" w:hRule="exact"/>
        </w:trPr>
        <w:tc>
          <w:tcPr>
            <w:tcW w:w="7785" w:type="dxa"/>
            <w:gridSpan w:val="4"/>
            <w:shd w:val="clear" w:color="auto" w:fill="808080"/>
          </w:tcPr>
          <w:p>
            <w:pPr>
              <w:pStyle w:val="TableParagraph"/>
              <w:spacing w:before="80"/>
              <w:ind w:left="3645" w:right="3645"/>
              <w:jc w:val="center"/>
              <w:rPr>
                <w:sz w:val="20"/>
              </w:rPr>
            </w:pPr>
            <w:r>
              <w:rPr>
                <w:color w:val="FFFFFF"/>
                <w:sz w:val="20"/>
              </w:rPr>
              <w:t>Total</w:t>
            </w:r>
          </w:p>
        </w:tc>
        <w:tc>
          <w:tcPr>
            <w:tcW w:w="1106" w:type="dxa"/>
            <w:shd w:val="clear" w:color="auto" w:fill="808080"/>
          </w:tcPr>
          <w:p>
            <w:pPr>
              <w:pStyle w:val="TableParagraph"/>
              <w:spacing w:before="80"/>
              <w:ind w:left="643"/>
              <w:rPr>
                <w:sz w:val="20"/>
              </w:rPr>
            </w:pPr>
            <w:r>
              <w:rPr>
                <w:color w:val="FFFFFF"/>
                <w:sz w:val="20"/>
              </w:rPr>
              <w:t>56.5</w:t>
            </w:r>
          </w:p>
        </w:tc>
      </w:tr>
    </w:tbl>
    <w:p>
      <w:pPr>
        <w:spacing w:after="0"/>
        <w:rPr>
          <w:sz w:val="20"/>
        </w:rPr>
        <w:sectPr>
          <w:pgSz w:w="12240" w:h="15840"/>
          <w:pgMar w:header="0" w:footer="629" w:top="1420" w:bottom="820" w:left="1580" w:right="1540"/>
        </w:sectPr>
      </w:pPr>
    </w:p>
    <w:p>
      <w:pPr>
        <w:spacing w:before="52"/>
        <w:ind w:left="3465" w:right="3464" w:firstLine="0"/>
        <w:jc w:val="center"/>
        <w:rPr>
          <w:b/>
          <w:sz w:val="24"/>
        </w:rPr>
      </w:pPr>
      <w:r>
        <w:rPr>
          <w:b/>
          <w:sz w:val="24"/>
        </w:rPr>
        <w:t>Artículos con citas Eure 2001-2015</w:t>
      </w:r>
    </w:p>
    <w:p>
      <w:pPr>
        <w:pStyle w:val="BodyText"/>
        <w:spacing w:before="5"/>
        <w:rPr>
          <w:b/>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
        <w:gridCol w:w="5274"/>
        <w:gridCol w:w="761"/>
        <w:gridCol w:w="802"/>
        <w:gridCol w:w="1438"/>
      </w:tblGrid>
      <w:tr>
        <w:trPr>
          <w:trHeight w:val="316" w:hRule="exact"/>
        </w:trPr>
        <w:tc>
          <w:tcPr>
            <w:tcW w:w="552" w:type="dxa"/>
            <w:vMerge w:val="restart"/>
            <w:shd w:val="clear" w:color="auto" w:fill="938953"/>
          </w:tcPr>
          <w:p>
            <w:pPr/>
          </w:p>
        </w:tc>
        <w:tc>
          <w:tcPr>
            <w:tcW w:w="5274" w:type="dxa"/>
            <w:vMerge w:val="restart"/>
            <w:shd w:val="clear" w:color="auto" w:fill="938953"/>
          </w:tcPr>
          <w:p>
            <w:pPr>
              <w:pStyle w:val="TableParagraph"/>
              <w:spacing w:before="7"/>
              <w:rPr>
                <w:b/>
                <w:sz w:val="31"/>
              </w:rPr>
            </w:pPr>
          </w:p>
          <w:p>
            <w:pPr>
              <w:pStyle w:val="TableParagraph"/>
              <w:ind w:left="2347" w:right="2350"/>
              <w:jc w:val="center"/>
              <w:rPr>
                <w:b/>
                <w:sz w:val="22"/>
              </w:rPr>
            </w:pPr>
            <w:r>
              <w:rPr>
                <w:b/>
                <w:color w:val="FFFFFF"/>
                <w:sz w:val="22"/>
              </w:rPr>
              <w:t>Total</w:t>
            </w:r>
          </w:p>
        </w:tc>
        <w:tc>
          <w:tcPr>
            <w:tcW w:w="761" w:type="dxa"/>
            <w:shd w:val="clear" w:color="auto" w:fill="938953"/>
          </w:tcPr>
          <w:p>
            <w:pPr>
              <w:pStyle w:val="TableParagraph"/>
              <w:spacing w:before="51"/>
              <w:ind w:left="105" w:right="105"/>
              <w:jc w:val="center"/>
              <w:rPr>
                <w:sz w:val="22"/>
              </w:rPr>
            </w:pPr>
            <w:r>
              <w:rPr>
                <w:color w:val="FFFFFF"/>
                <w:sz w:val="22"/>
              </w:rPr>
              <w:t>Citas</w:t>
            </w:r>
          </w:p>
        </w:tc>
        <w:tc>
          <w:tcPr>
            <w:tcW w:w="802" w:type="dxa"/>
            <w:shd w:val="clear" w:color="auto" w:fill="938953"/>
          </w:tcPr>
          <w:p>
            <w:pPr>
              <w:pStyle w:val="TableParagraph"/>
              <w:spacing w:before="51"/>
              <w:ind w:right="3"/>
              <w:jc w:val="center"/>
              <w:rPr>
                <w:sz w:val="22"/>
              </w:rPr>
            </w:pPr>
            <w:r>
              <w:rPr>
                <w:color w:val="FFFFFF"/>
                <w:w w:val="100"/>
                <w:sz w:val="22"/>
              </w:rPr>
              <w:t>%</w:t>
            </w:r>
          </w:p>
        </w:tc>
        <w:tc>
          <w:tcPr>
            <w:tcW w:w="1438" w:type="dxa"/>
            <w:shd w:val="clear" w:color="auto" w:fill="938953"/>
          </w:tcPr>
          <w:p>
            <w:pPr>
              <w:pStyle w:val="TableParagraph"/>
              <w:spacing w:before="51"/>
              <w:ind w:left="46" w:right="46"/>
              <w:jc w:val="center"/>
              <w:rPr>
                <w:sz w:val="22"/>
              </w:rPr>
            </w:pPr>
            <w:r>
              <w:rPr>
                <w:color w:val="FFFFFF"/>
                <w:sz w:val="22"/>
              </w:rPr>
              <w:t>%Acumulado</w:t>
            </w:r>
          </w:p>
        </w:tc>
      </w:tr>
      <w:tr>
        <w:trPr>
          <w:trHeight w:val="317" w:hRule="exact"/>
        </w:trPr>
        <w:tc>
          <w:tcPr>
            <w:tcW w:w="552" w:type="dxa"/>
            <w:vMerge/>
            <w:shd w:val="clear" w:color="auto" w:fill="938953"/>
          </w:tcPr>
          <w:p>
            <w:pPr/>
          </w:p>
        </w:tc>
        <w:tc>
          <w:tcPr>
            <w:tcW w:w="5274" w:type="dxa"/>
            <w:vMerge/>
            <w:shd w:val="clear" w:color="auto" w:fill="938953"/>
          </w:tcPr>
          <w:p>
            <w:pPr/>
          </w:p>
        </w:tc>
        <w:tc>
          <w:tcPr>
            <w:tcW w:w="761" w:type="dxa"/>
            <w:shd w:val="clear" w:color="auto" w:fill="938953"/>
          </w:tcPr>
          <w:p>
            <w:pPr>
              <w:pStyle w:val="TableParagraph"/>
              <w:spacing w:before="48"/>
              <w:ind w:left="105" w:right="105"/>
              <w:jc w:val="center"/>
              <w:rPr>
                <w:b/>
                <w:sz w:val="22"/>
              </w:rPr>
            </w:pPr>
            <w:r>
              <w:rPr>
                <w:b/>
                <w:color w:val="FFFFFF"/>
                <w:sz w:val="22"/>
              </w:rPr>
              <w:t>1205</w:t>
            </w:r>
          </w:p>
        </w:tc>
        <w:tc>
          <w:tcPr>
            <w:tcW w:w="802" w:type="dxa"/>
            <w:shd w:val="clear" w:color="auto" w:fill="938953"/>
          </w:tcPr>
          <w:p>
            <w:pPr>
              <w:pStyle w:val="TableParagraph"/>
              <w:spacing w:before="50"/>
              <w:ind w:left="192" w:right="192"/>
              <w:jc w:val="center"/>
              <w:rPr>
                <w:sz w:val="22"/>
              </w:rPr>
            </w:pPr>
            <w:r>
              <w:rPr>
                <w:color w:val="FFFFFF"/>
                <w:sz w:val="22"/>
              </w:rPr>
              <w:t>100</w:t>
            </w:r>
          </w:p>
        </w:tc>
        <w:tc>
          <w:tcPr>
            <w:tcW w:w="1438" w:type="dxa"/>
            <w:shd w:val="clear" w:color="auto" w:fill="938953"/>
          </w:tcPr>
          <w:p>
            <w:pPr>
              <w:pStyle w:val="TableParagraph"/>
              <w:spacing w:before="50"/>
              <w:ind w:left="44" w:right="46"/>
              <w:jc w:val="center"/>
              <w:rPr>
                <w:sz w:val="22"/>
              </w:rPr>
            </w:pPr>
            <w:r>
              <w:rPr>
                <w:color w:val="FFFFFF"/>
                <w:sz w:val="22"/>
              </w:rPr>
              <w:t>100</w:t>
            </w:r>
          </w:p>
        </w:tc>
      </w:tr>
      <w:tr>
        <w:trPr>
          <w:trHeight w:val="768" w:hRule="exact"/>
        </w:trPr>
        <w:tc>
          <w:tcPr>
            <w:tcW w:w="552" w:type="dxa"/>
          </w:tcPr>
          <w:p>
            <w:pPr>
              <w:pStyle w:val="TableParagraph"/>
              <w:rPr>
                <w:b/>
                <w:sz w:val="22"/>
              </w:rPr>
            </w:pPr>
          </w:p>
          <w:p>
            <w:pPr>
              <w:pStyle w:val="TableParagraph"/>
              <w:spacing w:before="9"/>
              <w:rPr>
                <w:b/>
                <w:sz w:val="21"/>
              </w:rPr>
            </w:pPr>
          </w:p>
          <w:p>
            <w:pPr>
              <w:pStyle w:val="TableParagraph"/>
              <w:ind w:right="1"/>
              <w:jc w:val="center"/>
              <w:rPr>
                <w:sz w:val="22"/>
              </w:rPr>
            </w:pPr>
            <w:r>
              <w:rPr>
                <w:w w:val="100"/>
                <w:sz w:val="22"/>
              </w:rPr>
              <w:t>1</w:t>
            </w:r>
          </w:p>
        </w:tc>
        <w:tc>
          <w:tcPr>
            <w:tcW w:w="5274" w:type="dxa"/>
          </w:tcPr>
          <w:p>
            <w:pPr>
              <w:pStyle w:val="TableParagraph"/>
              <w:ind w:left="64" w:right="679"/>
              <w:rPr>
                <w:sz w:val="22"/>
              </w:rPr>
            </w:pPr>
            <w:r>
              <w:rPr>
                <w:sz w:val="22"/>
              </w:rPr>
              <w:t>Residential segregation in main Chilean cities: Tendencies from the past three decades and possible frameworks for action</w:t>
            </w:r>
          </w:p>
        </w:tc>
        <w:tc>
          <w:tcPr>
            <w:tcW w:w="761" w:type="dxa"/>
          </w:tcPr>
          <w:p>
            <w:pPr>
              <w:pStyle w:val="TableParagraph"/>
              <w:rPr>
                <w:b/>
                <w:sz w:val="22"/>
              </w:rPr>
            </w:pPr>
          </w:p>
          <w:p>
            <w:pPr>
              <w:pStyle w:val="TableParagraph"/>
              <w:spacing w:before="9"/>
              <w:rPr>
                <w:b/>
                <w:sz w:val="21"/>
              </w:rPr>
            </w:pPr>
          </w:p>
          <w:p>
            <w:pPr>
              <w:pStyle w:val="TableParagraph"/>
              <w:ind w:left="105" w:right="105"/>
              <w:jc w:val="center"/>
              <w:rPr>
                <w:sz w:val="22"/>
              </w:rPr>
            </w:pPr>
            <w:r>
              <w:rPr>
                <w:sz w:val="22"/>
              </w:rPr>
              <w:t>63</w:t>
            </w:r>
          </w:p>
        </w:tc>
        <w:tc>
          <w:tcPr>
            <w:tcW w:w="802" w:type="dxa"/>
          </w:tcPr>
          <w:p>
            <w:pPr>
              <w:pStyle w:val="TableParagraph"/>
              <w:rPr>
                <w:b/>
                <w:sz w:val="22"/>
              </w:rPr>
            </w:pPr>
          </w:p>
          <w:p>
            <w:pPr>
              <w:pStyle w:val="TableParagraph"/>
              <w:spacing w:before="9"/>
              <w:rPr>
                <w:b/>
                <w:sz w:val="21"/>
              </w:rPr>
            </w:pPr>
          </w:p>
          <w:p>
            <w:pPr>
              <w:pStyle w:val="TableParagraph"/>
              <w:ind w:left="192" w:right="192"/>
              <w:jc w:val="center"/>
              <w:rPr>
                <w:sz w:val="22"/>
              </w:rPr>
            </w:pPr>
            <w:r>
              <w:rPr>
                <w:sz w:val="22"/>
              </w:rPr>
              <w:t>5.2</w:t>
            </w:r>
          </w:p>
        </w:tc>
        <w:tc>
          <w:tcPr>
            <w:tcW w:w="1438" w:type="dxa"/>
          </w:tcPr>
          <w:p>
            <w:pPr>
              <w:pStyle w:val="TableParagraph"/>
              <w:rPr>
                <w:b/>
                <w:sz w:val="22"/>
              </w:rPr>
            </w:pPr>
          </w:p>
          <w:p>
            <w:pPr>
              <w:pStyle w:val="TableParagraph"/>
              <w:spacing w:before="9"/>
              <w:rPr>
                <w:b/>
                <w:sz w:val="21"/>
              </w:rPr>
            </w:pPr>
          </w:p>
          <w:p>
            <w:pPr>
              <w:pStyle w:val="TableParagraph"/>
              <w:ind w:left="46" w:right="46"/>
              <w:jc w:val="center"/>
              <w:rPr>
                <w:sz w:val="22"/>
              </w:rPr>
            </w:pPr>
            <w:r>
              <w:rPr>
                <w:sz w:val="22"/>
              </w:rPr>
              <w:t>100.000</w:t>
            </w:r>
          </w:p>
        </w:tc>
      </w:tr>
      <w:tr>
        <w:trPr>
          <w:trHeight w:val="545" w:hRule="exact"/>
        </w:trPr>
        <w:tc>
          <w:tcPr>
            <w:tcW w:w="552" w:type="dxa"/>
          </w:tcPr>
          <w:p>
            <w:pPr>
              <w:pStyle w:val="TableParagraph"/>
              <w:spacing w:before="4"/>
              <w:rPr>
                <w:b/>
                <w:sz w:val="24"/>
              </w:rPr>
            </w:pPr>
          </w:p>
          <w:p>
            <w:pPr>
              <w:pStyle w:val="TableParagraph"/>
              <w:spacing w:before="1"/>
              <w:ind w:right="1"/>
              <w:jc w:val="center"/>
              <w:rPr>
                <w:sz w:val="22"/>
              </w:rPr>
            </w:pPr>
            <w:r>
              <w:rPr>
                <w:w w:val="100"/>
                <w:sz w:val="22"/>
              </w:rPr>
              <w:t>2</w:t>
            </w:r>
          </w:p>
        </w:tc>
        <w:tc>
          <w:tcPr>
            <w:tcW w:w="5274" w:type="dxa"/>
          </w:tcPr>
          <w:p>
            <w:pPr>
              <w:pStyle w:val="TableParagraph"/>
              <w:spacing w:before="26"/>
              <w:ind w:left="64" w:right="1083"/>
              <w:rPr>
                <w:sz w:val="22"/>
              </w:rPr>
            </w:pPr>
            <w:r>
              <w:rPr>
                <w:sz w:val="22"/>
              </w:rPr>
              <w:t>The new model of the Latin American city: fragmentation and privatization</w:t>
            </w:r>
          </w:p>
        </w:tc>
        <w:tc>
          <w:tcPr>
            <w:tcW w:w="761" w:type="dxa"/>
          </w:tcPr>
          <w:p>
            <w:pPr>
              <w:pStyle w:val="TableParagraph"/>
              <w:spacing w:before="4"/>
              <w:rPr>
                <w:b/>
                <w:sz w:val="24"/>
              </w:rPr>
            </w:pPr>
          </w:p>
          <w:p>
            <w:pPr>
              <w:pStyle w:val="TableParagraph"/>
              <w:spacing w:before="1"/>
              <w:ind w:left="105" w:right="105"/>
              <w:jc w:val="center"/>
              <w:rPr>
                <w:sz w:val="22"/>
              </w:rPr>
            </w:pPr>
            <w:r>
              <w:rPr>
                <w:sz w:val="22"/>
              </w:rPr>
              <w:t>53</w:t>
            </w:r>
          </w:p>
        </w:tc>
        <w:tc>
          <w:tcPr>
            <w:tcW w:w="802" w:type="dxa"/>
          </w:tcPr>
          <w:p>
            <w:pPr>
              <w:pStyle w:val="TableParagraph"/>
              <w:spacing w:before="4"/>
              <w:rPr>
                <w:b/>
                <w:sz w:val="24"/>
              </w:rPr>
            </w:pPr>
          </w:p>
          <w:p>
            <w:pPr>
              <w:pStyle w:val="TableParagraph"/>
              <w:spacing w:before="1"/>
              <w:ind w:left="192" w:right="192"/>
              <w:jc w:val="center"/>
              <w:rPr>
                <w:sz w:val="22"/>
              </w:rPr>
            </w:pPr>
            <w:r>
              <w:rPr>
                <w:sz w:val="22"/>
              </w:rPr>
              <w:t>4.4</w:t>
            </w:r>
          </w:p>
        </w:tc>
        <w:tc>
          <w:tcPr>
            <w:tcW w:w="1438" w:type="dxa"/>
          </w:tcPr>
          <w:p>
            <w:pPr>
              <w:pStyle w:val="TableParagraph"/>
              <w:spacing w:before="4"/>
              <w:rPr>
                <w:b/>
                <w:sz w:val="24"/>
              </w:rPr>
            </w:pPr>
          </w:p>
          <w:p>
            <w:pPr>
              <w:pStyle w:val="TableParagraph"/>
              <w:spacing w:before="1"/>
              <w:ind w:left="46" w:right="46"/>
              <w:jc w:val="center"/>
              <w:rPr>
                <w:sz w:val="22"/>
              </w:rPr>
            </w:pPr>
            <w:r>
              <w:rPr>
                <w:sz w:val="22"/>
              </w:rPr>
              <w:t>94.772</w:t>
            </w:r>
          </w:p>
        </w:tc>
      </w:tr>
      <w:tr>
        <w:trPr>
          <w:trHeight w:val="516" w:hRule="exact"/>
        </w:trPr>
        <w:tc>
          <w:tcPr>
            <w:tcW w:w="552" w:type="dxa"/>
          </w:tcPr>
          <w:p>
            <w:pPr>
              <w:pStyle w:val="TableParagraph"/>
              <w:spacing w:before="10"/>
              <w:rPr>
                <w:b/>
                <w:sz w:val="21"/>
              </w:rPr>
            </w:pPr>
          </w:p>
          <w:p>
            <w:pPr>
              <w:pStyle w:val="TableParagraph"/>
              <w:ind w:right="1"/>
              <w:jc w:val="center"/>
              <w:rPr>
                <w:sz w:val="22"/>
              </w:rPr>
            </w:pPr>
            <w:r>
              <w:rPr>
                <w:w w:val="100"/>
                <w:sz w:val="22"/>
              </w:rPr>
              <w:t>3</w:t>
            </w:r>
          </w:p>
        </w:tc>
        <w:tc>
          <w:tcPr>
            <w:tcW w:w="5274" w:type="dxa"/>
          </w:tcPr>
          <w:p>
            <w:pPr>
              <w:pStyle w:val="TableParagraph"/>
              <w:spacing w:line="242" w:lineRule="auto"/>
              <w:ind w:left="64" w:right="178"/>
              <w:rPr>
                <w:sz w:val="22"/>
              </w:rPr>
            </w:pPr>
            <w:r>
              <w:rPr>
                <w:sz w:val="22"/>
              </w:rPr>
              <w:t>How to model of Latin American cities development and dynamics</w:t>
            </w:r>
          </w:p>
        </w:tc>
        <w:tc>
          <w:tcPr>
            <w:tcW w:w="761" w:type="dxa"/>
          </w:tcPr>
          <w:p>
            <w:pPr>
              <w:pStyle w:val="TableParagraph"/>
              <w:spacing w:before="10"/>
              <w:rPr>
                <w:b/>
                <w:sz w:val="21"/>
              </w:rPr>
            </w:pPr>
          </w:p>
          <w:p>
            <w:pPr>
              <w:pStyle w:val="TableParagraph"/>
              <w:ind w:left="105" w:right="105"/>
              <w:jc w:val="center"/>
              <w:rPr>
                <w:sz w:val="22"/>
              </w:rPr>
            </w:pPr>
            <w:r>
              <w:rPr>
                <w:sz w:val="22"/>
              </w:rPr>
              <w:t>47</w:t>
            </w:r>
          </w:p>
        </w:tc>
        <w:tc>
          <w:tcPr>
            <w:tcW w:w="802" w:type="dxa"/>
          </w:tcPr>
          <w:p>
            <w:pPr>
              <w:pStyle w:val="TableParagraph"/>
              <w:spacing w:before="10"/>
              <w:rPr>
                <w:b/>
                <w:sz w:val="21"/>
              </w:rPr>
            </w:pPr>
          </w:p>
          <w:p>
            <w:pPr>
              <w:pStyle w:val="TableParagraph"/>
              <w:ind w:left="192" w:right="192"/>
              <w:jc w:val="center"/>
              <w:rPr>
                <w:sz w:val="22"/>
              </w:rPr>
            </w:pPr>
            <w:r>
              <w:rPr>
                <w:sz w:val="22"/>
              </w:rPr>
              <w:t>3.9</w:t>
            </w:r>
          </w:p>
        </w:tc>
        <w:tc>
          <w:tcPr>
            <w:tcW w:w="1438" w:type="dxa"/>
          </w:tcPr>
          <w:p>
            <w:pPr>
              <w:pStyle w:val="TableParagraph"/>
              <w:spacing w:before="10"/>
              <w:rPr>
                <w:b/>
                <w:sz w:val="21"/>
              </w:rPr>
            </w:pPr>
          </w:p>
          <w:p>
            <w:pPr>
              <w:pStyle w:val="TableParagraph"/>
              <w:ind w:left="46" w:right="46"/>
              <w:jc w:val="center"/>
              <w:rPr>
                <w:sz w:val="22"/>
              </w:rPr>
            </w:pPr>
            <w:r>
              <w:rPr>
                <w:sz w:val="22"/>
              </w:rPr>
              <w:t>90.373</w:t>
            </w:r>
          </w:p>
        </w:tc>
      </w:tr>
      <w:tr>
        <w:trPr>
          <w:trHeight w:val="545" w:hRule="exact"/>
        </w:trPr>
        <w:tc>
          <w:tcPr>
            <w:tcW w:w="552" w:type="dxa"/>
          </w:tcPr>
          <w:p>
            <w:pPr>
              <w:pStyle w:val="TableParagraph"/>
              <w:spacing w:before="5"/>
              <w:rPr>
                <w:b/>
                <w:sz w:val="24"/>
              </w:rPr>
            </w:pPr>
          </w:p>
          <w:p>
            <w:pPr>
              <w:pStyle w:val="TableParagraph"/>
              <w:ind w:right="1"/>
              <w:jc w:val="center"/>
              <w:rPr>
                <w:sz w:val="22"/>
              </w:rPr>
            </w:pPr>
            <w:r>
              <w:rPr>
                <w:w w:val="100"/>
                <w:sz w:val="22"/>
              </w:rPr>
              <w:t>4</w:t>
            </w:r>
          </w:p>
        </w:tc>
        <w:tc>
          <w:tcPr>
            <w:tcW w:w="5274" w:type="dxa"/>
          </w:tcPr>
          <w:p>
            <w:pPr>
              <w:pStyle w:val="TableParagraph"/>
              <w:spacing w:before="27"/>
              <w:ind w:left="64" w:right="374"/>
              <w:rPr>
                <w:sz w:val="22"/>
              </w:rPr>
            </w:pPr>
            <w:r>
              <w:rPr>
                <w:sz w:val="22"/>
              </w:rPr>
              <w:t>Land market reform in Santiago, Chile: Effects on land prices and residential segregation</w:t>
            </w:r>
          </w:p>
        </w:tc>
        <w:tc>
          <w:tcPr>
            <w:tcW w:w="761" w:type="dxa"/>
          </w:tcPr>
          <w:p>
            <w:pPr>
              <w:pStyle w:val="TableParagraph"/>
              <w:spacing w:before="5"/>
              <w:rPr>
                <w:b/>
                <w:sz w:val="24"/>
              </w:rPr>
            </w:pPr>
          </w:p>
          <w:p>
            <w:pPr>
              <w:pStyle w:val="TableParagraph"/>
              <w:ind w:left="105" w:right="105"/>
              <w:jc w:val="center"/>
              <w:rPr>
                <w:sz w:val="22"/>
              </w:rPr>
            </w:pPr>
            <w:r>
              <w:rPr>
                <w:sz w:val="22"/>
              </w:rPr>
              <w:t>31</w:t>
            </w:r>
          </w:p>
        </w:tc>
        <w:tc>
          <w:tcPr>
            <w:tcW w:w="802" w:type="dxa"/>
          </w:tcPr>
          <w:p>
            <w:pPr>
              <w:pStyle w:val="TableParagraph"/>
              <w:spacing w:before="5"/>
              <w:rPr>
                <w:b/>
                <w:sz w:val="24"/>
              </w:rPr>
            </w:pPr>
          </w:p>
          <w:p>
            <w:pPr>
              <w:pStyle w:val="TableParagraph"/>
              <w:ind w:left="192" w:right="192"/>
              <w:jc w:val="center"/>
              <w:rPr>
                <w:sz w:val="22"/>
              </w:rPr>
            </w:pPr>
            <w:r>
              <w:rPr>
                <w:sz w:val="22"/>
              </w:rPr>
              <w:t>2.6</w:t>
            </w:r>
          </w:p>
        </w:tc>
        <w:tc>
          <w:tcPr>
            <w:tcW w:w="1438" w:type="dxa"/>
          </w:tcPr>
          <w:p>
            <w:pPr>
              <w:pStyle w:val="TableParagraph"/>
              <w:spacing w:before="5"/>
              <w:rPr>
                <w:b/>
                <w:sz w:val="24"/>
              </w:rPr>
            </w:pPr>
          </w:p>
          <w:p>
            <w:pPr>
              <w:pStyle w:val="TableParagraph"/>
              <w:ind w:left="46" w:right="46"/>
              <w:jc w:val="center"/>
              <w:rPr>
                <w:sz w:val="22"/>
              </w:rPr>
            </w:pPr>
            <w:r>
              <w:rPr>
                <w:sz w:val="22"/>
              </w:rPr>
              <w:t>86.473</w:t>
            </w:r>
          </w:p>
        </w:tc>
      </w:tr>
      <w:tr>
        <w:trPr>
          <w:trHeight w:val="770" w:hRule="exact"/>
        </w:trPr>
        <w:tc>
          <w:tcPr>
            <w:tcW w:w="552" w:type="dxa"/>
          </w:tcPr>
          <w:p>
            <w:pPr>
              <w:pStyle w:val="TableParagraph"/>
              <w:rPr>
                <w:b/>
                <w:sz w:val="22"/>
              </w:rPr>
            </w:pPr>
          </w:p>
          <w:p>
            <w:pPr>
              <w:pStyle w:val="TableParagraph"/>
              <w:spacing w:before="9"/>
              <w:rPr>
                <w:b/>
                <w:sz w:val="21"/>
              </w:rPr>
            </w:pPr>
          </w:p>
          <w:p>
            <w:pPr>
              <w:pStyle w:val="TableParagraph"/>
              <w:ind w:right="1"/>
              <w:jc w:val="center"/>
              <w:rPr>
                <w:sz w:val="22"/>
              </w:rPr>
            </w:pPr>
            <w:r>
              <w:rPr>
                <w:w w:val="100"/>
                <w:sz w:val="22"/>
              </w:rPr>
              <w:t>5</w:t>
            </w:r>
          </w:p>
        </w:tc>
        <w:tc>
          <w:tcPr>
            <w:tcW w:w="5274" w:type="dxa"/>
          </w:tcPr>
          <w:p>
            <w:pPr>
              <w:pStyle w:val="TableParagraph"/>
              <w:ind w:left="64" w:right="252"/>
              <w:rPr>
                <w:sz w:val="22"/>
              </w:rPr>
            </w:pPr>
            <w:r>
              <w:rPr>
                <w:sz w:val="22"/>
              </w:rPr>
              <w:t>From small condominiums to fenced city: enclosed urbanizations and the new social geography in Santiago of Chile (1990-2000)</w:t>
            </w:r>
          </w:p>
        </w:tc>
        <w:tc>
          <w:tcPr>
            <w:tcW w:w="761" w:type="dxa"/>
          </w:tcPr>
          <w:p>
            <w:pPr>
              <w:pStyle w:val="TableParagraph"/>
              <w:rPr>
                <w:b/>
                <w:sz w:val="22"/>
              </w:rPr>
            </w:pPr>
          </w:p>
          <w:p>
            <w:pPr>
              <w:pStyle w:val="TableParagraph"/>
              <w:spacing w:before="9"/>
              <w:rPr>
                <w:b/>
                <w:sz w:val="21"/>
              </w:rPr>
            </w:pPr>
          </w:p>
          <w:p>
            <w:pPr>
              <w:pStyle w:val="TableParagraph"/>
              <w:ind w:left="105" w:right="105"/>
              <w:jc w:val="center"/>
              <w:rPr>
                <w:sz w:val="22"/>
              </w:rPr>
            </w:pPr>
            <w:r>
              <w:rPr>
                <w:sz w:val="22"/>
              </w:rPr>
              <w:t>26</w:t>
            </w:r>
          </w:p>
        </w:tc>
        <w:tc>
          <w:tcPr>
            <w:tcW w:w="802" w:type="dxa"/>
          </w:tcPr>
          <w:p>
            <w:pPr>
              <w:pStyle w:val="TableParagraph"/>
              <w:rPr>
                <w:b/>
                <w:sz w:val="22"/>
              </w:rPr>
            </w:pPr>
          </w:p>
          <w:p>
            <w:pPr>
              <w:pStyle w:val="TableParagraph"/>
              <w:spacing w:before="9"/>
              <w:rPr>
                <w:b/>
                <w:sz w:val="21"/>
              </w:rPr>
            </w:pPr>
          </w:p>
          <w:p>
            <w:pPr>
              <w:pStyle w:val="TableParagraph"/>
              <w:ind w:left="192" w:right="192"/>
              <w:jc w:val="center"/>
              <w:rPr>
                <w:sz w:val="22"/>
              </w:rPr>
            </w:pPr>
            <w:r>
              <w:rPr>
                <w:sz w:val="22"/>
              </w:rPr>
              <w:t>2.2</w:t>
            </w:r>
          </w:p>
        </w:tc>
        <w:tc>
          <w:tcPr>
            <w:tcW w:w="1438" w:type="dxa"/>
          </w:tcPr>
          <w:p>
            <w:pPr>
              <w:pStyle w:val="TableParagraph"/>
              <w:rPr>
                <w:b/>
                <w:sz w:val="22"/>
              </w:rPr>
            </w:pPr>
          </w:p>
          <w:p>
            <w:pPr>
              <w:pStyle w:val="TableParagraph"/>
              <w:spacing w:before="9"/>
              <w:rPr>
                <w:b/>
                <w:sz w:val="21"/>
              </w:rPr>
            </w:pPr>
          </w:p>
          <w:p>
            <w:pPr>
              <w:pStyle w:val="TableParagraph"/>
              <w:ind w:left="46" w:right="46"/>
              <w:jc w:val="center"/>
              <w:rPr>
                <w:sz w:val="22"/>
              </w:rPr>
            </w:pPr>
            <w:r>
              <w:rPr>
                <w:sz w:val="22"/>
              </w:rPr>
              <w:t>83.900</w:t>
            </w:r>
          </w:p>
        </w:tc>
      </w:tr>
      <w:tr>
        <w:trPr>
          <w:trHeight w:val="545" w:hRule="exact"/>
        </w:trPr>
        <w:tc>
          <w:tcPr>
            <w:tcW w:w="552" w:type="dxa"/>
          </w:tcPr>
          <w:p>
            <w:pPr>
              <w:pStyle w:val="TableParagraph"/>
              <w:spacing w:before="2"/>
              <w:rPr>
                <w:b/>
                <w:sz w:val="24"/>
              </w:rPr>
            </w:pPr>
          </w:p>
          <w:p>
            <w:pPr>
              <w:pStyle w:val="TableParagraph"/>
              <w:ind w:right="1"/>
              <w:jc w:val="center"/>
              <w:rPr>
                <w:sz w:val="22"/>
              </w:rPr>
            </w:pPr>
            <w:r>
              <w:rPr>
                <w:w w:val="100"/>
                <w:sz w:val="22"/>
              </w:rPr>
              <w:t>6</w:t>
            </w:r>
          </w:p>
        </w:tc>
        <w:tc>
          <w:tcPr>
            <w:tcW w:w="5274" w:type="dxa"/>
          </w:tcPr>
          <w:p>
            <w:pPr>
              <w:pStyle w:val="TableParagraph"/>
              <w:spacing w:before="26"/>
              <w:ind w:left="64" w:right="166"/>
              <w:rPr>
                <w:sz w:val="22"/>
              </w:rPr>
            </w:pPr>
            <w:r>
              <w:rPr>
                <w:sz w:val="22"/>
              </w:rPr>
              <w:t>Innovation and territorial development: some recent theoretical debates</w:t>
            </w:r>
          </w:p>
        </w:tc>
        <w:tc>
          <w:tcPr>
            <w:tcW w:w="761" w:type="dxa"/>
          </w:tcPr>
          <w:p>
            <w:pPr>
              <w:pStyle w:val="TableParagraph"/>
              <w:spacing w:before="2"/>
              <w:rPr>
                <w:b/>
                <w:sz w:val="24"/>
              </w:rPr>
            </w:pPr>
          </w:p>
          <w:p>
            <w:pPr>
              <w:pStyle w:val="TableParagraph"/>
              <w:ind w:left="105" w:right="105"/>
              <w:jc w:val="center"/>
              <w:rPr>
                <w:sz w:val="22"/>
              </w:rPr>
            </w:pPr>
            <w:r>
              <w:rPr>
                <w:sz w:val="22"/>
              </w:rPr>
              <w:t>26</w:t>
            </w:r>
          </w:p>
        </w:tc>
        <w:tc>
          <w:tcPr>
            <w:tcW w:w="802" w:type="dxa"/>
          </w:tcPr>
          <w:p>
            <w:pPr>
              <w:pStyle w:val="TableParagraph"/>
              <w:spacing w:before="2"/>
              <w:rPr>
                <w:b/>
                <w:sz w:val="24"/>
              </w:rPr>
            </w:pPr>
          </w:p>
          <w:p>
            <w:pPr>
              <w:pStyle w:val="TableParagraph"/>
              <w:ind w:left="192" w:right="192"/>
              <w:jc w:val="center"/>
              <w:rPr>
                <w:sz w:val="22"/>
              </w:rPr>
            </w:pPr>
            <w:r>
              <w:rPr>
                <w:sz w:val="22"/>
              </w:rPr>
              <w:t>2.2</w:t>
            </w:r>
          </w:p>
        </w:tc>
        <w:tc>
          <w:tcPr>
            <w:tcW w:w="1438" w:type="dxa"/>
          </w:tcPr>
          <w:p>
            <w:pPr>
              <w:pStyle w:val="TableParagraph"/>
              <w:spacing w:before="2"/>
              <w:rPr>
                <w:b/>
                <w:sz w:val="24"/>
              </w:rPr>
            </w:pPr>
          </w:p>
          <w:p>
            <w:pPr>
              <w:pStyle w:val="TableParagraph"/>
              <w:ind w:left="46" w:right="46"/>
              <w:jc w:val="center"/>
              <w:rPr>
                <w:sz w:val="22"/>
              </w:rPr>
            </w:pPr>
            <w:r>
              <w:rPr>
                <w:sz w:val="22"/>
              </w:rPr>
              <w:t>81.743</w:t>
            </w:r>
          </w:p>
        </w:tc>
      </w:tr>
      <w:tr>
        <w:trPr>
          <w:trHeight w:val="545" w:hRule="exact"/>
        </w:trPr>
        <w:tc>
          <w:tcPr>
            <w:tcW w:w="552" w:type="dxa"/>
          </w:tcPr>
          <w:p>
            <w:pPr>
              <w:pStyle w:val="TableParagraph"/>
              <w:spacing w:before="2"/>
              <w:rPr>
                <w:b/>
                <w:sz w:val="24"/>
              </w:rPr>
            </w:pPr>
          </w:p>
          <w:p>
            <w:pPr>
              <w:pStyle w:val="TableParagraph"/>
              <w:ind w:right="1"/>
              <w:jc w:val="center"/>
              <w:rPr>
                <w:sz w:val="22"/>
              </w:rPr>
            </w:pPr>
            <w:r>
              <w:rPr>
                <w:w w:val="100"/>
                <w:sz w:val="22"/>
              </w:rPr>
              <w:t>7</w:t>
            </w:r>
          </w:p>
        </w:tc>
        <w:tc>
          <w:tcPr>
            <w:tcW w:w="5274" w:type="dxa"/>
          </w:tcPr>
          <w:p>
            <w:pPr>
              <w:pStyle w:val="TableParagraph"/>
              <w:spacing w:before="26"/>
              <w:ind w:left="64" w:right="118"/>
              <w:rPr>
                <w:sz w:val="22"/>
              </w:rPr>
            </w:pPr>
            <w:r>
              <w:rPr>
                <w:sz w:val="22"/>
              </w:rPr>
              <w:t>Transformations of Latin American cities. Impacts of the globalization?</w:t>
            </w:r>
          </w:p>
        </w:tc>
        <w:tc>
          <w:tcPr>
            <w:tcW w:w="761" w:type="dxa"/>
          </w:tcPr>
          <w:p>
            <w:pPr>
              <w:pStyle w:val="TableParagraph"/>
              <w:spacing w:before="2"/>
              <w:rPr>
                <w:b/>
                <w:sz w:val="24"/>
              </w:rPr>
            </w:pPr>
          </w:p>
          <w:p>
            <w:pPr>
              <w:pStyle w:val="TableParagraph"/>
              <w:ind w:left="105" w:right="105"/>
              <w:jc w:val="center"/>
              <w:rPr>
                <w:sz w:val="22"/>
              </w:rPr>
            </w:pPr>
            <w:r>
              <w:rPr>
                <w:sz w:val="22"/>
              </w:rPr>
              <w:t>25</w:t>
            </w:r>
          </w:p>
        </w:tc>
        <w:tc>
          <w:tcPr>
            <w:tcW w:w="802" w:type="dxa"/>
          </w:tcPr>
          <w:p>
            <w:pPr>
              <w:pStyle w:val="TableParagraph"/>
              <w:spacing w:before="2"/>
              <w:rPr>
                <w:b/>
                <w:sz w:val="24"/>
              </w:rPr>
            </w:pPr>
          </w:p>
          <w:p>
            <w:pPr>
              <w:pStyle w:val="TableParagraph"/>
              <w:ind w:left="192" w:right="192"/>
              <w:jc w:val="center"/>
              <w:rPr>
                <w:sz w:val="22"/>
              </w:rPr>
            </w:pPr>
            <w:r>
              <w:rPr>
                <w:sz w:val="22"/>
              </w:rPr>
              <w:t>2.1</w:t>
            </w:r>
          </w:p>
        </w:tc>
        <w:tc>
          <w:tcPr>
            <w:tcW w:w="1438" w:type="dxa"/>
          </w:tcPr>
          <w:p>
            <w:pPr>
              <w:pStyle w:val="TableParagraph"/>
              <w:spacing w:before="2"/>
              <w:rPr>
                <w:b/>
                <w:sz w:val="24"/>
              </w:rPr>
            </w:pPr>
          </w:p>
          <w:p>
            <w:pPr>
              <w:pStyle w:val="TableParagraph"/>
              <w:ind w:left="46" w:right="46"/>
              <w:jc w:val="center"/>
              <w:rPr>
                <w:sz w:val="22"/>
              </w:rPr>
            </w:pPr>
            <w:r>
              <w:rPr>
                <w:sz w:val="22"/>
              </w:rPr>
              <w:t>79.585</w:t>
            </w:r>
          </w:p>
        </w:tc>
      </w:tr>
      <w:tr>
        <w:trPr>
          <w:trHeight w:val="545" w:hRule="exact"/>
        </w:trPr>
        <w:tc>
          <w:tcPr>
            <w:tcW w:w="552" w:type="dxa"/>
          </w:tcPr>
          <w:p>
            <w:pPr>
              <w:pStyle w:val="TableParagraph"/>
              <w:spacing w:before="2"/>
              <w:rPr>
                <w:b/>
                <w:sz w:val="24"/>
              </w:rPr>
            </w:pPr>
          </w:p>
          <w:p>
            <w:pPr>
              <w:pStyle w:val="TableParagraph"/>
              <w:ind w:right="1"/>
              <w:jc w:val="center"/>
              <w:rPr>
                <w:sz w:val="22"/>
              </w:rPr>
            </w:pPr>
            <w:r>
              <w:rPr>
                <w:w w:val="100"/>
                <w:sz w:val="22"/>
              </w:rPr>
              <w:t>8</w:t>
            </w:r>
          </w:p>
        </w:tc>
        <w:tc>
          <w:tcPr>
            <w:tcW w:w="5274" w:type="dxa"/>
          </w:tcPr>
          <w:p>
            <w:pPr>
              <w:pStyle w:val="TableParagraph"/>
              <w:spacing w:before="26"/>
              <w:ind w:left="64" w:right="521"/>
              <w:rPr>
                <w:sz w:val="22"/>
              </w:rPr>
            </w:pPr>
            <w:r>
              <w:rPr>
                <w:sz w:val="22"/>
              </w:rPr>
              <w:t>Socio-territorial transformations in Buenos Aires during the 1990's</w:t>
            </w:r>
          </w:p>
        </w:tc>
        <w:tc>
          <w:tcPr>
            <w:tcW w:w="761" w:type="dxa"/>
          </w:tcPr>
          <w:p>
            <w:pPr>
              <w:pStyle w:val="TableParagraph"/>
              <w:spacing w:before="2"/>
              <w:rPr>
                <w:b/>
                <w:sz w:val="24"/>
              </w:rPr>
            </w:pPr>
          </w:p>
          <w:p>
            <w:pPr>
              <w:pStyle w:val="TableParagraph"/>
              <w:ind w:left="105" w:right="105"/>
              <w:jc w:val="center"/>
              <w:rPr>
                <w:sz w:val="22"/>
              </w:rPr>
            </w:pPr>
            <w:r>
              <w:rPr>
                <w:sz w:val="22"/>
              </w:rPr>
              <w:t>23</w:t>
            </w:r>
          </w:p>
        </w:tc>
        <w:tc>
          <w:tcPr>
            <w:tcW w:w="802" w:type="dxa"/>
          </w:tcPr>
          <w:p>
            <w:pPr>
              <w:pStyle w:val="TableParagraph"/>
              <w:spacing w:before="2"/>
              <w:rPr>
                <w:b/>
                <w:sz w:val="24"/>
              </w:rPr>
            </w:pPr>
          </w:p>
          <w:p>
            <w:pPr>
              <w:pStyle w:val="TableParagraph"/>
              <w:ind w:left="192" w:right="192"/>
              <w:jc w:val="center"/>
              <w:rPr>
                <w:sz w:val="22"/>
              </w:rPr>
            </w:pPr>
            <w:r>
              <w:rPr>
                <w:sz w:val="22"/>
              </w:rPr>
              <w:t>1.9</w:t>
            </w:r>
          </w:p>
        </w:tc>
        <w:tc>
          <w:tcPr>
            <w:tcW w:w="1438" w:type="dxa"/>
          </w:tcPr>
          <w:p>
            <w:pPr>
              <w:pStyle w:val="TableParagraph"/>
              <w:spacing w:before="2"/>
              <w:rPr>
                <w:b/>
                <w:sz w:val="24"/>
              </w:rPr>
            </w:pPr>
          </w:p>
          <w:p>
            <w:pPr>
              <w:pStyle w:val="TableParagraph"/>
              <w:ind w:left="46" w:right="46"/>
              <w:jc w:val="center"/>
              <w:rPr>
                <w:sz w:val="22"/>
              </w:rPr>
            </w:pPr>
            <w:r>
              <w:rPr>
                <w:sz w:val="22"/>
              </w:rPr>
              <w:t>77.510</w:t>
            </w:r>
          </w:p>
        </w:tc>
      </w:tr>
      <w:tr>
        <w:trPr>
          <w:trHeight w:val="545" w:hRule="exact"/>
        </w:trPr>
        <w:tc>
          <w:tcPr>
            <w:tcW w:w="552" w:type="dxa"/>
          </w:tcPr>
          <w:p>
            <w:pPr>
              <w:pStyle w:val="TableParagraph"/>
              <w:spacing w:before="5"/>
              <w:rPr>
                <w:b/>
                <w:sz w:val="24"/>
              </w:rPr>
            </w:pPr>
          </w:p>
          <w:p>
            <w:pPr>
              <w:pStyle w:val="TableParagraph"/>
              <w:ind w:right="1"/>
              <w:jc w:val="center"/>
              <w:rPr>
                <w:sz w:val="22"/>
              </w:rPr>
            </w:pPr>
            <w:r>
              <w:rPr>
                <w:w w:val="100"/>
                <w:sz w:val="22"/>
              </w:rPr>
              <w:t>9</w:t>
            </w:r>
          </w:p>
        </w:tc>
        <w:tc>
          <w:tcPr>
            <w:tcW w:w="5274" w:type="dxa"/>
          </w:tcPr>
          <w:p>
            <w:pPr>
              <w:pStyle w:val="TableParagraph"/>
              <w:spacing w:before="27"/>
              <w:ind w:left="64" w:right="105"/>
              <w:rPr>
                <w:sz w:val="22"/>
              </w:rPr>
            </w:pPr>
            <w:r>
              <w:rPr>
                <w:sz w:val="22"/>
              </w:rPr>
              <w:t>Regional commutation in Chile and its impact on the Region of Antofagasta</w:t>
            </w:r>
          </w:p>
        </w:tc>
        <w:tc>
          <w:tcPr>
            <w:tcW w:w="761" w:type="dxa"/>
          </w:tcPr>
          <w:p>
            <w:pPr>
              <w:pStyle w:val="TableParagraph"/>
              <w:spacing w:before="5"/>
              <w:rPr>
                <w:b/>
                <w:sz w:val="24"/>
              </w:rPr>
            </w:pPr>
          </w:p>
          <w:p>
            <w:pPr>
              <w:pStyle w:val="TableParagraph"/>
              <w:ind w:left="105" w:right="105"/>
              <w:jc w:val="center"/>
              <w:rPr>
                <w:sz w:val="22"/>
              </w:rPr>
            </w:pPr>
            <w:r>
              <w:rPr>
                <w:sz w:val="22"/>
              </w:rPr>
              <w:t>21</w:t>
            </w:r>
          </w:p>
        </w:tc>
        <w:tc>
          <w:tcPr>
            <w:tcW w:w="802" w:type="dxa"/>
          </w:tcPr>
          <w:p>
            <w:pPr>
              <w:pStyle w:val="TableParagraph"/>
              <w:spacing w:before="5"/>
              <w:rPr>
                <w:b/>
                <w:sz w:val="24"/>
              </w:rPr>
            </w:pPr>
          </w:p>
          <w:p>
            <w:pPr>
              <w:pStyle w:val="TableParagraph"/>
              <w:ind w:left="192" w:right="192"/>
              <w:jc w:val="center"/>
              <w:rPr>
                <w:sz w:val="22"/>
              </w:rPr>
            </w:pPr>
            <w:r>
              <w:rPr>
                <w:sz w:val="22"/>
              </w:rPr>
              <w:t>1.7</w:t>
            </w:r>
          </w:p>
        </w:tc>
        <w:tc>
          <w:tcPr>
            <w:tcW w:w="1438" w:type="dxa"/>
          </w:tcPr>
          <w:p>
            <w:pPr>
              <w:pStyle w:val="TableParagraph"/>
              <w:spacing w:before="5"/>
              <w:rPr>
                <w:b/>
                <w:sz w:val="24"/>
              </w:rPr>
            </w:pPr>
          </w:p>
          <w:p>
            <w:pPr>
              <w:pStyle w:val="TableParagraph"/>
              <w:ind w:left="46" w:right="46"/>
              <w:jc w:val="center"/>
              <w:rPr>
                <w:sz w:val="22"/>
              </w:rPr>
            </w:pPr>
            <w:r>
              <w:rPr>
                <w:sz w:val="22"/>
              </w:rPr>
              <w:t>75.602</w:t>
            </w:r>
          </w:p>
        </w:tc>
      </w:tr>
      <w:tr>
        <w:trPr>
          <w:trHeight w:val="545" w:hRule="exact"/>
        </w:trPr>
        <w:tc>
          <w:tcPr>
            <w:tcW w:w="552" w:type="dxa"/>
          </w:tcPr>
          <w:p>
            <w:pPr>
              <w:pStyle w:val="TableParagraph"/>
              <w:spacing w:before="4"/>
              <w:rPr>
                <w:b/>
                <w:sz w:val="24"/>
              </w:rPr>
            </w:pPr>
          </w:p>
          <w:p>
            <w:pPr>
              <w:pStyle w:val="TableParagraph"/>
              <w:spacing w:before="1"/>
              <w:ind w:left="67" w:right="67"/>
              <w:jc w:val="center"/>
              <w:rPr>
                <w:sz w:val="22"/>
              </w:rPr>
            </w:pPr>
            <w:r>
              <w:rPr>
                <w:sz w:val="22"/>
              </w:rPr>
              <w:t>10</w:t>
            </w:r>
          </w:p>
        </w:tc>
        <w:tc>
          <w:tcPr>
            <w:tcW w:w="5274" w:type="dxa"/>
          </w:tcPr>
          <w:p>
            <w:pPr>
              <w:pStyle w:val="TableParagraph"/>
              <w:spacing w:before="26"/>
              <w:ind w:left="64" w:right="508"/>
              <w:rPr>
                <w:sz w:val="22"/>
              </w:rPr>
            </w:pPr>
            <w:r>
              <w:rPr>
                <w:sz w:val="22"/>
              </w:rPr>
              <w:t>Innovation, networks, patrimonial resources and territorial development</w:t>
            </w:r>
          </w:p>
        </w:tc>
        <w:tc>
          <w:tcPr>
            <w:tcW w:w="761" w:type="dxa"/>
          </w:tcPr>
          <w:p>
            <w:pPr>
              <w:pStyle w:val="TableParagraph"/>
              <w:spacing w:before="4"/>
              <w:rPr>
                <w:b/>
                <w:sz w:val="24"/>
              </w:rPr>
            </w:pPr>
          </w:p>
          <w:p>
            <w:pPr>
              <w:pStyle w:val="TableParagraph"/>
              <w:spacing w:before="1"/>
              <w:ind w:left="105" w:right="105"/>
              <w:jc w:val="center"/>
              <w:rPr>
                <w:sz w:val="22"/>
              </w:rPr>
            </w:pPr>
            <w:r>
              <w:rPr>
                <w:sz w:val="22"/>
              </w:rPr>
              <w:t>18</w:t>
            </w:r>
          </w:p>
        </w:tc>
        <w:tc>
          <w:tcPr>
            <w:tcW w:w="802" w:type="dxa"/>
          </w:tcPr>
          <w:p>
            <w:pPr>
              <w:pStyle w:val="TableParagraph"/>
              <w:spacing w:before="4"/>
              <w:rPr>
                <w:b/>
                <w:sz w:val="24"/>
              </w:rPr>
            </w:pPr>
          </w:p>
          <w:p>
            <w:pPr>
              <w:pStyle w:val="TableParagraph"/>
              <w:spacing w:before="1"/>
              <w:ind w:left="192" w:right="192"/>
              <w:jc w:val="center"/>
              <w:rPr>
                <w:sz w:val="22"/>
              </w:rPr>
            </w:pPr>
            <w:r>
              <w:rPr>
                <w:sz w:val="22"/>
              </w:rPr>
              <w:t>1.5</w:t>
            </w:r>
          </w:p>
        </w:tc>
        <w:tc>
          <w:tcPr>
            <w:tcW w:w="1438" w:type="dxa"/>
          </w:tcPr>
          <w:p>
            <w:pPr>
              <w:pStyle w:val="TableParagraph"/>
              <w:spacing w:before="4"/>
              <w:rPr>
                <w:b/>
                <w:sz w:val="24"/>
              </w:rPr>
            </w:pPr>
          </w:p>
          <w:p>
            <w:pPr>
              <w:pStyle w:val="TableParagraph"/>
              <w:spacing w:before="1"/>
              <w:ind w:left="46" w:right="46"/>
              <w:jc w:val="center"/>
              <w:rPr>
                <w:sz w:val="22"/>
              </w:rPr>
            </w:pPr>
            <w:r>
              <w:rPr>
                <w:sz w:val="22"/>
              </w:rPr>
              <w:t>73.859</w:t>
            </w:r>
          </w:p>
        </w:tc>
      </w:tr>
      <w:tr>
        <w:trPr>
          <w:trHeight w:val="545" w:hRule="exact"/>
        </w:trPr>
        <w:tc>
          <w:tcPr>
            <w:tcW w:w="552" w:type="dxa"/>
          </w:tcPr>
          <w:p>
            <w:pPr>
              <w:pStyle w:val="TableParagraph"/>
              <w:spacing w:before="4"/>
              <w:rPr>
                <w:b/>
                <w:sz w:val="24"/>
              </w:rPr>
            </w:pPr>
          </w:p>
          <w:p>
            <w:pPr>
              <w:pStyle w:val="TableParagraph"/>
              <w:spacing w:before="1"/>
              <w:ind w:left="67" w:right="67"/>
              <w:jc w:val="center"/>
              <w:rPr>
                <w:sz w:val="22"/>
              </w:rPr>
            </w:pPr>
            <w:r>
              <w:rPr>
                <w:sz w:val="22"/>
              </w:rPr>
              <w:t>11</w:t>
            </w:r>
          </w:p>
        </w:tc>
        <w:tc>
          <w:tcPr>
            <w:tcW w:w="5274" w:type="dxa"/>
          </w:tcPr>
          <w:p>
            <w:pPr>
              <w:pStyle w:val="TableParagraph"/>
              <w:spacing w:before="26"/>
              <w:ind w:left="64" w:right="227"/>
              <w:rPr>
                <w:sz w:val="22"/>
              </w:rPr>
            </w:pPr>
            <w:r>
              <w:rPr>
                <w:sz w:val="22"/>
              </w:rPr>
              <w:t>Changes in growth patterns in an intermediate city: the case of Chillan in Central Chile</w:t>
            </w:r>
          </w:p>
        </w:tc>
        <w:tc>
          <w:tcPr>
            <w:tcW w:w="761" w:type="dxa"/>
          </w:tcPr>
          <w:p>
            <w:pPr>
              <w:pStyle w:val="TableParagraph"/>
              <w:spacing w:before="4"/>
              <w:rPr>
                <w:b/>
                <w:sz w:val="24"/>
              </w:rPr>
            </w:pPr>
          </w:p>
          <w:p>
            <w:pPr>
              <w:pStyle w:val="TableParagraph"/>
              <w:spacing w:before="1"/>
              <w:ind w:left="105" w:right="105"/>
              <w:jc w:val="center"/>
              <w:rPr>
                <w:sz w:val="22"/>
              </w:rPr>
            </w:pPr>
            <w:r>
              <w:rPr>
                <w:sz w:val="22"/>
              </w:rPr>
              <w:t>18</w:t>
            </w:r>
          </w:p>
        </w:tc>
        <w:tc>
          <w:tcPr>
            <w:tcW w:w="802" w:type="dxa"/>
          </w:tcPr>
          <w:p>
            <w:pPr>
              <w:pStyle w:val="TableParagraph"/>
              <w:spacing w:before="4"/>
              <w:rPr>
                <w:b/>
                <w:sz w:val="24"/>
              </w:rPr>
            </w:pPr>
          </w:p>
          <w:p>
            <w:pPr>
              <w:pStyle w:val="TableParagraph"/>
              <w:spacing w:before="1"/>
              <w:ind w:left="192" w:right="192"/>
              <w:jc w:val="center"/>
              <w:rPr>
                <w:sz w:val="22"/>
              </w:rPr>
            </w:pPr>
            <w:r>
              <w:rPr>
                <w:sz w:val="22"/>
              </w:rPr>
              <w:t>1.5</w:t>
            </w:r>
          </w:p>
        </w:tc>
        <w:tc>
          <w:tcPr>
            <w:tcW w:w="1438" w:type="dxa"/>
          </w:tcPr>
          <w:p>
            <w:pPr>
              <w:pStyle w:val="TableParagraph"/>
              <w:spacing w:before="4"/>
              <w:rPr>
                <w:b/>
                <w:sz w:val="24"/>
              </w:rPr>
            </w:pPr>
          </w:p>
          <w:p>
            <w:pPr>
              <w:pStyle w:val="TableParagraph"/>
              <w:spacing w:before="1"/>
              <w:ind w:left="46" w:right="46"/>
              <w:jc w:val="center"/>
              <w:rPr>
                <w:sz w:val="22"/>
              </w:rPr>
            </w:pPr>
            <w:r>
              <w:rPr>
                <w:sz w:val="22"/>
              </w:rPr>
              <w:t>72.365</w:t>
            </w:r>
          </w:p>
        </w:tc>
      </w:tr>
      <w:tr>
        <w:trPr>
          <w:trHeight w:val="545" w:hRule="exact"/>
        </w:trPr>
        <w:tc>
          <w:tcPr>
            <w:tcW w:w="552" w:type="dxa"/>
          </w:tcPr>
          <w:p>
            <w:pPr>
              <w:pStyle w:val="TableParagraph"/>
              <w:spacing w:before="4"/>
              <w:rPr>
                <w:b/>
                <w:sz w:val="24"/>
              </w:rPr>
            </w:pPr>
          </w:p>
          <w:p>
            <w:pPr>
              <w:pStyle w:val="TableParagraph"/>
              <w:spacing w:before="1"/>
              <w:ind w:left="67" w:right="67"/>
              <w:jc w:val="center"/>
              <w:rPr>
                <w:sz w:val="22"/>
              </w:rPr>
            </w:pPr>
            <w:r>
              <w:rPr>
                <w:sz w:val="22"/>
              </w:rPr>
              <w:t>12</w:t>
            </w:r>
          </w:p>
        </w:tc>
        <w:tc>
          <w:tcPr>
            <w:tcW w:w="5274" w:type="dxa"/>
          </w:tcPr>
          <w:p>
            <w:pPr>
              <w:pStyle w:val="TableParagraph"/>
              <w:spacing w:before="26"/>
              <w:ind w:left="64" w:right="178"/>
              <w:rPr>
                <w:sz w:val="22"/>
              </w:rPr>
            </w:pPr>
            <w:r>
              <w:rPr>
                <w:sz w:val="22"/>
              </w:rPr>
              <w:t>Segregation, ghettos and urban social integration: myths and realities</w:t>
            </w:r>
          </w:p>
        </w:tc>
        <w:tc>
          <w:tcPr>
            <w:tcW w:w="761" w:type="dxa"/>
          </w:tcPr>
          <w:p>
            <w:pPr>
              <w:pStyle w:val="TableParagraph"/>
              <w:spacing w:before="4"/>
              <w:rPr>
                <w:b/>
                <w:sz w:val="24"/>
              </w:rPr>
            </w:pPr>
          </w:p>
          <w:p>
            <w:pPr>
              <w:pStyle w:val="TableParagraph"/>
              <w:spacing w:before="1"/>
              <w:ind w:left="105" w:right="105"/>
              <w:jc w:val="center"/>
              <w:rPr>
                <w:sz w:val="22"/>
              </w:rPr>
            </w:pPr>
            <w:r>
              <w:rPr>
                <w:sz w:val="22"/>
              </w:rPr>
              <w:t>16</w:t>
            </w:r>
          </w:p>
        </w:tc>
        <w:tc>
          <w:tcPr>
            <w:tcW w:w="802" w:type="dxa"/>
          </w:tcPr>
          <w:p>
            <w:pPr>
              <w:pStyle w:val="TableParagraph"/>
              <w:spacing w:before="4"/>
              <w:rPr>
                <w:b/>
                <w:sz w:val="24"/>
              </w:rPr>
            </w:pPr>
          </w:p>
          <w:p>
            <w:pPr>
              <w:pStyle w:val="TableParagraph"/>
              <w:spacing w:before="1"/>
              <w:ind w:left="192" w:right="192"/>
              <w:jc w:val="center"/>
              <w:rPr>
                <w:sz w:val="22"/>
              </w:rPr>
            </w:pPr>
            <w:r>
              <w:rPr>
                <w:sz w:val="22"/>
              </w:rPr>
              <w:t>1.3</w:t>
            </w:r>
          </w:p>
        </w:tc>
        <w:tc>
          <w:tcPr>
            <w:tcW w:w="1438" w:type="dxa"/>
          </w:tcPr>
          <w:p>
            <w:pPr>
              <w:pStyle w:val="TableParagraph"/>
              <w:spacing w:before="4"/>
              <w:rPr>
                <w:b/>
                <w:sz w:val="24"/>
              </w:rPr>
            </w:pPr>
          </w:p>
          <w:p>
            <w:pPr>
              <w:pStyle w:val="TableParagraph"/>
              <w:spacing w:before="1"/>
              <w:ind w:left="46" w:right="46"/>
              <w:jc w:val="center"/>
              <w:rPr>
                <w:sz w:val="22"/>
              </w:rPr>
            </w:pPr>
            <w:r>
              <w:rPr>
                <w:sz w:val="22"/>
              </w:rPr>
              <w:t>70.871</w:t>
            </w:r>
          </w:p>
        </w:tc>
      </w:tr>
      <w:tr>
        <w:trPr>
          <w:trHeight w:val="545" w:hRule="exact"/>
        </w:trPr>
        <w:tc>
          <w:tcPr>
            <w:tcW w:w="552" w:type="dxa"/>
          </w:tcPr>
          <w:p>
            <w:pPr>
              <w:pStyle w:val="TableParagraph"/>
              <w:spacing w:before="4"/>
              <w:rPr>
                <w:b/>
                <w:sz w:val="24"/>
              </w:rPr>
            </w:pPr>
          </w:p>
          <w:p>
            <w:pPr>
              <w:pStyle w:val="TableParagraph"/>
              <w:spacing w:before="1"/>
              <w:ind w:left="67" w:right="67"/>
              <w:jc w:val="center"/>
              <w:rPr>
                <w:sz w:val="22"/>
              </w:rPr>
            </w:pPr>
            <w:r>
              <w:rPr>
                <w:sz w:val="22"/>
              </w:rPr>
              <w:t>13</w:t>
            </w:r>
          </w:p>
        </w:tc>
        <w:tc>
          <w:tcPr>
            <w:tcW w:w="5274" w:type="dxa"/>
          </w:tcPr>
          <w:p>
            <w:pPr>
              <w:pStyle w:val="TableParagraph"/>
              <w:spacing w:before="29"/>
              <w:ind w:left="64" w:right="679"/>
              <w:rPr>
                <w:sz w:val="22"/>
              </w:rPr>
            </w:pPr>
            <w:r>
              <w:rPr>
                <w:sz w:val="22"/>
              </w:rPr>
              <w:t>Environmental evaluation of Andean piedmont urbanization process in Santiago de Chile</w:t>
            </w:r>
          </w:p>
        </w:tc>
        <w:tc>
          <w:tcPr>
            <w:tcW w:w="761" w:type="dxa"/>
          </w:tcPr>
          <w:p>
            <w:pPr>
              <w:pStyle w:val="TableParagraph"/>
              <w:spacing w:before="4"/>
              <w:rPr>
                <w:b/>
                <w:sz w:val="24"/>
              </w:rPr>
            </w:pPr>
          </w:p>
          <w:p>
            <w:pPr>
              <w:pStyle w:val="TableParagraph"/>
              <w:spacing w:before="1"/>
              <w:ind w:left="105" w:right="105"/>
              <w:jc w:val="center"/>
              <w:rPr>
                <w:sz w:val="22"/>
              </w:rPr>
            </w:pPr>
            <w:r>
              <w:rPr>
                <w:sz w:val="22"/>
              </w:rPr>
              <w:t>15</w:t>
            </w:r>
          </w:p>
        </w:tc>
        <w:tc>
          <w:tcPr>
            <w:tcW w:w="802" w:type="dxa"/>
          </w:tcPr>
          <w:p>
            <w:pPr>
              <w:pStyle w:val="TableParagraph"/>
              <w:spacing w:before="4"/>
              <w:rPr>
                <w:b/>
                <w:sz w:val="24"/>
              </w:rPr>
            </w:pPr>
          </w:p>
          <w:p>
            <w:pPr>
              <w:pStyle w:val="TableParagraph"/>
              <w:spacing w:before="1"/>
              <w:ind w:left="192" w:right="192"/>
              <w:jc w:val="center"/>
              <w:rPr>
                <w:sz w:val="22"/>
              </w:rPr>
            </w:pPr>
            <w:r>
              <w:rPr>
                <w:sz w:val="22"/>
              </w:rPr>
              <w:t>1.2</w:t>
            </w:r>
          </w:p>
        </w:tc>
        <w:tc>
          <w:tcPr>
            <w:tcW w:w="1438" w:type="dxa"/>
          </w:tcPr>
          <w:p>
            <w:pPr>
              <w:pStyle w:val="TableParagraph"/>
              <w:spacing w:before="4"/>
              <w:rPr>
                <w:b/>
                <w:sz w:val="24"/>
              </w:rPr>
            </w:pPr>
          </w:p>
          <w:p>
            <w:pPr>
              <w:pStyle w:val="TableParagraph"/>
              <w:spacing w:before="1"/>
              <w:ind w:left="46" w:right="46"/>
              <w:jc w:val="center"/>
              <w:rPr>
                <w:sz w:val="22"/>
              </w:rPr>
            </w:pPr>
            <w:r>
              <w:rPr>
                <w:sz w:val="22"/>
              </w:rPr>
              <w:t>69.544</w:t>
            </w:r>
          </w:p>
        </w:tc>
      </w:tr>
      <w:tr>
        <w:trPr>
          <w:trHeight w:val="516" w:hRule="exact"/>
        </w:trPr>
        <w:tc>
          <w:tcPr>
            <w:tcW w:w="552" w:type="dxa"/>
          </w:tcPr>
          <w:p>
            <w:pPr>
              <w:pStyle w:val="TableParagraph"/>
              <w:spacing w:before="10"/>
              <w:rPr>
                <w:b/>
                <w:sz w:val="21"/>
              </w:rPr>
            </w:pPr>
          </w:p>
          <w:p>
            <w:pPr>
              <w:pStyle w:val="TableParagraph"/>
              <w:ind w:left="67" w:right="67"/>
              <w:jc w:val="center"/>
              <w:rPr>
                <w:sz w:val="22"/>
              </w:rPr>
            </w:pPr>
            <w:r>
              <w:rPr>
                <w:sz w:val="22"/>
              </w:rPr>
              <w:t>14</w:t>
            </w:r>
          </w:p>
        </w:tc>
        <w:tc>
          <w:tcPr>
            <w:tcW w:w="5274" w:type="dxa"/>
          </w:tcPr>
          <w:p>
            <w:pPr>
              <w:pStyle w:val="TableParagraph"/>
              <w:spacing w:line="242" w:lineRule="auto"/>
              <w:ind w:left="64" w:right="386"/>
              <w:rPr>
                <w:sz w:val="22"/>
              </w:rPr>
            </w:pPr>
            <w:r>
              <w:rPr>
                <w:sz w:val="22"/>
              </w:rPr>
              <w:t>Urban industrial trajectories: new processes, new contrasts</w:t>
            </w:r>
          </w:p>
        </w:tc>
        <w:tc>
          <w:tcPr>
            <w:tcW w:w="761" w:type="dxa"/>
          </w:tcPr>
          <w:p>
            <w:pPr>
              <w:pStyle w:val="TableParagraph"/>
              <w:spacing w:before="10"/>
              <w:rPr>
                <w:b/>
                <w:sz w:val="21"/>
              </w:rPr>
            </w:pPr>
          </w:p>
          <w:p>
            <w:pPr>
              <w:pStyle w:val="TableParagraph"/>
              <w:ind w:left="105" w:right="105"/>
              <w:jc w:val="center"/>
              <w:rPr>
                <w:sz w:val="22"/>
              </w:rPr>
            </w:pPr>
            <w:r>
              <w:rPr>
                <w:sz w:val="22"/>
              </w:rPr>
              <w:t>15</w:t>
            </w:r>
          </w:p>
        </w:tc>
        <w:tc>
          <w:tcPr>
            <w:tcW w:w="802" w:type="dxa"/>
          </w:tcPr>
          <w:p>
            <w:pPr>
              <w:pStyle w:val="TableParagraph"/>
              <w:spacing w:before="10"/>
              <w:rPr>
                <w:b/>
                <w:sz w:val="21"/>
              </w:rPr>
            </w:pPr>
          </w:p>
          <w:p>
            <w:pPr>
              <w:pStyle w:val="TableParagraph"/>
              <w:ind w:left="192" w:right="192"/>
              <w:jc w:val="center"/>
              <w:rPr>
                <w:sz w:val="22"/>
              </w:rPr>
            </w:pPr>
            <w:r>
              <w:rPr>
                <w:sz w:val="22"/>
              </w:rPr>
              <w:t>1.2</w:t>
            </w:r>
          </w:p>
        </w:tc>
        <w:tc>
          <w:tcPr>
            <w:tcW w:w="1438" w:type="dxa"/>
          </w:tcPr>
          <w:p>
            <w:pPr>
              <w:pStyle w:val="TableParagraph"/>
              <w:spacing w:before="10"/>
              <w:rPr>
                <w:b/>
                <w:sz w:val="21"/>
              </w:rPr>
            </w:pPr>
          </w:p>
          <w:p>
            <w:pPr>
              <w:pStyle w:val="TableParagraph"/>
              <w:ind w:left="46" w:right="46"/>
              <w:jc w:val="center"/>
              <w:rPr>
                <w:sz w:val="22"/>
              </w:rPr>
            </w:pPr>
            <w:r>
              <w:rPr>
                <w:sz w:val="22"/>
              </w:rPr>
              <w:t>68.299</w:t>
            </w:r>
          </w:p>
        </w:tc>
      </w:tr>
      <w:tr>
        <w:trPr>
          <w:trHeight w:val="317" w:hRule="exact"/>
        </w:trPr>
        <w:tc>
          <w:tcPr>
            <w:tcW w:w="552" w:type="dxa"/>
          </w:tcPr>
          <w:p>
            <w:pPr>
              <w:pStyle w:val="TableParagraph"/>
              <w:spacing w:before="53"/>
              <w:ind w:left="67" w:right="67"/>
              <w:jc w:val="center"/>
              <w:rPr>
                <w:sz w:val="22"/>
              </w:rPr>
            </w:pPr>
            <w:r>
              <w:rPr>
                <w:sz w:val="22"/>
              </w:rPr>
              <w:t>15</w:t>
            </w:r>
          </w:p>
        </w:tc>
        <w:tc>
          <w:tcPr>
            <w:tcW w:w="5274" w:type="dxa"/>
          </w:tcPr>
          <w:p>
            <w:pPr>
              <w:pStyle w:val="TableParagraph"/>
              <w:spacing w:before="53"/>
              <w:ind w:left="64" w:right="679"/>
              <w:rPr>
                <w:sz w:val="22"/>
              </w:rPr>
            </w:pPr>
            <w:r>
              <w:rPr>
                <w:sz w:val="22"/>
              </w:rPr>
              <w:t>Urban tourism and the geography of the city</w:t>
            </w:r>
          </w:p>
        </w:tc>
        <w:tc>
          <w:tcPr>
            <w:tcW w:w="761" w:type="dxa"/>
          </w:tcPr>
          <w:p>
            <w:pPr>
              <w:pStyle w:val="TableParagraph"/>
              <w:spacing w:before="53"/>
              <w:ind w:left="105" w:right="105"/>
              <w:jc w:val="center"/>
              <w:rPr>
                <w:sz w:val="22"/>
              </w:rPr>
            </w:pPr>
            <w:r>
              <w:rPr>
                <w:sz w:val="22"/>
              </w:rPr>
              <w:t>15</w:t>
            </w:r>
          </w:p>
        </w:tc>
        <w:tc>
          <w:tcPr>
            <w:tcW w:w="802" w:type="dxa"/>
          </w:tcPr>
          <w:p>
            <w:pPr>
              <w:pStyle w:val="TableParagraph"/>
              <w:spacing w:before="53"/>
              <w:ind w:left="192" w:right="192"/>
              <w:jc w:val="center"/>
              <w:rPr>
                <w:sz w:val="22"/>
              </w:rPr>
            </w:pPr>
            <w:r>
              <w:rPr>
                <w:sz w:val="22"/>
              </w:rPr>
              <w:t>1.2</w:t>
            </w:r>
          </w:p>
        </w:tc>
        <w:tc>
          <w:tcPr>
            <w:tcW w:w="1438" w:type="dxa"/>
          </w:tcPr>
          <w:p>
            <w:pPr>
              <w:pStyle w:val="TableParagraph"/>
              <w:spacing w:before="53"/>
              <w:ind w:left="46" w:right="46"/>
              <w:jc w:val="center"/>
              <w:rPr>
                <w:sz w:val="22"/>
              </w:rPr>
            </w:pPr>
            <w:r>
              <w:rPr>
                <w:sz w:val="22"/>
              </w:rPr>
              <w:t>67.054</w:t>
            </w:r>
          </w:p>
        </w:tc>
      </w:tr>
      <w:tr>
        <w:trPr>
          <w:trHeight w:val="545" w:hRule="exact"/>
        </w:trPr>
        <w:tc>
          <w:tcPr>
            <w:tcW w:w="552" w:type="dxa"/>
          </w:tcPr>
          <w:p>
            <w:pPr>
              <w:pStyle w:val="TableParagraph"/>
              <w:spacing w:before="4"/>
              <w:rPr>
                <w:b/>
                <w:sz w:val="24"/>
              </w:rPr>
            </w:pPr>
          </w:p>
          <w:p>
            <w:pPr>
              <w:pStyle w:val="TableParagraph"/>
              <w:spacing w:before="1"/>
              <w:ind w:left="67" w:right="67"/>
              <w:jc w:val="center"/>
              <w:rPr>
                <w:sz w:val="22"/>
              </w:rPr>
            </w:pPr>
            <w:r>
              <w:rPr>
                <w:sz w:val="22"/>
              </w:rPr>
              <w:t>16</w:t>
            </w:r>
          </w:p>
        </w:tc>
        <w:tc>
          <w:tcPr>
            <w:tcW w:w="5274" w:type="dxa"/>
          </w:tcPr>
          <w:p>
            <w:pPr>
              <w:pStyle w:val="TableParagraph"/>
              <w:spacing w:before="26"/>
              <w:ind w:left="64" w:right="251"/>
              <w:rPr>
                <w:sz w:val="22"/>
              </w:rPr>
            </w:pPr>
            <w:r>
              <w:rPr>
                <w:sz w:val="22"/>
              </w:rPr>
              <w:t>Mega-cities and expanded outskirts. Expanding on the concept in Ciudad de Mexico</w:t>
            </w:r>
          </w:p>
        </w:tc>
        <w:tc>
          <w:tcPr>
            <w:tcW w:w="761" w:type="dxa"/>
          </w:tcPr>
          <w:p>
            <w:pPr>
              <w:pStyle w:val="TableParagraph"/>
              <w:spacing w:before="4"/>
              <w:rPr>
                <w:b/>
                <w:sz w:val="24"/>
              </w:rPr>
            </w:pPr>
          </w:p>
          <w:p>
            <w:pPr>
              <w:pStyle w:val="TableParagraph"/>
              <w:spacing w:before="1"/>
              <w:ind w:left="105" w:right="105"/>
              <w:jc w:val="center"/>
              <w:rPr>
                <w:sz w:val="22"/>
              </w:rPr>
            </w:pPr>
            <w:r>
              <w:rPr>
                <w:sz w:val="22"/>
              </w:rPr>
              <w:t>15</w:t>
            </w:r>
          </w:p>
        </w:tc>
        <w:tc>
          <w:tcPr>
            <w:tcW w:w="802" w:type="dxa"/>
          </w:tcPr>
          <w:p>
            <w:pPr>
              <w:pStyle w:val="TableParagraph"/>
              <w:spacing w:before="4"/>
              <w:rPr>
                <w:b/>
                <w:sz w:val="24"/>
              </w:rPr>
            </w:pPr>
          </w:p>
          <w:p>
            <w:pPr>
              <w:pStyle w:val="TableParagraph"/>
              <w:spacing w:before="1"/>
              <w:ind w:left="192" w:right="192"/>
              <w:jc w:val="center"/>
              <w:rPr>
                <w:sz w:val="22"/>
              </w:rPr>
            </w:pPr>
            <w:r>
              <w:rPr>
                <w:sz w:val="22"/>
              </w:rPr>
              <w:t>1.2</w:t>
            </w:r>
          </w:p>
        </w:tc>
        <w:tc>
          <w:tcPr>
            <w:tcW w:w="1438" w:type="dxa"/>
          </w:tcPr>
          <w:p>
            <w:pPr>
              <w:pStyle w:val="TableParagraph"/>
              <w:spacing w:before="4"/>
              <w:rPr>
                <w:b/>
                <w:sz w:val="24"/>
              </w:rPr>
            </w:pPr>
          </w:p>
          <w:p>
            <w:pPr>
              <w:pStyle w:val="TableParagraph"/>
              <w:spacing w:before="1"/>
              <w:ind w:left="46" w:right="46"/>
              <w:jc w:val="center"/>
              <w:rPr>
                <w:sz w:val="22"/>
              </w:rPr>
            </w:pPr>
            <w:r>
              <w:rPr>
                <w:sz w:val="22"/>
              </w:rPr>
              <w:t>65.809</w:t>
            </w:r>
          </w:p>
        </w:tc>
      </w:tr>
      <w:tr>
        <w:trPr>
          <w:trHeight w:val="768" w:hRule="exact"/>
        </w:trPr>
        <w:tc>
          <w:tcPr>
            <w:tcW w:w="552" w:type="dxa"/>
          </w:tcPr>
          <w:p>
            <w:pPr>
              <w:pStyle w:val="TableParagraph"/>
              <w:rPr>
                <w:b/>
                <w:sz w:val="22"/>
              </w:rPr>
            </w:pPr>
          </w:p>
          <w:p>
            <w:pPr>
              <w:pStyle w:val="TableParagraph"/>
              <w:spacing w:before="9"/>
              <w:rPr>
                <w:b/>
                <w:sz w:val="21"/>
              </w:rPr>
            </w:pPr>
          </w:p>
          <w:p>
            <w:pPr>
              <w:pStyle w:val="TableParagraph"/>
              <w:ind w:left="67" w:right="67"/>
              <w:jc w:val="center"/>
              <w:rPr>
                <w:sz w:val="22"/>
              </w:rPr>
            </w:pPr>
            <w:r>
              <w:rPr>
                <w:sz w:val="22"/>
              </w:rPr>
              <w:t>17</w:t>
            </w:r>
          </w:p>
        </w:tc>
        <w:tc>
          <w:tcPr>
            <w:tcW w:w="5274" w:type="dxa"/>
          </w:tcPr>
          <w:p>
            <w:pPr>
              <w:pStyle w:val="TableParagraph"/>
              <w:ind w:left="64" w:right="75"/>
              <w:rPr>
                <w:sz w:val="22"/>
              </w:rPr>
            </w:pPr>
            <w:r>
              <w:rPr>
                <w:sz w:val="22"/>
              </w:rPr>
              <w:t>The repositioning of urban cities and urban regions in a global economy: pushing policy and governance options</w:t>
            </w:r>
          </w:p>
        </w:tc>
        <w:tc>
          <w:tcPr>
            <w:tcW w:w="761" w:type="dxa"/>
          </w:tcPr>
          <w:p>
            <w:pPr>
              <w:pStyle w:val="TableParagraph"/>
              <w:rPr>
                <w:b/>
                <w:sz w:val="22"/>
              </w:rPr>
            </w:pPr>
          </w:p>
          <w:p>
            <w:pPr>
              <w:pStyle w:val="TableParagraph"/>
              <w:spacing w:before="9"/>
              <w:rPr>
                <w:b/>
                <w:sz w:val="21"/>
              </w:rPr>
            </w:pPr>
          </w:p>
          <w:p>
            <w:pPr>
              <w:pStyle w:val="TableParagraph"/>
              <w:ind w:left="105" w:right="105"/>
              <w:jc w:val="center"/>
              <w:rPr>
                <w:sz w:val="22"/>
              </w:rPr>
            </w:pPr>
            <w:r>
              <w:rPr>
                <w:sz w:val="22"/>
              </w:rPr>
              <w:t>14</w:t>
            </w:r>
          </w:p>
        </w:tc>
        <w:tc>
          <w:tcPr>
            <w:tcW w:w="802" w:type="dxa"/>
          </w:tcPr>
          <w:p>
            <w:pPr>
              <w:pStyle w:val="TableParagraph"/>
              <w:rPr>
                <w:b/>
                <w:sz w:val="22"/>
              </w:rPr>
            </w:pPr>
          </w:p>
          <w:p>
            <w:pPr>
              <w:pStyle w:val="TableParagraph"/>
              <w:spacing w:before="9"/>
              <w:rPr>
                <w:b/>
                <w:sz w:val="21"/>
              </w:rPr>
            </w:pPr>
          </w:p>
          <w:p>
            <w:pPr>
              <w:pStyle w:val="TableParagraph"/>
              <w:ind w:left="192" w:right="192"/>
              <w:jc w:val="center"/>
              <w:rPr>
                <w:sz w:val="22"/>
              </w:rPr>
            </w:pPr>
            <w:r>
              <w:rPr>
                <w:sz w:val="22"/>
              </w:rPr>
              <w:t>1.2</w:t>
            </w:r>
          </w:p>
        </w:tc>
        <w:tc>
          <w:tcPr>
            <w:tcW w:w="1438" w:type="dxa"/>
          </w:tcPr>
          <w:p>
            <w:pPr>
              <w:pStyle w:val="TableParagraph"/>
              <w:rPr>
                <w:b/>
                <w:sz w:val="22"/>
              </w:rPr>
            </w:pPr>
          </w:p>
          <w:p>
            <w:pPr>
              <w:pStyle w:val="TableParagraph"/>
              <w:spacing w:before="9"/>
              <w:rPr>
                <w:b/>
                <w:sz w:val="21"/>
              </w:rPr>
            </w:pPr>
          </w:p>
          <w:p>
            <w:pPr>
              <w:pStyle w:val="TableParagraph"/>
              <w:ind w:left="46" w:right="46"/>
              <w:jc w:val="center"/>
              <w:rPr>
                <w:sz w:val="22"/>
              </w:rPr>
            </w:pPr>
            <w:r>
              <w:rPr>
                <w:sz w:val="22"/>
              </w:rPr>
              <w:t>64.564</w:t>
            </w:r>
          </w:p>
        </w:tc>
      </w:tr>
      <w:tr>
        <w:trPr>
          <w:trHeight w:val="317" w:hRule="exact"/>
        </w:trPr>
        <w:tc>
          <w:tcPr>
            <w:tcW w:w="552" w:type="dxa"/>
          </w:tcPr>
          <w:p>
            <w:pPr>
              <w:pStyle w:val="TableParagraph"/>
              <w:spacing w:before="53"/>
              <w:ind w:left="67" w:right="67"/>
              <w:jc w:val="center"/>
              <w:rPr>
                <w:sz w:val="22"/>
              </w:rPr>
            </w:pPr>
            <w:r>
              <w:rPr>
                <w:sz w:val="22"/>
              </w:rPr>
              <w:t>18</w:t>
            </w:r>
          </w:p>
        </w:tc>
        <w:tc>
          <w:tcPr>
            <w:tcW w:w="5274" w:type="dxa"/>
          </w:tcPr>
          <w:p>
            <w:pPr>
              <w:pStyle w:val="TableParagraph"/>
              <w:spacing w:before="53"/>
              <w:ind w:left="64" w:right="679"/>
              <w:rPr>
                <w:sz w:val="22"/>
              </w:rPr>
            </w:pPr>
            <w:r>
              <w:rPr>
                <w:sz w:val="22"/>
              </w:rPr>
              <w:t>Locating cities on global circuits</w:t>
            </w:r>
          </w:p>
        </w:tc>
        <w:tc>
          <w:tcPr>
            <w:tcW w:w="761" w:type="dxa"/>
          </w:tcPr>
          <w:p>
            <w:pPr>
              <w:pStyle w:val="TableParagraph"/>
              <w:spacing w:before="53"/>
              <w:ind w:left="105" w:right="105"/>
              <w:jc w:val="center"/>
              <w:rPr>
                <w:sz w:val="22"/>
              </w:rPr>
            </w:pPr>
            <w:r>
              <w:rPr>
                <w:sz w:val="22"/>
              </w:rPr>
              <w:t>14</w:t>
            </w:r>
          </w:p>
        </w:tc>
        <w:tc>
          <w:tcPr>
            <w:tcW w:w="802" w:type="dxa"/>
          </w:tcPr>
          <w:p>
            <w:pPr>
              <w:pStyle w:val="TableParagraph"/>
              <w:spacing w:before="53"/>
              <w:ind w:left="192" w:right="192"/>
              <w:jc w:val="center"/>
              <w:rPr>
                <w:sz w:val="22"/>
              </w:rPr>
            </w:pPr>
            <w:r>
              <w:rPr>
                <w:sz w:val="22"/>
              </w:rPr>
              <w:t>1.2</w:t>
            </w:r>
          </w:p>
        </w:tc>
        <w:tc>
          <w:tcPr>
            <w:tcW w:w="1438" w:type="dxa"/>
          </w:tcPr>
          <w:p>
            <w:pPr>
              <w:pStyle w:val="TableParagraph"/>
              <w:spacing w:before="53"/>
              <w:ind w:left="46" w:right="46"/>
              <w:jc w:val="center"/>
              <w:rPr>
                <w:sz w:val="22"/>
              </w:rPr>
            </w:pPr>
            <w:r>
              <w:rPr>
                <w:sz w:val="22"/>
              </w:rPr>
              <w:t>63.402</w:t>
            </w:r>
          </w:p>
        </w:tc>
      </w:tr>
      <w:tr>
        <w:trPr>
          <w:trHeight w:val="545" w:hRule="exact"/>
        </w:trPr>
        <w:tc>
          <w:tcPr>
            <w:tcW w:w="552" w:type="dxa"/>
          </w:tcPr>
          <w:p>
            <w:pPr>
              <w:pStyle w:val="TableParagraph"/>
              <w:spacing w:before="4"/>
              <w:rPr>
                <w:b/>
                <w:sz w:val="24"/>
              </w:rPr>
            </w:pPr>
          </w:p>
          <w:p>
            <w:pPr>
              <w:pStyle w:val="TableParagraph"/>
              <w:spacing w:before="1"/>
              <w:ind w:left="67" w:right="67"/>
              <w:jc w:val="center"/>
              <w:rPr>
                <w:sz w:val="22"/>
              </w:rPr>
            </w:pPr>
            <w:r>
              <w:rPr>
                <w:sz w:val="22"/>
              </w:rPr>
              <w:t>19</w:t>
            </w:r>
          </w:p>
        </w:tc>
        <w:tc>
          <w:tcPr>
            <w:tcW w:w="5274" w:type="dxa"/>
          </w:tcPr>
          <w:p>
            <w:pPr>
              <w:pStyle w:val="TableParagraph"/>
              <w:spacing w:before="26"/>
              <w:ind w:left="64" w:right="239"/>
              <w:rPr>
                <w:sz w:val="22"/>
              </w:rPr>
            </w:pPr>
            <w:r>
              <w:rPr>
                <w:sz w:val="22"/>
              </w:rPr>
              <w:t>Metropolitan labor market and social inequalities in Great Santiago. A dual city?</w:t>
            </w:r>
          </w:p>
        </w:tc>
        <w:tc>
          <w:tcPr>
            <w:tcW w:w="761" w:type="dxa"/>
          </w:tcPr>
          <w:p>
            <w:pPr>
              <w:pStyle w:val="TableParagraph"/>
              <w:spacing w:before="4"/>
              <w:rPr>
                <w:b/>
                <w:sz w:val="24"/>
              </w:rPr>
            </w:pPr>
          </w:p>
          <w:p>
            <w:pPr>
              <w:pStyle w:val="TableParagraph"/>
              <w:spacing w:before="1"/>
              <w:ind w:left="105" w:right="105"/>
              <w:jc w:val="center"/>
              <w:rPr>
                <w:sz w:val="22"/>
              </w:rPr>
            </w:pPr>
            <w:r>
              <w:rPr>
                <w:sz w:val="22"/>
              </w:rPr>
              <w:t>14</w:t>
            </w:r>
          </w:p>
        </w:tc>
        <w:tc>
          <w:tcPr>
            <w:tcW w:w="802" w:type="dxa"/>
          </w:tcPr>
          <w:p>
            <w:pPr>
              <w:pStyle w:val="TableParagraph"/>
              <w:spacing w:before="4"/>
              <w:rPr>
                <w:b/>
                <w:sz w:val="24"/>
              </w:rPr>
            </w:pPr>
          </w:p>
          <w:p>
            <w:pPr>
              <w:pStyle w:val="TableParagraph"/>
              <w:spacing w:before="1"/>
              <w:ind w:left="192" w:right="192"/>
              <w:jc w:val="center"/>
              <w:rPr>
                <w:sz w:val="22"/>
              </w:rPr>
            </w:pPr>
            <w:r>
              <w:rPr>
                <w:sz w:val="22"/>
              </w:rPr>
              <w:t>1.2</w:t>
            </w:r>
          </w:p>
        </w:tc>
        <w:tc>
          <w:tcPr>
            <w:tcW w:w="1438" w:type="dxa"/>
          </w:tcPr>
          <w:p>
            <w:pPr>
              <w:pStyle w:val="TableParagraph"/>
              <w:spacing w:before="4"/>
              <w:rPr>
                <w:b/>
                <w:sz w:val="24"/>
              </w:rPr>
            </w:pPr>
          </w:p>
          <w:p>
            <w:pPr>
              <w:pStyle w:val="TableParagraph"/>
              <w:spacing w:before="1"/>
              <w:ind w:left="46" w:right="46"/>
              <w:jc w:val="center"/>
              <w:rPr>
                <w:sz w:val="22"/>
              </w:rPr>
            </w:pPr>
            <w:r>
              <w:rPr>
                <w:sz w:val="22"/>
              </w:rPr>
              <w:t>62.241</w:t>
            </w:r>
          </w:p>
        </w:tc>
      </w:tr>
      <w:tr>
        <w:trPr>
          <w:trHeight w:val="545" w:hRule="exact"/>
        </w:trPr>
        <w:tc>
          <w:tcPr>
            <w:tcW w:w="552" w:type="dxa"/>
          </w:tcPr>
          <w:p>
            <w:pPr>
              <w:pStyle w:val="TableParagraph"/>
              <w:spacing w:before="4"/>
              <w:rPr>
                <w:b/>
                <w:sz w:val="24"/>
              </w:rPr>
            </w:pPr>
          </w:p>
          <w:p>
            <w:pPr>
              <w:pStyle w:val="TableParagraph"/>
              <w:ind w:left="67" w:right="67"/>
              <w:jc w:val="center"/>
              <w:rPr>
                <w:sz w:val="22"/>
              </w:rPr>
            </w:pPr>
            <w:r>
              <w:rPr>
                <w:sz w:val="22"/>
              </w:rPr>
              <w:t>20</w:t>
            </w:r>
          </w:p>
        </w:tc>
        <w:tc>
          <w:tcPr>
            <w:tcW w:w="5274" w:type="dxa"/>
          </w:tcPr>
          <w:p>
            <w:pPr>
              <w:pStyle w:val="TableParagraph"/>
              <w:spacing w:before="26"/>
              <w:ind w:left="64" w:right="643"/>
              <w:rPr>
                <w:sz w:val="22"/>
              </w:rPr>
            </w:pPr>
            <w:r>
              <w:rPr>
                <w:sz w:val="22"/>
              </w:rPr>
              <w:t>Synthetic indicators of environmental quality: a general model for great urban zones</w:t>
            </w:r>
          </w:p>
        </w:tc>
        <w:tc>
          <w:tcPr>
            <w:tcW w:w="761" w:type="dxa"/>
          </w:tcPr>
          <w:p>
            <w:pPr>
              <w:pStyle w:val="TableParagraph"/>
              <w:spacing w:before="4"/>
              <w:rPr>
                <w:b/>
                <w:sz w:val="24"/>
              </w:rPr>
            </w:pPr>
          </w:p>
          <w:p>
            <w:pPr>
              <w:pStyle w:val="TableParagraph"/>
              <w:ind w:left="105" w:right="105"/>
              <w:jc w:val="center"/>
              <w:rPr>
                <w:sz w:val="22"/>
              </w:rPr>
            </w:pPr>
            <w:r>
              <w:rPr>
                <w:sz w:val="22"/>
              </w:rPr>
              <w:t>13</w:t>
            </w:r>
          </w:p>
        </w:tc>
        <w:tc>
          <w:tcPr>
            <w:tcW w:w="802" w:type="dxa"/>
          </w:tcPr>
          <w:p>
            <w:pPr>
              <w:pStyle w:val="TableParagraph"/>
              <w:spacing w:before="4"/>
              <w:rPr>
                <w:b/>
                <w:sz w:val="24"/>
              </w:rPr>
            </w:pPr>
          </w:p>
          <w:p>
            <w:pPr>
              <w:pStyle w:val="TableParagraph"/>
              <w:ind w:left="192" w:right="192"/>
              <w:jc w:val="center"/>
              <w:rPr>
                <w:sz w:val="22"/>
              </w:rPr>
            </w:pPr>
            <w:r>
              <w:rPr>
                <w:sz w:val="22"/>
              </w:rPr>
              <w:t>1.1</w:t>
            </w:r>
          </w:p>
        </w:tc>
        <w:tc>
          <w:tcPr>
            <w:tcW w:w="1438" w:type="dxa"/>
          </w:tcPr>
          <w:p>
            <w:pPr>
              <w:pStyle w:val="TableParagraph"/>
              <w:spacing w:before="4"/>
              <w:rPr>
                <w:b/>
                <w:sz w:val="24"/>
              </w:rPr>
            </w:pPr>
          </w:p>
          <w:p>
            <w:pPr>
              <w:pStyle w:val="TableParagraph"/>
              <w:ind w:left="46" w:right="46"/>
              <w:jc w:val="center"/>
              <w:rPr>
                <w:sz w:val="22"/>
              </w:rPr>
            </w:pPr>
            <w:r>
              <w:rPr>
                <w:sz w:val="22"/>
              </w:rPr>
              <w:t>61.079</w:t>
            </w:r>
          </w:p>
        </w:tc>
      </w:tr>
      <w:tr>
        <w:trPr>
          <w:trHeight w:val="317" w:hRule="exact"/>
        </w:trPr>
        <w:tc>
          <w:tcPr>
            <w:tcW w:w="552" w:type="dxa"/>
          </w:tcPr>
          <w:p>
            <w:pPr>
              <w:pStyle w:val="TableParagraph"/>
              <w:spacing w:before="53"/>
              <w:ind w:left="67" w:right="67"/>
              <w:jc w:val="center"/>
              <w:rPr>
                <w:sz w:val="22"/>
              </w:rPr>
            </w:pPr>
            <w:r>
              <w:rPr>
                <w:sz w:val="22"/>
              </w:rPr>
              <w:t>21</w:t>
            </w:r>
          </w:p>
        </w:tc>
        <w:tc>
          <w:tcPr>
            <w:tcW w:w="5274" w:type="dxa"/>
          </w:tcPr>
          <w:p>
            <w:pPr>
              <w:pStyle w:val="TableParagraph"/>
              <w:spacing w:before="53"/>
              <w:ind w:left="64" w:right="679"/>
              <w:rPr>
                <w:sz w:val="22"/>
              </w:rPr>
            </w:pPr>
            <w:r>
              <w:rPr>
                <w:sz w:val="22"/>
              </w:rPr>
              <w:t>The housing problem of the non-homeless</w:t>
            </w:r>
          </w:p>
        </w:tc>
        <w:tc>
          <w:tcPr>
            <w:tcW w:w="761" w:type="dxa"/>
          </w:tcPr>
          <w:p>
            <w:pPr>
              <w:pStyle w:val="TableParagraph"/>
              <w:spacing w:before="53"/>
              <w:ind w:left="105" w:right="105"/>
              <w:jc w:val="center"/>
              <w:rPr>
                <w:sz w:val="22"/>
              </w:rPr>
            </w:pPr>
            <w:r>
              <w:rPr>
                <w:sz w:val="22"/>
              </w:rPr>
              <w:t>13</w:t>
            </w:r>
          </w:p>
        </w:tc>
        <w:tc>
          <w:tcPr>
            <w:tcW w:w="802" w:type="dxa"/>
          </w:tcPr>
          <w:p>
            <w:pPr>
              <w:pStyle w:val="TableParagraph"/>
              <w:spacing w:before="53"/>
              <w:ind w:left="192" w:right="192"/>
              <w:jc w:val="center"/>
              <w:rPr>
                <w:sz w:val="22"/>
              </w:rPr>
            </w:pPr>
            <w:r>
              <w:rPr>
                <w:sz w:val="22"/>
              </w:rPr>
              <w:t>1.1</w:t>
            </w:r>
          </w:p>
        </w:tc>
        <w:tc>
          <w:tcPr>
            <w:tcW w:w="1438" w:type="dxa"/>
          </w:tcPr>
          <w:p>
            <w:pPr>
              <w:pStyle w:val="TableParagraph"/>
              <w:spacing w:before="53"/>
              <w:ind w:left="46" w:right="46"/>
              <w:jc w:val="center"/>
              <w:rPr>
                <w:sz w:val="22"/>
              </w:rPr>
            </w:pPr>
            <w:r>
              <w:rPr>
                <w:sz w:val="22"/>
              </w:rPr>
              <w:t>60.000</w:t>
            </w:r>
          </w:p>
        </w:tc>
      </w:tr>
    </w:tbl>
    <w:p>
      <w:pPr>
        <w:spacing w:after="0"/>
        <w:jc w:val="center"/>
        <w:rPr>
          <w:sz w:val="22"/>
        </w:rPr>
        <w:sectPr>
          <w:pgSz w:w="12240" w:h="15840"/>
          <w:pgMar w:header="0" w:footer="629" w:top="136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
        <w:gridCol w:w="5274"/>
        <w:gridCol w:w="761"/>
        <w:gridCol w:w="802"/>
        <w:gridCol w:w="1438"/>
      </w:tblGrid>
      <w:tr>
        <w:trPr>
          <w:trHeight w:val="316" w:hRule="exact"/>
        </w:trPr>
        <w:tc>
          <w:tcPr>
            <w:tcW w:w="552" w:type="dxa"/>
            <w:shd w:val="clear" w:color="auto" w:fill="938953"/>
          </w:tcPr>
          <w:p>
            <w:pPr/>
          </w:p>
        </w:tc>
        <w:tc>
          <w:tcPr>
            <w:tcW w:w="5274" w:type="dxa"/>
            <w:shd w:val="clear" w:color="auto" w:fill="938953"/>
          </w:tcPr>
          <w:p>
            <w:pPr>
              <w:pStyle w:val="TableParagraph"/>
              <w:spacing w:before="47"/>
              <w:ind w:left="2347" w:right="2350"/>
              <w:jc w:val="center"/>
              <w:rPr>
                <w:b/>
                <w:sz w:val="22"/>
              </w:rPr>
            </w:pPr>
            <w:r>
              <w:rPr>
                <w:b/>
                <w:color w:val="FFFFFF"/>
                <w:sz w:val="22"/>
              </w:rPr>
              <w:t>Total</w:t>
            </w:r>
          </w:p>
        </w:tc>
        <w:tc>
          <w:tcPr>
            <w:tcW w:w="761" w:type="dxa"/>
            <w:shd w:val="clear" w:color="auto" w:fill="938953"/>
          </w:tcPr>
          <w:p>
            <w:pPr>
              <w:pStyle w:val="TableParagraph"/>
              <w:spacing w:before="49"/>
              <w:ind w:left="105" w:right="105"/>
              <w:jc w:val="center"/>
              <w:rPr>
                <w:sz w:val="22"/>
              </w:rPr>
            </w:pPr>
            <w:r>
              <w:rPr>
                <w:color w:val="FFFFFF"/>
                <w:sz w:val="22"/>
              </w:rPr>
              <w:t>Citas</w:t>
            </w:r>
          </w:p>
        </w:tc>
        <w:tc>
          <w:tcPr>
            <w:tcW w:w="802" w:type="dxa"/>
            <w:shd w:val="clear" w:color="auto" w:fill="938953"/>
          </w:tcPr>
          <w:p>
            <w:pPr>
              <w:pStyle w:val="TableParagraph"/>
              <w:spacing w:before="49"/>
              <w:ind w:right="298"/>
              <w:jc w:val="right"/>
              <w:rPr>
                <w:sz w:val="22"/>
              </w:rPr>
            </w:pPr>
            <w:r>
              <w:rPr>
                <w:color w:val="FFFFFF"/>
                <w:w w:val="100"/>
                <w:sz w:val="22"/>
              </w:rPr>
              <w:t>%</w:t>
            </w:r>
          </w:p>
        </w:tc>
        <w:tc>
          <w:tcPr>
            <w:tcW w:w="1438" w:type="dxa"/>
            <w:shd w:val="clear" w:color="auto" w:fill="938953"/>
          </w:tcPr>
          <w:p>
            <w:pPr>
              <w:pStyle w:val="TableParagraph"/>
              <w:spacing w:before="49"/>
              <w:ind w:left="46" w:right="46"/>
              <w:jc w:val="center"/>
              <w:rPr>
                <w:sz w:val="22"/>
              </w:rPr>
            </w:pPr>
            <w:r>
              <w:rPr>
                <w:color w:val="FFFFFF"/>
                <w:sz w:val="22"/>
              </w:rPr>
              <w:t>%Acumulado</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22</w:t>
            </w:r>
          </w:p>
        </w:tc>
        <w:tc>
          <w:tcPr>
            <w:tcW w:w="5274" w:type="dxa"/>
          </w:tcPr>
          <w:p>
            <w:pPr>
              <w:pStyle w:val="TableParagraph"/>
              <w:spacing w:before="23"/>
              <w:ind w:left="64" w:right="838"/>
              <w:rPr>
                <w:sz w:val="22"/>
              </w:rPr>
            </w:pPr>
            <w:r>
              <w:rPr>
                <w:sz w:val="22"/>
              </w:rPr>
              <w:t>Territorial development and decentralization. Development in people's place and hands</w:t>
            </w:r>
          </w:p>
        </w:tc>
        <w:tc>
          <w:tcPr>
            <w:tcW w:w="761" w:type="dxa"/>
          </w:tcPr>
          <w:p>
            <w:pPr>
              <w:pStyle w:val="TableParagraph"/>
              <w:spacing w:before="2"/>
              <w:rPr>
                <w:b/>
                <w:sz w:val="24"/>
              </w:rPr>
            </w:pPr>
          </w:p>
          <w:p>
            <w:pPr>
              <w:pStyle w:val="TableParagraph"/>
              <w:ind w:left="105" w:right="105"/>
              <w:jc w:val="center"/>
              <w:rPr>
                <w:sz w:val="22"/>
              </w:rPr>
            </w:pPr>
            <w:r>
              <w:rPr>
                <w:sz w:val="22"/>
              </w:rPr>
              <w:t>13</w:t>
            </w:r>
          </w:p>
        </w:tc>
        <w:tc>
          <w:tcPr>
            <w:tcW w:w="802" w:type="dxa"/>
          </w:tcPr>
          <w:p>
            <w:pPr>
              <w:pStyle w:val="TableParagraph"/>
              <w:spacing w:before="2"/>
              <w:rPr>
                <w:b/>
                <w:sz w:val="24"/>
              </w:rPr>
            </w:pPr>
          </w:p>
          <w:p>
            <w:pPr>
              <w:pStyle w:val="TableParagraph"/>
              <w:ind w:right="240"/>
              <w:jc w:val="right"/>
              <w:rPr>
                <w:sz w:val="22"/>
              </w:rPr>
            </w:pPr>
            <w:r>
              <w:rPr>
                <w:sz w:val="22"/>
              </w:rPr>
              <w:t>1.1</w:t>
            </w:r>
          </w:p>
        </w:tc>
        <w:tc>
          <w:tcPr>
            <w:tcW w:w="1438" w:type="dxa"/>
          </w:tcPr>
          <w:p>
            <w:pPr>
              <w:pStyle w:val="TableParagraph"/>
              <w:spacing w:before="2"/>
              <w:rPr>
                <w:b/>
                <w:sz w:val="24"/>
              </w:rPr>
            </w:pPr>
          </w:p>
          <w:p>
            <w:pPr>
              <w:pStyle w:val="TableParagraph"/>
              <w:ind w:left="46" w:right="46"/>
              <w:jc w:val="center"/>
              <w:rPr>
                <w:sz w:val="22"/>
              </w:rPr>
            </w:pPr>
            <w:r>
              <w:rPr>
                <w:sz w:val="22"/>
              </w:rPr>
              <w:t>58.921</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23</w:t>
            </w:r>
          </w:p>
        </w:tc>
        <w:tc>
          <w:tcPr>
            <w:tcW w:w="5274" w:type="dxa"/>
          </w:tcPr>
          <w:p>
            <w:pPr>
              <w:pStyle w:val="TableParagraph"/>
              <w:spacing w:before="23"/>
              <w:ind w:left="64" w:right="129"/>
              <w:rPr>
                <w:sz w:val="22"/>
              </w:rPr>
            </w:pPr>
            <w:r>
              <w:rPr>
                <w:sz w:val="22"/>
              </w:rPr>
              <w:t>Urban imaginaries and geographical constructivism: spatial holograms</w:t>
            </w:r>
          </w:p>
        </w:tc>
        <w:tc>
          <w:tcPr>
            <w:tcW w:w="761" w:type="dxa"/>
          </w:tcPr>
          <w:p>
            <w:pPr>
              <w:pStyle w:val="TableParagraph"/>
              <w:spacing w:before="2"/>
              <w:rPr>
                <w:b/>
                <w:sz w:val="24"/>
              </w:rPr>
            </w:pPr>
          </w:p>
          <w:p>
            <w:pPr>
              <w:pStyle w:val="TableParagraph"/>
              <w:ind w:left="105" w:right="105"/>
              <w:jc w:val="center"/>
              <w:rPr>
                <w:sz w:val="22"/>
              </w:rPr>
            </w:pPr>
            <w:r>
              <w:rPr>
                <w:sz w:val="22"/>
              </w:rPr>
              <w:t>12</w:t>
            </w:r>
          </w:p>
        </w:tc>
        <w:tc>
          <w:tcPr>
            <w:tcW w:w="802" w:type="dxa"/>
          </w:tcPr>
          <w:p>
            <w:pPr>
              <w:pStyle w:val="TableParagraph"/>
              <w:spacing w:before="2"/>
              <w:rPr>
                <w:b/>
                <w:sz w:val="24"/>
              </w:rPr>
            </w:pPr>
          </w:p>
          <w:p>
            <w:pPr>
              <w:pStyle w:val="TableParagraph"/>
              <w:ind w:right="240"/>
              <w:jc w:val="right"/>
              <w:rPr>
                <w:sz w:val="22"/>
              </w:rPr>
            </w:pPr>
            <w:r>
              <w:rPr>
                <w:sz w:val="22"/>
              </w:rPr>
              <w:t>1.0</w:t>
            </w:r>
          </w:p>
        </w:tc>
        <w:tc>
          <w:tcPr>
            <w:tcW w:w="1438" w:type="dxa"/>
          </w:tcPr>
          <w:p>
            <w:pPr>
              <w:pStyle w:val="TableParagraph"/>
              <w:spacing w:before="2"/>
              <w:rPr>
                <w:b/>
                <w:sz w:val="24"/>
              </w:rPr>
            </w:pPr>
          </w:p>
          <w:p>
            <w:pPr>
              <w:pStyle w:val="TableParagraph"/>
              <w:ind w:left="46" w:right="46"/>
              <w:jc w:val="center"/>
              <w:rPr>
                <w:sz w:val="22"/>
              </w:rPr>
            </w:pPr>
            <w:r>
              <w:rPr>
                <w:sz w:val="22"/>
              </w:rPr>
              <w:t>57.842</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24</w:t>
            </w:r>
          </w:p>
        </w:tc>
        <w:tc>
          <w:tcPr>
            <w:tcW w:w="5274" w:type="dxa"/>
          </w:tcPr>
          <w:p>
            <w:pPr>
              <w:pStyle w:val="TableParagraph"/>
              <w:spacing w:before="26"/>
              <w:ind w:left="64" w:right="973"/>
              <w:rPr>
                <w:sz w:val="22"/>
              </w:rPr>
            </w:pPr>
            <w:r>
              <w:rPr>
                <w:sz w:val="22"/>
              </w:rPr>
              <w:t>Model-cities: convergent strategies for their international diffusion</w:t>
            </w:r>
          </w:p>
        </w:tc>
        <w:tc>
          <w:tcPr>
            <w:tcW w:w="761" w:type="dxa"/>
          </w:tcPr>
          <w:p>
            <w:pPr>
              <w:pStyle w:val="TableParagraph"/>
              <w:spacing w:before="2"/>
              <w:rPr>
                <w:b/>
                <w:sz w:val="24"/>
              </w:rPr>
            </w:pPr>
          </w:p>
          <w:p>
            <w:pPr>
              <w:pStyle w:val="TableParagraph"/>
              <w:ind w:left="105" w:right="105"/>
              <w:jc w:val="center"/>
              <w:rPr>
                <w:sz w:val="22"/>
              </w:rPr>
            </w:pPr>
            <w:r>
              <w:rPr>
                <w:sz w:val="22"/>
              </w:rPr>
              <w:t>12</w:t>
            </w:r>
          </w:p>
        </w:tc>
        <w:tc>
          <w:tcPr>
            <w:tcW w:w="802" w:type="dxa"/>
          </w:tcPr>
          <w:p>
            <w:pPr>
              <w:pStyle w:val="TableParagraph"/>
              <w:spacing w:before="2"/>
              <w:rPr>
                <w:b/>
                <w:sz w:val="24"/>
              </w:rPr>
            </w:pPr>
          </w:p>
          <w:p>
            <w:pPr>
              <w:pStyle w:val="TableParagraph"/>
              <w:ind w:right="240"/>
              <w:jc w:val="right"/>
              <w:rPr>
                <w:sz w:val="22"/>
              </w:rPr>
            </w:pPr>
            <w:r>
              <w:rPr>
                <w:sz w:val="22"/>
              </w:rPr>
              <w:t>1.0</w:t>
            </w:r>
          </w:p>
        </w:tc>
        <w:tc>
          <w:tcPr>
            <w:tcW w:w="1438" w:type="dxa"/>
          </w:tcPr>
          <w:p>
            <w:pPr>
              <w:pStyle w:val="TableParagraph"/>
              <w:spacing w:before="2"/>
              <w:rPr>
                <w:b/>
                <w:sz w:val="24"/>
              </w:rPr>
            </w:pPr>
          </w:p>
          <w:p>
            <w:pPr>
              <w:pStyle w:val="TableParagraph"/>
              <w:ind w:left="46" w:right="46"/>
              <w:jc w:val="center"/>
              <w:rPr>
                <w:sz w:val="22"/>
              </w:rPr>
            </w:pPr>
            <w:r>
              <w:rPr>
                <w:sz w:val="22"/>
              </w:rPr>
              <w:t>56.846</w:t>
            </w:r>
          </w:p>
        </w:tc>
      </w:tr>
      <w:tr>
        <w:trPr>
          <w:trHeight w:val="806" w:hRule="exact"/>
        </w:trPr>
        <w:tc>
          <w:tcPr>
            <w:tcW w:w="552" w:type="dxa"/>
          </w:tcPr>
          <w:p>
            <w:pPr>
              <w:pStyle w:val="TableParagraph"/>
              <w:rPr>
                <w:b/>
                <w:sz w:val="22"/>
              </w:rPr>
            </w:pPr>
          </w:p>
          <w:p>
            <w:pPr>
              <w:pStyle w:val="TableParagraph"/>
              <w:spacing w:before="8"/>
              <w:rPr>
                <w:b/>
                <w:sz w:val="24"/>
              </w:rPr>
            </w:pPr>
          </w:p>
          <w:p>
            <w:pPr>
              <w:pStyle w:val="TableParagraph"/>
              <w:ind w:left="67" w:right="67"/>
              <w:jc w:val="center"/>
              <w:rPr>
                <w:sz w:val="22"/>
              </w:rPr>
            </w:pPr>
            <w:r>
              <w:rPr>
                <w:sz w:val="22"/>
              </w:rPr>
              <w:t>25</w:t>
            </w:r>
          </w:p>
        </w:tc>
        <w:tc>
          <w:tcPr>
            <w:tcW w:w="5274" w:type="dxa"/>
          </w:tcPr>
          <w:p>
            <w:pPr>
              <w:pStyle w:val="TableParagraph"/>
              <w:spacing w:before="33"/>
              <w:ind w:left="64" w:right="105"/>
              <w:rPr>
                <w:sz w:val="22"/>
              </w:rPr>
            </w:pPr>
            <w:r>
              <w:rPr>
                <w:sz w:val="22"/>
              </w:rPr>
              <w:t>Trends in the development of Latin American metropolises in an era of globalization: The cases of Mexico City and Santiago de Chile</w:t>
            </w:r>
          </w:p>
        </w:tc>
        <w:tc>
          <w:tcPr>
            <w:tcW w:w="761" w:type="dxa"/>
          </w:tcPr>
          <w:p>
            <w:pPr>
              <w:pStyle w:val="TableParagraph"/>
              <w:rPr>
                <w:b/>
                <w:sz w:val="22"/>
              </w:rPr>
            </w:pPr>
          </w:p>
          <w:p>
            <w:pPr>
              <w:pStyle w:val="TableParagraph"/>
              <w:spacing w:before="8"/>
              <w:rPr>
                <w:b/>
                <w:sz w:val="24"/>
              </w:rPr>
            </w:pPr>
          </w:p>
          <w:p>
            <w:pPr>
              <w:pStyle w:val="TableParagraph"/>
              <w:ind w:left="105" w:right="105"/>
              <w:jc w:val="center"/>
              <w:rPr>
                <w:sz w:val="22"/>
              </w:rPr>
            </w:pPr>
            <w:r>
              <w:rPr>
                <w:sz w:val="22"/>
              </w:rPr>
              <w:t>12</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1.0</w:t>
            </w:r>
          </w:p>
        </w:tc>
        <w:tc>
          <w:tcPr>
            <w:tcW w:w="1438" w:type="dxa"/>
          </w:tcPr>
          <w:p>
            <w:pPr>
              <w:pStyle w:val="TableParagraph"/>
              <w:rPr>
                <w:b/>
                <w:sz w:val="22"/>
              </w:rPr>
            </w:pPr>
          </w:p>
          <w:p>
            <w:pPr>
              <w:pStyle w:val="TableParagraph"/>
              <w:spacing w:before="8"/>
              <w:rPr>
                <w:b/>
                <w:sz w:val="24"/>
              </w:rPr>
            </w:pPr>
          </w:p>
          <w:p>
            <w:pPr>
              <w:pStyle w:val="TableParagraph"/>
              <w:ind w:left="46" w:right="46"/>
              <w:jc w:val="center"/>
              <w:rPr>
                <w:sz w:val="22"/>
              </w:rPr>
            </w:pPr>
            <w:r>
              <w:rPr>
                <w:sz w:val="22"/>
              </w:rPr>
              <w:t>55.851</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26</w:t>
            </w:r>
          </w:p>
        </w:tc>
        <w:tc>
          <w:tcPr>
            <w:tcW w:w="5274" w:type="dxa"/>
          </w:tcPr>
          <w:p>
            <w:pPr>
              <w:pStyle w:val="TableParagraph"/>
              <w:spacing w:before="23"/>
              <w:ind w:left="64" w:right="386"/>
              <w:rPr>
                <w:sz w:val="22"/>
              </w:rPr>
            </w:pPr>
            <w:r>
              <w:rPr>
                <w:sz w:val="22"/>
              </w:rPr>
              <w:t>Globalization and socio-territorial inequalities: the expansion of Caracas' metropolitan periphery</w:t>
            </w:r>
          </w:p>
        </w:tc>
        <w:tc>
          <w:tcPr>
            <w:tcW w:w="761" w:type="dxa"/>
          </w:tcPr>
          <w:p>
            <w:pPr>
              <w:pStyle w:val="TableParagraph"/>
              <w:spacing w:before="11"/>
              <w:rPr>
                <w:b/>
                <w:sz w:val="23"/>
              </w:rPr>
            </w:pPr>
          </w:p>
          <w:p>
            <w:pPr>
              <w:pStyle w:val="TableParagraph"/>
              <w:ind w:left="105" w:right="105"/>
              <w:jc w:val="center"/>
              <w:rPr>
                <w:sz w:val="22"/>
              </w:rPr>
            </w:pPr>
            <w:r>
              <w:rPr>
                <w:sz w:val="22"/>
              </w:rPr>
              <w:t>12</w:t>
            </w:r>
          </w:p>
        </w:tc>
        <w:tc>
          <w:tcPr>
            <w:tcW w:w="802" w:type="dxa"/>
          </w:tcPr>
          <w:p>
            <w:pPr>
              <w:pStyle w:val="TableParagraph"/>
              <w:spacing w:before="11"/>
              <w:rPr>
                <w:b/>
                <w:sz w:val="23"/>
              </w:rPr>
            </w:pPr>
          </w:p>
          <w:p>
            <w:pPr>
              <w:pStyle w:val="TableParagraph"/>
              <w:ind w:right="240"/>
              <w:jc w:val="right"/>
              <w:rPr>
                <w:sz w:val="22"/>
              </w:rPr>
            </w:pPr>
            <w:r>
              <w:rPr>
                <w:sz w:val="22"/>
              </w:rPr>
              <w:t>1.0</w:t>
            </w:r>
          </w:p>
        </w:tc>
        <w:tc>
          <w:tcPr>
            <w:tcW w:w="1438" w:type="dxa"/>
          </w:tcPr>
          <w:p>
            <w:pPr>
              <w:pStyle w:val="TableParagraph"/>
              <w:spacing w:before="11"/>
              <w:rPr>
                <w:b/>
                <w:sz w:val="23"/>
              </w:rPr>
            </w:pPr>
          </w:p>
          <w:p>
            <w:pPr>
              <w:pStyle w:val="TableParagraph"/>
              <w:ind w:left="46" w:right="46"/>
              <w:jc w:val="center"/>
              <w:rPr>
                <w:sz w:val="22"/>
              </w:rPr>
            </w:pPr>
            <w:r>
              <w:rPr>
                <w:sz w:val="22"/>
              </w:rPr>
              <w:t>54.855</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27</w:t>
            </w:r>
          </w:p>
        </w:tc>
        <w:tc>
          <w:tcPr>
            <w:tcW w:w="5274" w:type="dxa"/>
          </w:tcPr>
          <w:p>
            <w:pPr>
              <w:pStyle w:val="TableParagraph"/>
              <w:spacing w:before="24"/>
              <w:ind w:left="64" w:right="117"/>
              <w:rPr>
                <w:sz w:val="22"/>
              </w:rPr>
            </w:pPr>
            <w:r>
              <w:rPr>
                <w:sz w:val="22"/>
              </w:rPr>
              <w:t>The formation of the global city and the re-scaling of the State's space in post-fordist Western Europe</w:t>
            </w:r>
          </w:p>
        </w:tc>
        <w:tc>
          <w:tcPr>
            <w:tcW w:w="761" w:type="dxa"/>
          </w:tcPr>
          <w:p>
            <w:pPr>
              <w:pStyle w:val="TableParagraph"/>
              <w:spacing w:before="2"/>
              <w:rPr>
                <w:b/>
                <w:sz w:val="24"/>
              </w:rPr>
            </w:pPr>
          </w:p>
          <w:p>
            <w:pPr>
              <w:pStyle w:val="TableParagraph"/>
              <w:ind w:left="105" w:right="105"/>
              <w:jc w:val="center"/>
              <w:rPr>
                <w:sz w:val="22"/>
              </w:rPr>
            </w:pPr>
            <w:r>
              <w:rPr>
                <w:sz w:val="22"/>
              </w:rPr>
              <w:t>12</w:t>
            </w:r>
          </w:p>
        </w:tc>
        <w:tc>
          <w:tcPr>
            <w:tcW w:w="802" w:type="dxa"/>
          </w:tcPr>
          <w:p>
            <w:pPr>
              <w:pStyle w:val="TableParagraph"/>
              <w:spacing w:before="2"/>
              <w:rPr>
                <w:b/>
                <w:sz w:val="24"/>
              </w:rPr>
            </w:pPr>
          </w:p>
          <w:p>
            <w:pPr>
              <w:pStyle w:val="TableParagraph"/>
              <w:ind w:right="240"/>
              <w:jc w:val="right"/>
              <w:rPr>
                <w:sz w:val="22"/>
              </w:rPr>
            </w:pPr>
            <w:r>
              <w:rPr>
                <w:sz w:val="22"/>
              </w:rPr>
              <w:t>1.0</w:t>
            </w:r>
          </w:p>
        </w:tc>
        <w:tc>
          <w:tcPr>
            <w:tcW w:w="1438" w:type="dxa"/>
          </w:tcPr>
          <w:p>
            <w:pPr>
              <w:pStyle w:val="TableParagraph"/>
              <w:spacing w:before="2"/>
              <w:rPr>
                <w:b/>
                <w:sz w:val="24"/>
              </w:rPr>
            </w:pPr>
          </w:p>
          <w:p>
            <w:pPr>
              <w:pStyle w:val="TableParagraph"/>
              <w:ind w:left="46" w:right="46"/>
              <w:jc w:val="center"/>
              <w:rPr>
                <w:sz w:val="22"/>
              </w:rPr>
            </w:pPr>
            <w:r>
              <w:rPr>
                <w:sz w:val="22"/>
              </w:rPr>
              <w:t>53.859</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28</w:t>
            </w:r>
          </w:p>
        </w:tc>
        <w:tc>
          <w:tcPr>
            <w:tcW w:w="5274" w:type="dxa"/>
          </w:tcPr>
          <w:p>
            <w:pPr>
              <w:pStyle w:val="TableParagraph"/>
              <w:ind w:left="64" w:right="483"/>
              <w:rPr>
                <w:sz w:val="22"/>
              </w:rPr>
            </w:pPr>
            <w:r>
              <w:rPr>
                <w:sz w:val="22"/>
              </w:rPr>
              <w:t>Zoning and evaluation of the natural risks of geomorphologic type: a tool of urban planning in Concepcion city</w:t>
            </w:r>
          </w:p>
        </w:tc>
        <w:tc>
          <w:tcPr>
            <w:tcW w:w="761" w:type="dxa"/>
          </w:tcPr>
          <w:p>
            <w:pPr>
              <w:pStyle w:val="TableParagraph"/>
              <w:rPr>
                <w:b/>
                <w:sz w:val="22"/>
              </w:rPr>
            </w:pPr>
          </w:p>
          <w:p>
            <w:pPr>
              <w:pStyle w:val="TableParagraph"/>
              <w:spacing w:before="6"/>
              <w:rPr>
                <w:b/>
                <w:sz w:val="21"/>
              </w:rPr>
            </w:pPr>
          </w:p>
          <w:p>
            <w:pPr>
              <w:pStyle w:val="TableParagraph"/>
              <w:ind w:left="105" w:right="105"/>
              <w:jc w:val="center"/>
              <w:rPr>
                <w:sz w:val="22"/>
              </w:rPr>
            </w:pPr>
            <w:r>
              <w:rPr>
                <w:sz w:val="22"/>
              </w:rPr>
              <w:t>12</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1.0</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52.863</w:t>
            </w:r>
          </w:p>
        </w:tc>
      </w:tr>
      <w:tr>
        <w:trPr>
          <w:trHeight w:val="770"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29</w:t>
            </w:r>
          </w:p>
        </w:tc>
        <w:tc>
          <w:tcPr>
            <w:tcW w:w="5274" w:type="dxa"/>
          </w:tcPr>
          <w:p>
            <w:pPr>
              <w:pStyle w:val="TableParagraph"/>
              <w:ind w:left="64" w:right="461"/>
              <w:jc w:val="both"/>
              <w:rPr>
                <w:sz w:val="22"/>
              </w:rPr>
            </w:pPr>
            <w:r>
              <w:rPr>
                <w:sz w:val="22"/>
              </w:rPr>
              <w:t>Between the state and the market: Geographical resonances and social sustainability in Santiago, Chile</w:t>
            </w:r>
          </w:p>
        </w:tc>
        <w:tc>
          <w:tcPr>
            <w:tcW w:w="761" w:type="dxa"/>
          </w:tcPr>
          <w:p>
            <w:pPr>
              <w:pStyle w:val="TableParagraph"/>
              <w:rPr>
                <w:b/>
                <w:sz w:val="22"/>
              </w:rPr>
            </w:pPr>
          </w:p>
          <w:p>
            <w:pPr>
              <w:pStyle w:val="TableParagraph"/>
              <w:spacing w:before="6"/>
              <w:rPr>
                <w:b/>
                <w:sz w:val="21"/>
              </w:rPr>
            </w:pPr>
          </w:p>
          <w:p>
            <w:pPr>
              <w:pStyle w:val="TableParagraph"/>
              <w:ind w:left="105" w:right="105"/>
              <w:jc w:val="center"/>
              <w:rPr>
                <w:sz w:val="22"/>
              </w:rPr>
            </w:pPr>
            <w:r>
              <w:rPr>
                <w:sz w:val="22"/>
              </w:rPr>
              <w:t>12</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1.0</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51.867</w:t>
            </w:r>
          </w:p>
        </w:tc>
      </w:tr>
      <w:tr>
        <w:trPr>
          <w:trHeight w:val="314" w:hRule="exact"/>
        </w:trPr>
        <w:tc>
          <w:tcPr>
            <w:tcW w:w="552" w:type="dxa"/>
          </w:tcPr>
          <w:p>
            <w:pPr>
              <w:pStyle w:val="TableParagraph"/>
              <w:spacing w:before="47"/>
              <w:ind w:left="67" w:right="67"/>
              <w:jc w:val="center"/>
              <w:rPr>
                <w:sz w:val="22"/>
              </w:rPr>
            </w:pPr>
            <w:r>
              <w:rPr>
                <w:sz w:val="22"/>
              </w:rPr>
              <w:t>30</w:t>
            </w:r>
          </w:p>
        </w:tc>
        <w:tc>
          <w:tcPr>
            <w:tcW w:w="5274" w:type="dxa"/>
          </w:tcPr>
          <w:p>
            <w:pPr>
              <w:pStyle w:val="TableParagraph"/>
              <w:spacing w:before="47"/>
              <w:ind w:left="64" w:right="178"/>
              <w:rPr>
                <w:sz w:val="22"/>
              </w:rPr>
            </w:pPr>
            <w:r>
              <w:rPr>
                <w:sz w:val="22"/>
              </w:rPr>
              <w:t>The territory of the new metropolitan economies</w:t>
            </w:r>
          </w:p>
        </w:tc>
        <w:tc>
          <w:tcPr>
            <w:tcW w:w="761" w:type="dxa"/>
          </w:tcPr>
          <w:p>
            <w:pPr>
              <w:pStyle w:val="TableParagraph"/>
              <w:spacing w:before="47"/>
              <w:ind w:left="105" w:right="105"/>
              <w:jc w:val="center"/>
              <w:rPr>
                <w:sz w:val="22"/>
              </w:rPr>
            </w:pPr>
            <w:r>
              <w:rPr>
                <w:sz w:val="22"/>
              </w:rPr>
              <w:t>11</w:t>
            </w:r>
          </w:p>
        </w:tc>
        <w:tc>
          <w:tcPr>
            <w:tcW w:w="802" w:type="dxa"/>
          </w:tcPr>
          <w:p>
            <w:pPr>
              <w:pStyle w:val="TableParagraph"/>
              <w:spacing w:before="47"/>
              <w:ind w:right="240"/>
              <w:jc w:val="right"/>
              <w:rPr>
                <w:sz w:val="22"/>
              </w:rPr>
            </w:pPr>
            <w:r>
              <w:rPr>
                <w:sz w:val="22"/>
              </w:rPr>
              <w:t>0.9</w:t>
            </w:r>
          </w:p>
        </w:tc>
        <w:tc>
          <w:tcPr>
            <w:tcW w:w="1438" w:type="dxa"/>
          </w:tcPr>
          <w:p>
            <w:pPr>
              <w:pStyle w:val="TableParagraph"/>
              <w:spacing w:before="47"/>
              <w:ind w:left="46" w:right="46"/>
              <w:jc w:val="center"/>
              <w:rPr>
                <w:sz w:val="22"/>
              </w:rPr>
            </w:pPr>
            <w:r>
              <w:rPr>
                <w:sz w:val="22"/>
              </w:rPr>
              <w:t>50.871</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31</w:t>
            </w:r>
          </w:p>
        </w:tc>
        <w:tc>
          <w:tcPr>
            <w:tcW w:w="5274" w:type="dxa"/>
          </w:tcPr>
          <w:p>
            <w:pPr>
              <w:pStyle w:val="TableParagraph"/>
              <w:spacing w:before="26"/>
              <w:ind w:left="64" w:right="215"/>
              <w:rPr>
                <w:sz w:val="22"/>
              </w:rPr>
            </w:pPr>
            <w:r>
              <w:rPr>
                <w:sz w:val="22"/>
              </w:rPr>
              <w:t>A city without citizens? Fragmentation, segregation and fear in Santiago</w:t>
            </w:r>
          </w:p>
        </w:tc>
        <w:tc>
          <w:tcPr>
            <w:tcW w:w="761" w:type="dxa"/>
          </w:tcPr>
          <w:p>
            <w:pPr>
              <w:pStyle w:val="TableParagraph"/>
              <w:spacing w:before="2"/>
              <w:rPr>
                <w:b/>
                <w:sz w:val="24"/>
              </w:rPr>
            </w:pPr>
          </w:p>
          <w:p>
            <w:pPr>
              <w:pStyle w:val="TableParagraph"/>
              <w:ind w:left="105" w:right="105"/>
              <w:jc w:val="center"/>
              <w:rPr>
                <w:sz w:val="22"/>
              </w:rPr>
            </w:pPr>
            <w:r>
              <w:rPr>
                <w:sz w:val="22"/>
              </w:rPr>
              <w:t>11</w:t>
            </w:r>
          </w:p>
        </w:tc>
        <w:tc>
          <w:tcPr>
            <w:tcW w:w="802" w:type="dxa"/>
          </w:tcPr>
          <w:p>
            <w:pPr>
              <w:pStyle w:val="TableParagraph"/>
              <w:spacing w:before="2"/>
              <w:rPr>
                <w:b/>
                <w:sz w:val="24"/>
              </w:rPr>
            </w:pPr>
          </w:p>
          <w:p>
            <w:pPr>
              <w:pStyle w:val="TableParagraph"/>
              <w:ind w:right="240"/>
              <w:jc w:val="right"/>
              <w:rPr>
                <w:sz w:val="22"/>
              </w:rPr>
            </w:pPr>
            <w:r>
              <w:rPr>
                <w:sz w:val="22"/>
              </w:rPr>
              <w:t>0.9</w:t>
            </w:r>
          </w:p>
        </w:tc>
        <w:tc>
          <w:tcPr>
            <w:tcW w:w="1438" w:type="dxa"/>
          </w:tcPr>
          <w:p>
            <w:pPr>
              <w:pStyle w:val="TableParagraph"/>
              <w:spacing w:before="2"/>
              <w:rPr>
                <w:b/>
                <w:sz w:val="24"/>
              </w:rPr>
            </w:pPr>
          </w:p>
          <w:p>
            <w:pPr>
              <w:pStyle w:val="TableParagraph"/>
              <w:ind w:left="46" w:right="46"/>
              <w:jc w:val="center"/>
              <w:rPr>
                <w:sz w:val="22"/>
              </w:rPr>
            </w:pPr>
            <w:r>
              <w:rPr>
                <w:sz w:val="22"/>
              </w:rPr>
              <w:t>49.959</w:t>
            </w:r>
          </w:p>
        </w:tc>
      </w:tr>
      <w:tr>
        <w:trPr>
          <w:trHeight w:val="317" w:hRule="exact"/>
        </w:trPr>
        <w:tc>
          <w:tcPr>
            <w:tcW w:w="552" w:type="dxa"/>
          </w:tcPr>
          <w:p>
            <w:pPr>
              <w:pStyle w:val="TableParagraph"/>
              <w:spacing w:before="50"/>
              <w:ind w:left="67" w:right="67"/>
              <w:jc w:val="center"/>
              <w:rPr>
                <w:sz w:val="22"/>
              </w:rPr>
            </w:pPr>
            <w:r>
              <w:rPr>
                <w:sz w:val="22"/>
              </w:rPr>
              <w:t>32</w:t>
            </w:r>
          </w:p>
        </w:tc>
        <w:tc>
          <w:tcPr>
            <w:tcW w:w="5274" w:type="dxa"/>
          </w:tcPr>
          <w:p>
            <w:pPr>
              <w:pStyle w:val="TableParagraph"/>
              <w:spacing w:before="50"/>
              <w:ind w:left="64" w:right="178"/>
              <w:rPr>
                <w:sz w:val="22"/>
              </w:rPr>
            </w:pPr>
            <w:r>
              <w:rPr>
                <w:sz w:val="22"/>
              </w:rPr>
              <w:t>Strategies of communication and urban marketing</w:t>
            </w:r>
          </w:p>
        </w:tc>
        <w:tc>
          <w:tcPr>
            <w:tcW w:w="761" w:type="dxa"/>
          </w:tcPr>
          <w:p>
            <w:pPr>
              <w:pStyle w:val="TableParagraph"/>
              <w:spacing w:before="50"/>
              <w:ind w:left="105" w:right="105"/>
              <w:jc w:val="center"/>
              <w:rPr>
                <w:sz w:val="22"/>
              </w:rPr>
            </w:pPr>
            <w:r>
              <w:rPr>
                <w:sz w:val="22"/>
              </w:rPr>
              <w:t>11</w:t>
            </w:r>
          </w:p>
        </w:tc>
        <w:tc>
          <w:tcPr>
            <w:tcW w:w="802" w:type="dxa"/>
          </w:tcPr>
          <w:p>
            <w:pPr>
              <w:pStyle w:val="TableParagraph"/>
              <w:spacing w:before="50"/>
              <w:ind w:right="240"/>
              <w:jc w:val="right"/>
              <w:rPr>
                <w:sz w:val="22"/>
              </w:rPr>
            </w:pPr>
            <w:r>
              <w:rPr>
                <w:sz w:val="22"/>
              </w:rPr>
              <w:t>0.9</w:t>
            </w:r>
          </w:p>
        </w:tc>
        <w:tc>
          <w:tcPr>
            <w:tcW w:w="1438" w:type="dxa"/>
          </w:tcPr>
          <w:p>
            <w:pPr>
              <w:pStyle w:val="TableParagraph"/>
              <w:spacing w:before="50"/>
              <w:ind w:left="46" w:right="46"/>
              <w:jc w:val="center"/>
              <w:rPr>
                <w:sz w:val="22"/>
              </w:rPr>
            </w:pPr>
            <w:r>
              <w:rPr>
                <w:sz w:val="22"/>
              </w:rPr>
              <w:t>49.046</w:t>
            </w:r>
          </w:p>
        </w:tc>
      </w:tr>
      <w:tr>
        <w:trPr>
          <w:trHeight w:val="806" w:hRule="exact"/>
        </w:trPr>
        <w:tc>
          <w:tcPr>
            <w:tcW w:w="552" w:type="dxa"/>
          </w:tcPr>
          <w:p>
            <w:pPr>
              <w:pStyle w:val="TableParagraph"/>
              <w:rPr>
                <w:b/>
                <w:sz w:val="22"/>
              </w:rPr>
            </w:pPr>
          </w:p>
          <w:p>
            <w:pPr>
              <w:pStyle w:val="TableParagraph"/>
              <w:spacing w:before="8"/>
              <w:rPr>
                <w:b/>
                <w:sz w:val="24"/>
              </w:rPr>
            </w:pPr>
          </w:p>
          <w:p>
            <w:pPr>
              <w:pStyle w:val="TableParagraph"/>
              <w:ind w:left="67" w:right="67"/>
              <w:jc w:val="center"/>
              <w:rPr>
                <w:sz w:val="22"/>
              </w:rPr>
            </w:pPr>
            <w:r>
              <w:rPr>
                <w:sz w:val="22"/>
              </w:rPr>
              <w:t>33</w:t>
            </w:r>
          </w:p>
        </w:tc>
        <w:tc>
          <w:tcPr>
            <w:tcW w:w="5274" w:type="dxa"/>
          </w:tcPr>
          <w:p>
            <w:pPr>
              <w:pStyle w:val="TableParagraph"/>
              <w:spacing w:before="31"/>
              <w:ind w:left="64" w:right="117"/>
              <w:rPr>
                <w:sz w:val="22"/>
              </w:rPr>
            </w:pPr>
            <w:r>
              <w:rPr>
                <w:sz w:val="22"/>
              </w:rPr>
              <w:t>The double hierarchy of economic development and local government in Chile: The case of salmon aquaculture and the municipalities of Chiloe</w:t>
            </w:r>
          </w:p>
        </w:tc>
        <w:tc>
          <w:tcPr>
            <w:tcW w:w="761" w:type="dxa"/>
          </w:tcPr>
          <w:p>
            <w:pPr>
              <w:pStyle w:val="TableParagraph"/>
              <w:rPr>
                <w:b/>
                <w:sz w:val="22"/>
              </w:rPr>
            </w:pPr>
          </w:p>
          <w:p>
            <w:pPr>
              <w:pStyle w:val="TableParagraph"/>
              <w:spacing w:before="8"/>
              <w:rPr>
                <w:b/>
                <w:sz w:val="24"/>
              </w:rPr>
            </w:pPr>
          </w:p>
          <w:p>
            <w:pPr>
              <w:pStyle w:val="TableParagraph"/>
              <w:ind w:left="105" w:right="105"/>
              <w:jc w:val="center"/>
              <w:rPr>
                <w:sz w:val="22"/>
              </w:rPr>
            </w:pPr>
            <w:r>
              <w:rPr>
                <w:sz w:val="22"/>
              </w:rPr>
              <w:t>10</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0.8</w:t>
            </w:r>
          </w:p>
        </w:tc>
        <w:tc>
          <w:tcPr>
            <w:tcW w:w="1438" w:type="dxa"/>
          </w:tcPr>
          <w:p>
            <w:pPr>
              <w:pStyle w:val="TableParagraph"/>
              <w:rPr>
                <w:b/>
                <w:sz w:val="22"/>
              </w:rPr>
            </w:pPr>
          </w:p>
          <w:p>
            <w:pPr>
              <w:pStyle w:val="TableParagraph"/>
              <w:spacing w:before="8"/>
              <w:rPr>
                <w:b/>
                <w:sz w:val="24"/>
              </w:rPr>
            </w:pPr>
          </w:p>
          <w:p>
            <w:pPr>
              <w:pStyle w:val="TableParagraph"/>
              <w:ind w:left="46" w:right="46"/>
              <w:jc w:val="center"/>
              <w:rPr>
                <w:sz w:val="22"/>
              </w:rPr>
            </w:pPr>
            <w:r>
              <w:rPr>
                <w:sz w:val="22"/>
              </w:rPr>
              <w:t>48.133</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34</w:t>
            </w:r>
          </w:p>
        </w:tc>
        <w:tc>
          <w:tcPr>
            <w:tcW w:w="5274" w:type="dxa"/>
          </w:tcPr>
          <w:p>
            <w:pPr>
              <w:pStyle w:val="TableParagraph"/>
              <w:spacing w:before="23"/>
              <w:ind w:left="64" w:right="679"/>
              <w:rPr>
                <w:sz w:val="22"/>
              </w:rPr>
            </w:pPr>
            <w:r>
              <w:rPr>
                <w:sz w:val="22"/>
              </w:rPr>
              <w:t>Concentration and growth in Chile: An ignored negative relationship</w:t>
            </w:r>
          </w:p>
        </w:tc>
        <w:tc>
          <w:tcPr>
            <w:tcW w:w="761" w:type="dxa"/>
          </w:tcPr>
          <w:p>
            <w:pPr>
              <w:pStyle w:val="TableParagraph"/>
              <w:spacing w:before="11"/>
              <w:rPr>
                <w:b/>
                <w:sz w:val="23"/>
              </w:rPr>
            </w:pPr>
          </w:p>
          <w:p>
            <w:pPr>
              <w:pStyle w:val="TableParagraph"/>
              <w:jc w:val="center"/>
              <w:rPr>
                <w:sz w:val="22"/>
              </w:rPr>
            </w:pPr>
            <w:r>
              <w:rPr>
                <w:w w:val="100"/>
                <w:sz w:val="22"/>
              </w:rPr>
              <w:t>9</w:t>
            </w:r>
          </w:p>
        </w:tc>
        <w:tc>
          <w:tcPr>
            <w:tcW w:w="802" w:type="dxa"/>
          </w:tcPr>
          <w:p>
            <w:pPr>
              <w:pStyle w:val="TableParagraph"/>
              <w:spacing w:before="11"/>
              <w:rPr>
                <w:b/>
                <w:sz w:val="23"/>
              </w:rPr>
            </w:pPr>
          </w:p>
          <w:p>
            <w:pPr>
              <w:pStyle w:val="TableParagraph"/>
              <w:ind w:right="240"/>
              <w:jc w:val="right"/>
              <w:rPr>
                <w:sz w:val="22"/>
              </w:rPr>
            </w:pPr>
            <w:r>
              <w:rPr>
                <w:sz w:val="22"/>
              </w:rPr>
              <w:t>0.7</w:t>
            </w:r>
          </w:p>
        </w:tc>
        <w:tc>
          <w:tcPr>
            <w:tcW w:w="1438" w:type="dxa"/>
          </w:tcPr>
          <w:p>
            <w:pPr>
              <w:pStyle w:val="TableParagraph"/>
              <w:spacing w:before="11"/>
              <w:rPr>
                <w:b/>
                <w:sz w:val="23"/>
              </w:rPr>
            </w:pPr>
          </w:p>
          <w:p>
            <w:pPr>
              <w:pStyle w:val="TableParagraph"/>
              <w:ind w:left="46" w:right="46"/>
              <w:jc w:val="center"/>
              <w:rPr>
                <w:sz w:val="22"/>
              </w:rPr>
            </w:pPr>
            <w:r>
              <w:rPr>
                <w:sz w:val="22"/>
              </w:rPr>
              <w:t>47.303</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35</w:t>
            </w:r>
          </w:p>
        </w:tc>
        <w:tc>
          <w:tcPr>
            <w:tcW w:w="5274" w:type="dxa"/>
          </w:tcPr>
          <w:p>
            <w:pPr>
              <w:pStyle w:val="TableParagraph"/>
              <w:spacing w:before="23"/>
              <w:ind w:left="64" w:right="153"/>
              <w:rPr>
                <w:sz w:val="22"/>
              </w:rPr>
            </w:pPr>
            <w:r>
              <w:rPr>
                <w:sz w:val="22"/>
              </w:rPr>
              <w:t>Little Lima: The new face and vitality of Santiago de Chile's downtown</w:t>
            </w:r>
          </w:p>
        </w:tc>
        <w:tc>
          <w:tcPr>
            <w:tcW w:w="761" w:type="dxa"/>
          </w:tcPr>
          <w:p>
            <w:pPr>
              <w:pStyle w:val="TableParagraph"/>
              <w:spacing w:before="11"/>
              <w:rPr>
                <w:b/>
                <w:sz w:val="23"/>
              </w:rPr>
            </w:pPr>
          </w:p>
          <w:p>
            <w:pPr>
              <w:pStyle w:val="TableParagraph"/>
              <w:jc w:val="center"/>
              <w:rPr>
                <w:sz w:val="22"/>
              </w:rPr>
            </w:pPr>
            <w:r>
              <w:rPr>
                <w:w w:val="100"/>
                <w:sz w:val="22"/>
              </w:rPr>
              <w:t>9</w:t>
            </w:r>
          </w:p>
        </w:tc>
        <w:tc>
          <w:tcPr>
            <w:tcW w:w="802" w:type="dxa"/>
          </w:tcPr>
          <w:p>
            <w:pPr>
              <w:pStyle w:val="TableParagraph"/>
              <w:spacing w:before="11"/>
              <w:rPr>
                <w:b/>
                <w:sz w:val="23"/>
              </w:rPr>
            </w:pPr>
          </w:p>
          <w:p>
            <w:pPr>
              <w:pStyle w:val="TableParagraph"/>
              <w:ind w:right="240"/>
              <w:jc w:val="right"/>
              <w:rPr>
                <w:sz w:val="22"/>
              </w:rPr>
            </w:pPr>
            <w:r>
              <w:rPr>
                <w:sz w:val="22"/>
              </w:rPr>
              <w:t>0.7</w:t>
            </w:r>
          </w:p>
        </w:tc>
        <w:tc>
          <w:tcPr>
            <w:tcW w:w="1438" w:type="dxa"/>
          </w:tcPr>
          <w:p>
            <w:pPr>
              <w:pStyle w:val="TableParagraph"/>
              <w:spacing w:before="11"/>
              <w:rPr>
                <w:b/>
                <w:sz w:val="23"/>
              </w:rPr>
            </w:pPr>
          </w:p>
          <w:p>
            <w:pPr>
              <w:pStyle w:val="TableParagraph"/>
              <w:ind w:left="46" w:right="46"/>
              <w:jc w:val="center"/>
              <w:rPr>
                <w:sz w:val="22"/>
              </w:rPr>
            </w:pPr>
            <w:r>
              <w:rPr>
                <w:sz w:val="22"/>
              </w:rPr>
              <w:t>46.556</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36</w:t>
            </w:r>
          </w:p>
        </w:tc>
        <w:tc>
          <w:tcPr>
            <w:tcW w:w="5274" w:type="dxa"/>
          </w:tcPr>
          <w:p>
            <w:pPr>
              <w:pStyle w:val="TableParagraph"/>
              <w:ind w:left="64" w:right="142"/>
              <w:rPr>
                <w:sz w:val="22"/>
              </w:rPr>
            </w:pPr>
            <w:r>
              <w:rPr>
                <w:sz w:val="22"/>
              </w:rPr>
              <w:t>Urban sprawl and new challenges for (metropolitan) governance in Latin America: the case of Santiago de Chile</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9</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0.7</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45.809</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37</w:t>
            </w:r>
          </w:p>
        </w:tc>
        <w:tc>
          <w:tcPr>
            <w:tcW w:w="5274" w:type="dxa"/>
          </w:tcPr>
          <w:p>
            <w:pPr>
              <w:pStyle w:val="TableParagraph"/>
              <w:spacing w:line="242" w:lineRule="auto" w:before="23"/>
              <w:ind w:left="64" w:right="312"/>
              <w:rPr>
                <w:sz w:val="22"/>
              </w:rPr>
            </w:pPr>
            <w:r>
              <w:rPr>
                <w:sz w:val="22"/>
              </w:rPr>
              <w:t>Local initiative and development: Social answer to neoliberal globalization</w:t>
            </w:r>
          </w:p>
        </w:tc>
        <w:tc>
          <w:tcPr>
            <w:tcW w:w="761" w:type="dxa"/>
          </w:tcPr>
          <w:p>
            <w:pPr>
              <w:pStyle w:val="TableParagraph"/>
              <w:spacing w:before="2"/>
              <w:rPr>
                <w:b/>
                <w:sz w:val="24"/>
              </w:rPr>
            </w:pPr>
          </w:p>
          <w:p>
            <w:pPr>
              <w:pStyle w:val="TableParagraph"/>
              <w:jc w:val="center"/>
              <w:rPr>
                <w:sz w:val="22"/>
              </w:rPr>
            </w:pPr>
            <w:r>
              <w:rPr>
                <w:w w:val="100"/>
                <w:sz w:val="22"/>
              </w:rPr>
              <w:t>9</w:t>
            </w:r>
          </w:p>
        </w:tc>
        <w:tc>
          <w:tcPr>
            <w:tcW w:w="802" w:type="dxa"/>
          </w:tcPr>
          <w:p>
            <w:pPr>
              <w:pStyle w:val="TableParagraph"/>
              <w:spacing w:before="2"/>
              <w:rPr>
                <w:b/>
                <w:sz w:val="24"/>
              </w:rPr>
            </w:pPr>
          </w:p>
          <w:p>
            <w:pPr>
              <w:pStyle w:val="TableParagraph"/>
              <w:ind w:right="240"/>
              <w:jc w:val="right"/>
              <w:rPr>
                <w:sz w:val="22"/>
              </w:rPr>
            </w:pPr>
            <w:r>
              <w:rPr>
                <w:sz w:val="22"/>
              </w:rPr>
              <w:t>0.7</w:t>
            </w:r>
          </w:p>
        </w:tc>
        <w:tc>
          <w:tcPr>
            <w:tcW w:w="1438" w:type="dxa"/>
          </w:tcPr>
          <w:p>
            <w:pPr>
              <w:pStyle w:val="TableParagraph"/>
              <w:spacing w:before="2"/>
              <w:rPr>
                <w:b/>
                <w:sz w:val="24"/>
              </w:rPr>
            </w:pPr>
          </w:p>
          <w:p>
            <w:pPr>
              <w:pStyle w:val="TableParagraph"/>
              <w:ind w:left="46" w:right="46"/>
              <w:jc w:val="center"/>
              <w:rPr>
                <w:sz w:val="22"/>
              </w:rPr>
            </w:pPr>
            <w:r>
              <w:rPr>
                <w:sz w:val="22"/>
              </w:rPr>
              <w:t>45.062</w:t>
            </w:r>
          </w:p>
        </w:tc>
      </w:tr>
      <w:tr>
        <w:trPr>
          <w:trHeight w:val="317" w:hRule="exact"/>
        </w:trPr>
        <w:tc>
          <w:tcPr>
            <w:tcW w:w="552" w:type="dxa"/>
          </w:tcPr>
          <w:p>
            <w:pPr>
              <w:pStyle w:val="TableParagraph"/>
              <w:spacing w:before="47"/>
              <w:ind w:left="67" w:right="67"/>
              <w:jc w:val="center"/>
              <w:rPr>
                <w:sz w:val="22"/>
              </w:rPr>
            </w:pPr>
            <w:r>
              <w:rPr>
                <w:sz w:val="22"/>
              </w:rPr>
              <w:t>38</w:t>
            </w:r>
          </w:p>
        </w:tc>
        <w:tc>
          <w:tcPr>
            <w:tcW w:w="5274" w:type="dxa"/>
          </w:tcPr>
          <w:p>
            <w:pPr>
              <w:pStyle w:val="TableParagraph"/>
              <w:spacing w:before="47"/>
              <w:ind w:left="64" w:right="679"/>
              <w:rPr>
                <w:sz w:val="22"/>
              </w:rPr>
            </w:pPr>
            <w:r>
              <w:rPr>
                <w:sz w:val="22"/>
              </w:rPr>
              <w:t>Downtown as a project and a desire object</w:t>
            </w:r>
          </w:p>
        </w:tc>
        <w:tc>
          <w:tcPr>
            <w:tcW w:w="761" w:type="dxa"/>
          </w:tcPr>
          <w:p>
            <w:pPr>
              <w:pStyle w:val="TableParagraph"/>
              <w:spacing w:before="47"/>
              <w:jc w:val="center"/>
              <w:rPr>
                <w:sz w:val="22"/>
              </w:rPr>
            </w:pPr>
            <w:r>
              <w:rPr>
                <w:w w:val="100"/>
                <w:sz w:val="22"/>
              </w:rPr>
              <w:t>9</w:t>
            </w:r>
          </w:p>
        </w:tc>
        <w:tc>
          <w:tcPr>
            <w:tcW w:w="802" w:type="dxa"/>
          </w:tcPr>
          <w:p>
            <w:pPr>
              <w:pStyle w:val="TableParagraph"/>
              <w:spacing w:before="47"/>
              <w:ind w:right="240"/>
              <w:jc w:val="right"/>
              <w:rPr>
                <w:sz w:val="22"/>
              </w:rPr>
            </w:pPr>
            <w:r>
              <w:rPr>
                <w:sz w:val="22"/>
              </w:rPr>
              <w:t>0.7</w:t>
            </w:r>
          </w:p>
        </w:tc>
        <w:tc>
          <w:tcPr>
            <w:tcW w:w="1438" w:type="dxa"/>
          </w:tcPr>
          <w:p>
            <w:pPr>
              <w:pStyle w:val="TableParagraph"/>
              <w:spacing w:before="47"/>
              <w:ind w:left="46" w:right="46"/>
              <w:jc w:val="center"/>
              <w:rPr>
                <w:sz w:val="22"/>
              </w:rPr>
            </w:pPr>
            <w:r>
              <w:rPr>
                <w:sz w:val="22"/>
              </w:rPr>
              <w:t>44.315</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39</w:t>
            </w:r>
          </w:p>
        </w:tc>
        <w:tc>
          <w:tcPr>
            <w:tcW w:w="5274" w:type="dxa"/>
          </w:tcPr>
          <w:p>
            <w:pPr>
              <w:pStyle w:val="TableParagraph"/>
              <w:spacing w:before="23"/>
              <w:ind w:left="64" w:right="300"/>
              <w:rPr>
                <w:sz w:val="22"/>
              </w:rPr>
            </w:pPr>
            <w:r>
              <w:rPr>
                <w:sz w:val="22"/>
              </w:rPr>
              <w:t>High speed railway and metropolitan integration in Spain: the case of Ciudad Real and Puertollano</w:t>
            </w:r>
          </w:p>
        </w:tc>
        <w:tc>
          <w:tcPr>
            <w:tcW w:w="761" w:type="dxa"/>
          </w:tcPr>
          <w:p>
            <w:pPr>
              <w:pStyle w:val="TableParagraph"/>
              <w:spacing w:before="2"/>
              <w:rPr>
                <w:b/>
                <w:sz w:val="24"/>
              </w:rPr>
            </w:pPr>
          </w:p>
          <w:p>
            <w:pPr>
              <w:pStyle w:val="TableParagraph"/>
              <w:jc w:val="center"/>
              <w:rPr>
                <w:sz w:val="22"/>
              </w:rPr>
            </w:pPr>
            <w:r>
              <w:rPr>
                <w:w w:val="100"/>
                <w:sz w:val="22"/>
              </w:rPr>
              <w:t>9</w:t>
            </w:r>
          </w:p>
        </w:tc>
        <w:tc>
          <w:tcPr>
            <w:tcW w:w="802" w:type="dxa"/>
          </w:tcPr>
          <w:p>
            <w:pPr>
              <w:pStyle w:val="TableParagraph"/>
              <w:spacing w:before="2"/>
              <w:rPr>
                <w:b/>
                <w:sz w:val="24"/>
              </w:rPr>
            </w:pPr>
          </w:p>
          <w:p>
            <w:pPr>
              <w:pStyle w:val="TableParagraph"/>
              <w:ind w:right="240"/>
              <w:jc w:val="right"/>
              <w:rPr>
                <w:sz w:val="22"/>
              </w:rPr>
            </w:pPr>
            <w:r>
              <w:rPr>
                <w:sz w:val="22"/>
              </w:rPr>
              <w:t>0.7</w:t>
            </w:r>
          </w:p>
        </w:tc>
        <w:tc>
          <w:tcPr>
            <w:tcW w:w="1438" w:type="dxa"/>
          </w:tcPr>
          <w:p>
            <w:pPr>
              <w:pStyle w:val="TableParagraph"/>
              <w:spacing w:before="2"/>
              <w:rPr>
                <w:b/>
                <w:sz w:val="24"/>
              </w:rPr>
            </w:pPr>
          </w:p>
          <w:p>
            <w:pPr>
              <w:pStyle w:val="TableParagraph"/>
              <w:ind w:left="46" w:right="46"/>
              <w:jc w:val="center"/>
              <w:rPr>
                <w:sz w:val="22"/>
              </w:rPr>
            </w:pPr>
            <w:r>
              <w:rPr>
                <w:sz w:val="22"/>
              </w:rPr>
              <w:t>43.568</w:t>
            </w:r>
          </w:p>
        </w:tc>
      </w:tr>
      <w:tr>
        <w:trPr>
          <w:trHeight w:val="516" w:hRule="exact"/>
        </w:trPr>
        <w:tc>
          <w:tcPr>
            <w:tcW w:w="552" w:type="dxa"/>
          </w:tcPr>
          <w:p>
            <w:pPr>
              <w:pStyle w:val="TableParagraph"/>
              <w:spacing w:before="5"/>
              <w:rPr>
                <w:b/>
                <w:sz w:val="21"/>
              </w:rPr>
            </w:pPr>
          </w:p>
          <w:p>
            <w:pPr>
              <w:pStyle w:val="TableParagraph"/>
              <w:ind w:left="67" w:right="67"/>
              <w:jc w:val="center"/>
              <w:rPr>
                <w:sz w:val="22"/>
              </w:rPr>
            </w:pPr>
            <w:r>
              <w:rPr>
                <w:sz w:val="22"/>
              </w:rPr>
              <w:t>40</w:t>
            </w:r>
          </w:p>
        </w:tc>
        <w:tc>
          <w:tcPr>
            <w:tcW w:w="5274" w:type="dxa"/>
          </w:tcPr>
          <w:p>
            <w:pPr>
              <w:pStyle w:val="TableParagraph"/>
              <w:ind w:left="64" w:right="557"/>
              <w:rPr>
                <w:sz w:val="22"/>
              </w:rPr>
            </w:pPr>
            <w:r>
              <w:rPr>
                <w:sz w:val="22"/>
              </w:rPr>
              <w:t>Santiago of Chile, example of a global capitalist restructuration?</w:t>
            </w:r>
          </w:p>
        </w:tc>
        <w:tc>
          <w:tcPr>
            <w:tcW w:w="761" w:type="dxa"/>
          </w:tcPr>
          <w:p>
            <w:pPr>
              <w:pStyle w:val="TableParagraph"/>
              <w:spacing w:before="5"/>
              <w:rPr>
                <w:b/>
                <w:sz w:val="21"/>
              </w:rPr>
            </w:pPr>
          </w:p>
          <w:p>
            <w:pPr>
              <w:pStyle w:val="TableParagraph"/>
              <w:jc w:val="center"/>
              <w:rPr>
                <w:sz w:val="22"/>
              </w:rPr>
            </w:pPr>
            <w:r>
              <w:rPr>
                <w:w w:val="100"/>
                <w:sz w:val="22"/>
              </w:rPr>
              <w:t>9</w:t>
            </w:r>
          </w:p>
        </w:tc>
        <w:tc>
          <w:tcPr>
            <w:tcW w:w="802" w:type="dxa"/>
          </w:tcPr>
          <w:p>
            <w:pPr>
              <w:pStyle w:val="TableParagraph"/>
              <w:spacing w:before="5"/>
              <w:rPr>
                <w:b/>
                <w:sz w:val="21"/>
              </w:rPr>
            </w:pPr>
          </w:p>
          <w:p>
            <w:pPr>
              <w:pStyle w:val="TableParagraph"/>
              <w:ind w:right="240"/>
              <w:jc w:val="right"/>
              <w:rPr>
                <w:sz w:val="22"/>
              </w:rPr>
            </w:pPr>
            <w:r>
              <w:rPr>
                <w:sz w:val="22"/>
              </w:rPr>
              <w:t>0.7</w:t>
            </w:r>
          </w:p>
        </w:tc>
        <w:tc>
          <w:tcPr>
            <w:tcW w:w="1438" w:type="dxa"/>
          </w:tcPr>
          <w:p>
            <w:pPr>
              <w:pStyle w:val="TableParagraph"/>
              <w:spacing w:before="5"/>
              <w:rPr>
                <w:b/>
                <w:sz w:val="21"/>
              </w:rPr>
            </w:pPr>
          </w:p>
          <w:p>
            <w:pPr>
              <w:pStyle w:val="TableParagraph"/>
              <w:ind w:left="46" w:right="46"/>
              <w:jc w:val="center"/>
              <w:rPr>
                <w:sz w:val="22"/>
              </w:rPr>
            </w:pPr>
            <w:r>
              <w:rPr>
                <w:sz w:val="22"/>
              </w:rPr>
              <w:t>42.822</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41</w:t>
            </w:r>
          </w:p>
        </w:tc>
        <w:tc>
          <w:tcPr>
            <w:tcW w:w="5274" w:type="dxa"/>
          </w:tcPr>
          <w:p>
            <w:pPr>
              <w:pStyle w:val="TableParagraph"/>
              <w:spacing w:before="23"/>
              <w:ind w:left="64" w:right="350"/>
              <w:rPr>
                <w:sz w:val="22"/>
              </w:rPr>
            </w:pPr>
            <w:r>
              <w:rPr>
                <w:sz w:val="22"/>
              </w:rPr>
              <w:t>The copper cities. From mountain camp to mining hotel as variations of the company town</w:t>
            </w:r>
          </w:p>
        </w:tc>
        <w:tc>
          <w:tcPr>
            <w:tcW w:w="761" w:type="dxa"/>
          </w:tcPr>
          <w:p>
            <w:pPr>
              <w:pStyle w:val="TableParagraph"/>
              <w:spacing w:before="2"/>
              <w:rPr>
                <w:b/>
                <w:sz w:val="24"/>
              </w:rPr>
            </w:pPr>
          </w:p>
          <w:p>
            <w:pPr>
              <w:pStyle w:val="TableParagraph"/>
              <w:jc w:val="center"/>
              <w:rPr>
                <w:sz w:val="22"/>
              </w:rPr>
            </w:pPr>
            <w:r>
              <w:rPr>
                <w:w w:val="100"/>
                <w:sz w:val="22"/>
              </w:rPr>
              <w:t>9</w:t>
            </w:r>
          </w:p>
        </w:tc>
        <w:tc>
          <w:tcPr>
            <w:tcW w:w="802" w:type="dxa"/>
          </w:tcPr>
          <w:p>
            <w:pPr>
              <w:pStyle w:val="TableParagraph"/>
              <w:spacing w:before="2"/>
              <w:rPr>
                <w:b/>
                <w:sz w:val="24"/>
              </w:rPr>
            </w:pPr>
          </w:p>
          <w:p>
            <w:pPr>
              <w:pStyle w:val="TableParagraph"/>
              <w:ind w:right="240"/>
              <w:jc w:val="right"/>
              <w:rPr>
                <w:sz w:val="22"/>
              </w:rPr>
            </w:pPr>
            <w:r>
              <w:rPr>
                <w:sz w:val="22"/>
              </w:rPr>
              <w:t>0.7</w:t>
            </w:r>
          </w:p>
        </w:tc>
        <w:tc>
          <w:tcPr>
            <w:tcW w:w="1438" w:type="dxa"/>
          </w:tcPr>
          <w:p>
            <w:pPr>
              <w:pStyle w:val="TableParagraph"/>
              <w:spacing w:before="2"/>
              <w:rPr>
                <w:b/>
                <w:sz w:val="24"/>
              </w:rPr>
            </w:pPr>
          </w:p>
          <w:p>
            <w:pPr>
              <w:pStyle w:val="TableParagraph"/>
              <w:ind w:left="46" w:right="46"/>
              <w:jc w:val="center"/>
              <w:rPr>
                <w:sz w:val="22"/>
              </w:rPr>
            </w:pPr>
            <w:r>
              <w:rPr>
                <w:sz w:val="22"/>
              </w:rPr>
              <w:t>42.075</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42</w:t>
            </w:r>
          </w:p>
        </w:tc>
        <w:tc>
          <w:tcPr>
            <w:tcW w:w="5274" w:type="dxa"/>
          </w:tcPr>
          <w:p>
            <w:pPr>
              <w:pStyle w:val="TableParagraph"/>
              <w:spacing w:before="23"/>
              <w:ind w:left="64" w:right="166"/>
              <w:rPr>
                <w:sz w:val="22"/>
              </w:rPr>
            </w:pPr>
            <w:r>
              <w:rPr>
                <w:sz w:val="22"/>
              </w:rPr>
              <w:t>Metropolitan dimension of globalization: Lima at the end of the 20(th) century</w:t>
            </w:r>
          </w:p>
        </w:tc>
        <w:tc>
          <w:tcPr>
            <w:tcW w:w="761" w:type="dxa"/>
          </w:tcPr>
          <w:p>
            <w:pPr>
              <w:pStyle w:val="TableParagraph"/>
              <w:spacing w:before="2"/>
              <w:rPr>
                <w:b/>
                <w:sz w:val="24"/>
              </w:rPr>
            </w:pPr>
          </w:p>
          <w:p>
            <w:pPr>
              <w:pStyle w:val="TableParagraph"/>
              <w:jc w:val="center"/>
              <w:rPr>
                <w:sz w:val="22"/>
              </w:rPr>
            </w:pPr>
            <w:r>
              <w:rPr>
                <w:w w:val="100"/>
                <w:sz w:val="22"/>
              </w:rPr>
              <w:t>9</w:t>
            </w:r>
          </w:p>
        </w:tc>
        <w:tc>
          <w:tcPr>
            <w:tcW w:w="802" w:type="dxa"/>
          </w:tcPr>
          <w:p>
            <w:pPr>
              <w:pStyle w:val="TableParagraph"/>
              <w:spacing w:before="2"/>
              <w:rPr>
                <w:b/>
                <w:sz w:val="24"/>
              </w:rPr>
            </w:pPr>
          </w:p>
          <w:p>
            <w:pPr>
              <w:pStyle w:val="TableParagraph"/>
              <w:ind w:right="240"/>
              <w:jc w:val="right"/>
              <w:rPr>
                <w:sz w:val="22"/>
              </w:rPr>
            </w:pPr>
            <w:r>
              <w:rPr>
                <w:sz w:val="22"/>
              </w:rPr>
              <w:t>0.7</w:t>
            </w:r>
          </w:p>
        </w:tc>
        <w:tc>
          <w:tcPr>
            <w:tcW w:w="1438" w:type="dxa"/>
          </w:tcPr>
          <w:p>
            <w:pPr>
              <w:pStyle w:val="TableParagraph"/>
              <w:spacing w:before="2"/>
              <w:rPr>
                <w:b/>
                <w:sz w:val="24"/>
              </w:rPr>
            </w:pPr>
          </w:p>
          <w:p>
            <w:pPr>
              <w:pStyle w:val="TableParagraph"/>
              <w:ind w:left="46" w:right="46"/>
              <w:jc w:val="center"/>
              <w:rPr>
                <w:sz w:val="22"/>
              </w:rPr>
            </w:pPr>
            <w:r>
              <w:rPr>
                <w:sz w:val="22"/>
              </w:rPr>
              <w:t>41.328</w:t>
            </w:r>
          </w:p>
        </w:tc>
      </w:tr>
      <w:tr>
        <w:trPr>
          <w:trHeight w:val="317" w:hRule="exact"/>
        </w:trPr>
        <w:tc>
          <w:tcPr>
            <w:tcW w:w="552" w:type="dxa"/>
          </w:tcPr>
          <w:p>
            <w:pPr>
              <w:pStyle w:val="TableParagraph"/>
              <w:spacing w:before="47"/>
              <w:ind w:left="67" w:right="67"/>
              <w:jc w:val="center"/>
              <w:rPr>
                <w:sz w:val="22"/>
              </w:rPr>
            </w:pPr>
            <w:r>
              <w:rPr>
                <w:sz w:val="22"/>
              </w:rPr>
              <w:t>43</w:t>
            </w:r>
          </w:p>
        </w:tc>
        <w:tc>
          <w:tcPr>
            <w:tcW w:w="5274" w:type="dxa"/>
          </w:tcPr>
          <w:p>
            <w:pPr>
              <w:pStyle w:val="TableParagraph"/>
              <w:spacing w:before="47"/>
              <w:ind w:left="64" w:right="679"/>
              <w:rPr>
                <w:sz w:val="22"/>
              </w:rPr>
            </w:pPr>
            <w:r>
              <w:rPr>
                <w:sz w:val="22"/>
              </w:rPr>
              <w:t>Metropolization and suburbanization</w:t>
            </w:r>
          </w:p>
        </w:tc>
        <w:tc>
          <w:tcPr>
            <w:tcW w:w="761" w:type="dxa"/>
          </w:tcPr>
          <w:p>
            <w:pPr>
              <w:pStyle w:val="TableParagraph"/>
              <w:spacing w:before="47"/>
              <w:jc w:val="center"/>
              <w:rPr>
                <w:sz w:val="22"/>
              </w:rPr>
            </w:pPr>
            <w:r>
              <w:rPr>
                <w:w w:val="100"/>
                <w:sz w:val="22"/>
              </w:rPr>
              <w:t>9</w:t>
            </w:r>
          </w:p>
        </w:tc>
        <w:tc>
          <w:tcPr>
            <w:tcW w:w="802" w:type="dxa"/>
          </w:tcPr>
          <w:p>
            <w:pPr>
              <w:pStyle w:val="TableParagraph"/>
              <w:spacing w:before="47"/>
              <w:ind w:right="240"/>
              <w:jc w:val="right"/>
              <w:rPr>
                <w:sz w:val="22"/>
              </w:rPr>
            </w:pPr>
            <w:r>
              <w:rPr>
                <w:sz w:val="22"/>
              </w:rPr>
              <w:t>0.7</w:t>
            </w:r>
          </w:p>
        </w:tc>
        <w:tc>
          <w:tcPr>
            <w:tcW w:w="1438" w:type="dxa"/>
          </w:tcPr>
          <w:p>
            <w:pPr>
              <w:pStyle w:val="TableParagraph"/>
              <w:spacing w:before="47"/>
              <w:ind w:left="46" w:right="46"/>
              <w:jc w:val="center"/>
              <w:rPr>
                <w:sz w:val="22"/>
              </w:rPr>
            </w:pPr>
            <w:r>
              <w:rPr>
                <w:sz w:val="22"/>
              </w:rPr>
              <w:t>40.581</w:t>
            </w:r>
          </w:p>
        </w:tc>
      </w:tr>
    </w:tbl>
    <w:p>
      <w:pPr>
        <w:spacing w:after="0"/>
        <w:jc w:val="center"/>
        <w:rPr>
          <w:sz w:val="22"/>
        </w:rPr>
        <w:sectPr>
          <w:pgSz w:w="12240" w:h="15840"/>
          <w:pgMar w:header="0" w:footer="629" w:top="142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
        <w:gridCol w:w="5274"/>
        <w:gridCol w:w="761"/>
        <w:gridCol w:w="802"/>
        <w:gridCol w:w="1438"/>
      </w:tblGrid>
      <w:tr>
        <w:trPr>
          <w:trHeight w:val="316" w:hRule="exact"/>
        </w:trPr>
        <w:tc>
          <w:tcPr>
            <w:tcW w:w="552" w:type="dxa"/>
            <w:shd w:val="clear" w:color="auto" w:fill="938953"/>
          </w:tcPr>
          <w:p>
            <w:pPr/>
          </w:p>
        </w:tc>
        <w:tc>
          <w:tcPr>
            <w:tcW w:w="5274" w:type="dxa"/>
            <w:shd w:val="clear" w:color="auto" w:fill="938953"/>
          </w:tcPr>
          <w:p>
            <w:pPr>
              <w:pStyle w:val="TableParagraph"/>
              <w:spacing w:before="47"/>
              <w:ind w:left="2347" w:right="2350"/>
              <w:jc w:val="center"/>
              <w:rPr>
                <w:b/>
                <w:sz w:val="22"/>
              </w:rPr>
            </w:pPr>
            <w:r>
              <w:rPr>
                <w:b/>
                <w:color w:val="FFFFFF"/>
                <w:sz w:val="22"/>
              </w:rPr>
              <w:t>Total</w:t>
            </w:r>
          </w:p>
        </w:tc>
        <w:tc>
          <w:tcPr>
            <w:tcW w:w="761" w:type="dxa"/>
            <w:shd w:val="clear" w:color="auto" w:fill="938953"/>
          </w:tcPr>
          <w:p>
            <w:pPr>
              <w:pStyle w:val="TableParagraph"/>
              <w:spacing w:before="49"/>
              <w:ind w:left="105" w:right="105"/>
              <w:jc w:val="center"/>
              <w:rPr>
                <w:sz w:val="22"/>
              </w:rPr>
            </w:pPr>
            <w:r>
              <w:rPr>
                <w:color w:val="FFFFFF"/>
                <w:sz w:val="22"/>
              </w:rPr>
              <w:t>Citas</w:t>
            </w:r>
          </w:p>
        </w:tc>
        <w:tc>
          <w:tcPr>
            <w:tcW w:w="802" w:type="dxa"/>
            <w:shd w:val="clear" w:color="auto" w:fill="938953"/>
          </w:tcPr>
          <w:p>
            <w:pPr>
              <w:pStyle w:val="TableParagraph"/>
              <w:spacing w:before="49"/>
              <w:ind w:right="298"/>
              <w:jc w:val="right"/>
              <w:rPr>
                <w:sz w:val="22"/>
              </w:rPr>
            </w:pPr>
            <w:r>
              <w:rPr>
                <w:color w:val="FFFFFF"/>
                <w:w w:val="100"/>
                <w:sz w:val="22"/>
              </w:rPr>
              <w:t>%</w:t>
            </w:r>
          </w:p>
        </w:tc>
        <w:tc>
          <w:tcPr>
            <w:tcW w:w="1438" w:type="dxa"/>
            <w:shd w:val="clear" w:color="auto" w:fill="938953"/>
          </w:tcPr>
          <w:p>
            <w:pPr>
              <w:pStyle w:val="TableParagraph"/>
              <w:spacing w:before="49"/>
              <w:ind w:left="46" w:right="46"/>
              <w:jc w:val="center"/>
              <w:rPr>
                <w:sz w:val="22"/>
              </w:rPr>
            </w:pPr>
            <w:r>
              <w:rPr>
                <w:color w:val="FFFFFF"/>
                <w:sz w:val="22"/>
              </w:rPr>
              <w:t>%Acumulado</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44</w:t>
            </w:r>
          </w:p>
        </w:tc>
        <w:tc>
          <w:tcPr>
            <w:tcW w:w="5274" w:type="dxa"/>
          </w:tcPr>
          <w:p>
            <w:pPr>
              <w:pStyle w:val="TableParagraph"/>
              <w:spacing w:before="23"/>
              <w:ind w:left="64" w:right="227"/>
              <w:rPr>
                <w:sz w:val="22"/>
              </w:rPr>
            </w:pPr>
            <w:r>
              <w:rPr>
                <w:sz w:val="22"/>
              </w:rPr>
              <w:t>Territories, yearnings, and fears. Social and spatial effects of urban expansion</w:t>
            </w:r>
          </w:p>
        </w:tc>
        <w:tc>
          <w:tcPr>
            <w:tcW w:w="761" w:type="dxa"/>
          </w:tcPr>
          <w:p>
            <w:pPr>
              <w:pStyle w:val="TableParagraph"/>
              <w:spacing w:before="2"/>
              <w:rPr>
                <w:b/>
                <w:sz w:val="24"/>
              </w:rPr>
            </w:pPr>
          </w:p>
          <w:p>
            <w:pPr>
              <w:pStyle w:val="TableParagraph"/>
              <w:jc w:val="center"/>
              <w:rPr>
                <w:sz w:val="22"/>
              </w:rPr>
            </w:pPr>
            <w:r>
              <w:rPr>
                <w:w w:val="100"/>
                <w:sz w:val="22"/>
              </w:rPr>
              <w:t>9</w:t>
            </w:r>
          </w:p>
        </w:tc>
        <w:tc>
          <w:tcPr>
            <w:tcW w:w="802" w:type="dxa"/>
          </w:tcPr>
          <w:p>
            <w:pPr>
              <w:pStyle w:val="TableParagraph"/>
              <w:spacing w:before="2"/>
              <w:rPr>
                <w:b/>
                <w:sz w:val="24"/>
              </w:rPr>
            </w:pPr>
          </w:p>
          <w:p>
            <w:pPr>
              <w:pStyle w:val="TableParagraph"/>
              <w:ind w:right="240"/>
              <w:jc w:val="right"/>
              <w:rPr>
                <w:sz w:val="22"/>
              </w:rPr>
            </w:pPr>
            <w:r>
              <w:rPr>
                <w:sz w:val="22"/>
              </w:rPr>
              <w:t>0.7</w:t>
            </w:r>
          </w:p>
        </w:tc>
        <w:tc>
          <w:tcPr>
            <w:tcW w:w="1438" w:type="dxa"/>
          </w:tcPr>
          <w:p>
            <w:pPr>
              <w:pStyle w:val="TableParagraph"/>
              <w:spacing w:before="2"/>
              <w:rPr>
                <w:b/>
                <w:sz w:val="24"/>
              </w:rPr>
            </w:pPr>
          </w:p>
          <w:p>
            <w:pPr>
              <w:pStyle w:val="TableParagraph"/>
              <w:ind w:left="46" w:right="46"/>
              <w:jc w:val="center"/>
              <w:rPr>
                <w:sz w:val="22"/>
              </w:rPr>
            </w:pPr>
            <w:r>
              <w:rPr>
                <w:sz w:val="22"/>
              </w:rPr>
              <w:t>39.834</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45</w:t>
            </w:r>
          </w:p>
        </w:tc>
        <w:tc>
          <w:tcPr>
            <w:tcW w:w="5274" w:type="dxa"/>
          </w:tcPr>
          <w:p>
            <w:pPr>
              <w:pStyle w:val="TableParagraph"/>
              <w:spacing w:before="23"/>
              <w:ind w:left="64" w:right="203"/>
              <w:rPr>
                <w:sz w:val="22"/>
              </w:rPr>
            </w:pPr>
            <w:r>
              <w:rPr>
                <w:sz w:val="22"/>
              </w:rPr>
              <w:t>Buenos Aires: fragmentation in the interstices of an unequal society</w:t>
            </w:r>
          </w:p>
        </w:tc>
        <w:tc>
          <w:tcPr>
            <w:tcW w:w="761" w:type="dxa"/>
          </w:tcPr>
          <w:p>
            <w:pPr>
              <w:pStyle w:val="TableParagraph"/>
              <w:spacing w:before="2"/>
              <w:rPr>
                <w:b/>
                <w:sz w:val="24"/>
              </w:rPr>
            </w:pPr>
          </w:p>
          <w:p>
            <w:pPr>
              <w:pStyle w:val="TableParagraph"/>
              <w:jc w:val="center"/>
              <w:rPr>
                <w:sz w:val="22"/>
              </w:rPr>
            </w:pPr>
            <w:r>
              <w:rPr>
                <w:w w:val="100"/>
                <w:sz w:val="22"/>
              </w:rPr>
              <w:t>8</w:t>
            </w:r>
          </w:p>
        </w:tc>
        <w:tc>
          <w:tcPr>
            <w:tcW w:w="802" w:type="dxa"/>
          </w:tcPr>
          <w:p>
            <w:pPr>
              <w:pStyle w:val="TableParagraph"/>
              <w:spacing w:before="2"/>
              <w:rPr>
                <w:b/>
                <w:sz w:val="24"/>
              </w:rPr>
            </w:pPr>
          </w:p>
          <w:p>
            <w:pPr>
              <w:pStyle w:val="TableParagraph"/>
              <w:ind w:right="240"/>
              <w:jc w:val="right"/>
              <w:rPr>
                <w:sz w:val="22"/>
              </w:rPr>
            </w:pPr>
            <w:r>
              <w:rPr>
                <w:sz w:val="22"/>
              </w:rPr>
              <w:t>0.7</w:t>
            </w:r>
          </w:p>
        </w:tc>
        <w:tc>
          <w:tcPr>
            <w:tcW w:w="1438" w:type="dxa"/>
          </w:tcPr>
          <w:p>
            <w:pPr>
              <w:pStyle w:val="TableParagraph"/>
              <w:spacing w:before="2"/>
              <w:rPr>
                <w:b/>
                <w:sz w:val="24"/>
              </w:rPr>
            </w:pPr>
          </w:p>
          <w:p>
            <w:pPr>
              <w:pStyle w:val="TableParagraph"/>
              <w:ind w:left="46" w:right="46"/>
              <w:jc w:val="center"/>
              <w:rPr>
                <w:sz w:val="22"/>
              </w:rPr>
            </w:pPr>
            <w:r>
              <w:rPr>
                <w:sz w:val="22"/>
              </w:rPr>
              <w:t>39.087</w:t>
            </w:r>
          </w:p>
        </w:tc>
      </w:tr>
      <w:tr>
        <w:trPr>
          <w:trHeight w:val="516" w:hRule="exact"/>
        </w:trPr>
        <w:tc>
          <w:tcPr>
            <w:tcW w:w="552" w:type="dxa"/>
          </w:tcPr>
          <w:p>
            <w:pPr>
              <w:pStyle w:val="TableParagraph"/>
              <w:spacing w:before="7"/>
              <w:rPr>
                <w:b/>
                <w:sz w:val="21"/>
              </w:rPr>
            </w:pPr>
          </w:p>
          <w:p>
            <w:pPr>
              <w:pStyle w:val="TableParagraph"/>
              <w:ind w:left="67" w:right="67"/>
              <w:jc w:val="center"/>
              <w:rPr>
                <w:sz w:val="22"/>
              </w:rPr>
            </w:pPr>
            <w:r>
              <w:rPr>
                <w:sz w:val="22"/>
              </w:rPr>
              <w:t>46</w:t>
            </w:r>
          </w:p>
        </w:tc>
        <w:tc>
          <w:tcPr>
            <w:tcW w:w="5274" w:type="dxa"/>
          </w:tcPr>
          <w:p>
            <w:pPr>
              <w:pStyle w:val="TableParagraph"/>
              <w:spacing w:line="242" w:lineRule="auto"/>
              <w:ind w:left="64" w:right="165"/>
              <w:rPr>
                <w:sz w:val="22"/>
              </w:rPr>
            </w:pPr>
            <w:r>
              <w:rPr>
                <w:sz w:val="22"/>
              </w:rPr>
              <w:t>Isolated worlds: urban segregation and inequality in Mexico City</w:t>
            </w:r>
          </w:p>
        </w:tc>
        <w:tc>
          <w:tcPr>
            <w:tcW w:w="761" w:type="dxa"/>
          </w:tcPr>
          <w:p>
            <w:pPr>
              <w:pStyle w:val="TableParagraph"/>
              <w:spacing w:before="7"/>
              <w:rPr>
                <w:b/>
                <w:sz w:val="21"/>
              </w:rPr>
            </w:pPr>
          </w:p>
          <w:p>
            <w:pPr>
              <w:pStyle w:val="TableParagraph"/>
              <w:jc w:val="center"/>
              <w:rPr>
                <w:sz w:val="22"/>
              </w:rPr>
            </w:pPr>
            <w:r>
              <w:rPr>
                <w:w w:val="100"/>
                <w:sz w:val="22"/>
              </w:rPr>
              <w:t>8</w:t>
            </w:r>
          </w:p>
        </w:tc>
        <w:tc>
          <w:tcPr>
            <w:tcW w:w="802" w:type="dxa"/>
          </w:tcPr>
          <w:p>
            <w:pPr>
              <w:pStyle w:val="TableParagraph"/>
              <w:spacing w:before="7"/>
              <w:rPr>
                <w:b/>
                <w:sz w:val="21"/>
              </w:rPr>
            </w:pPr>
          </w:p>
          <w:p>
            <w:pPr>
              <w:pStyle w:val="TableParagraph"/>
              <w:ind w:right="240"/>
              <w:jc w:val="right"/>
              <w:rPr>
                <w:sz w:val="22"/>
              </w:rPr>
            </w:pPr>
            <w:r>
              <w:rPr>
                <w:sz w:val="22"/>
              </w:rPr>
              <w:t>0.7</w:t>
            </w:r>
          </w:p>
        </w:tc>
        <w:tc>
          <w:tcPr>
            <w:tcW w:w="1438" w:type="dxa"/>
          </w:tcPr>
          <w:p>
            <w:pPr>
              <w:pStyle w:val="TableParagraph"/>
              <w:spacing w:before="7"/>
              <w:rPr>
                <w:b/>
                <w:sz w:val="21"/>
              </w:rPr>
            </w:pPr>
          </w:p>
          <w:p>
            <w:pPr>
              <w:pStyle w:val="TableParagraph"/>
              <w:ind w:left="46" w:right="46"/>
              <w:jc w:val="center"/>
              <w:rPr>
                <w:sz w:val="22"/>
              </w:rPr>
            </w:pPr>
            <w:r>
              <w:rPr>
                <w:sz w:val="22"/>
              </w:rPr>
              <w:t>38.423</w:t>
            </w:r>
          </w:p>
        </w:tc>
      </w:tr>
      <w:tr>
        <w:trPr>
          <w:trHeight w:val="770"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47</w:t>
            </w:r>
          </w:p>
        </w:tc>
        <w:tc>
          <w:tcPr>
            <w:tcW w:w="5274" w:type="dxa"/>
          </w:tcPr>
          <w:p>
            <w:pPr>
              <w:pStyle w:val="TableParagraph"/>
              <w:ind w:left="64" w:right="716"/>
              <w:rPr>
                <w:sz w:val="22"/>
              </w:rPr>
            </w:pPr>
            <w:r>
              <w:rPr>
                <w:sz w:val="22"/>
              </w:rPr>
              <w:t>New centralities and consumption practices in Mexico City. From the micro-shop to the hypermarket</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8</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0.7</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37.759</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48</w:t>
            </w:r>
          </w:p>
        </w:tc>
        <w:tc>
          <w:tcPr>
            <w:tcW w:w="5274" w:type="dxa"/>
          </w:tcPr>
          <w:p>
            <w:pPr>
              <w:pStyle w:val="TableParagraph"/>
              <w:spacing w:before="23"/>
              <w:ind w:left="64" w:right="104"/>
              <w:rPr>
                <w:sz w:val="22"/>
              </w:rPr>
            </w:pPr>
            <w:r>
              <w:rPr>
                <w:sz w:val="22"/>
              </w:rPr>
              <w:t>Immigrant population and urban space. Indicators of segregation and local patterns</w:t>
            </w:r>
          </w:p>
        </w:tc>
        <w:tc>
          <w:tcPr>
            <w:tcW w:w="761" w:type="dxa"/>
          </w:tcPr>
          <w:p>
            <w:pPr>
              <w:pStyle w:val="TableParagraph"/>
              <w:spacing w:before="11"/>
              <w:rPr>
                <w:b/>
                <w:sz w:val="23"/>
              </w:rPr>
            </w:pPr>
          </w:p>
          <w:p>
            <w:pPr>
              <w:pStyle w:val="TableParagraph"/>
              <w:jc w:val="center"/>
              <w:rPr>
                <w:sz w:val="22"/>
              </w:rPr>
            </w:pPr>
            <w:r>
              <w:rPr>
                <w:w w:val="100"/>
                <w:sz w:val="22"/>
              </w:rPr>
              <w:t>8</w:t>
            </w:r>
          </w:p>
        </w:tc>
        <w:tc>
          <w:tcPr>
            <w:tcW w:w="802" w:type="dxa"/>
          </w:tcPr>
          <w:p>
            <w:pPr>
              <w:pStyle w:val="TableParagraph"/>
              <w:spacing w:before="11"/>
              <w:rPr>
                <w:b/>
                <w:sz w:val="23"/>
              </w:rPr>
            </w:pPr>
          </w:p>
          <w:p>
            <w:pPr>
              <w:pStyle w:val="TableParagraph"/>
              <w:ind w:right="240"/>
              <w:jc w:val="right"/>
              <w:rPr>
                <w:sz w:val="22"/>
              </w:rPr>
            </w:pPr>
            <w:r>
              <w:rPr>
                <w:sz w:val="22"/>
              </w:rPr>
              <w:t>0.7</w:t>
            </w:r>
          </w:p>
        </w:tc>
        <w:tc>
          <w:tcPr>
            <w:tcW w:w="1438" w:type="dxa"/>
          </w:tcPr>
          <w:p>
            <w:pPr>
              <w:pStyle w:val="TableParagraph"/>
              <w:spacing w:before="11"/>
              <w:rPr>
                <w:b/>
                <w:sz w:val="23"/>
              </w:rPr>
            </w:pPr>
          </w:p>
          <w:p>
            <w:pPr>
              <w:pStyle w:val="TableParagraph"/>
              <w:ind w:left="46" w:right="46"/>
              <w:jc w:val="center"/>
              <w:rPr>
                <w:sz w:val="22"/>
              </w:rPr>
            </w:pPr>
            <w:r>
              <w:rPr>
                <w:sz w:val="22"/>
              </w:rPr>
              <w:t>37.095</w:t>
            </w:r>
          </w:p>
        </w:tc>
      </w:tr>
      <w:tr>
        <w:trPr>
          <w:trHeight w:val="315" w:hRule="exact"/>
        </w:trPr>
        <w:tc>
          <w:tcPr>
            <w:tcW w:w="552" w:type="dxa"/>
          </w:tcPr>
          <w:p>
            <w:pPr>
              <w:pStyle w:val="TableParagraph"/>
              <w:spacing w:before="48"/>
              <w:ind w:left="67" w:right="67"/>
              <w:jc w:val="center"/>
              <w:rPr>
                <w:sz w:val="22"/>
              </w:rPr>
            </w:pPr>
            <w:r>
              <w:rPr>
                <w:sz w:val="22"/>
              </w:rPr>
              <w:t>49</w:t>
            </w:r>
          </w:p>
        </w:tc>
        <w:tc>
          <w:tcPr>
            <w:tcW w:w="5274" w:type="dxa"/>
          </w:tcPr>
          <w:p>
            <w:pPr>
              <w:pStyle w:val="TableParagraph"/>
              <w:spacing w:before="48"/>
              <w:ind w:left="64" w:right="679"/>
              <w:rPr>
                <w:sz w:val="22"/>
              </w:rPr>
            </w:pPr>
            <w:r>
              <w:rPr>
                <w:sz w:val="22"/>
              </w:rPr>
              <w:t>Urban sustainability as strategic planning</w:t>
            </w:r>
          </w:p>
        </w:tc>
        <w:tc>
          <w:tcPr>
            <w:tcW w:w="761" w:type="dxa"/>
          </w:tcPr>
          <w:p>
            <w:pPr>
              <w:pStyle w:val="TableParagraph"/>
              <w:spacing w:before="48"/>
              <w:jc w:val="center"/>
              <w:rPr>
                <w:sz w:val="22"/>
              </w:rPr>
            </w:pPr>
            <w:r>
              <w:rPr>
                <w:w w:val="100"/>
                <w:sz w:val="22"/>
              </w:rPr>
              <w:t>8</w:t>
            </w:r>
          </w:p>
        </w:tc>
        <w:tc>
          <w:tcPr>
            <w:tcW w:w="802" w:type="dxa"/>
          </w:tcPr>
          <w:p>
            <w:pPr>
              <w:pStyle w:val="TableParagraph"/>
              <w:spacing w:before="48"/>
              <w:ind w:right="240"/>
              <w:jc w:val="right"/>
              <w:rPr>
                <w:sz w:val="22"/>
              </w:rPr>
            </w:pPr>
            <w:r>
              <w:rPr>
                <w:sz w:val="22"/>
              </w:rPr>
              <w:t>0.7</w:t>
            </w:r>
          </w:p>
        </w:tc>
        <w:tc>
          <w:tcPr>
            <w:tcW w:w="1438" w:type="dxa"/>
          </w:tcPr>
          <w:p>
            <w:pPr>
              <w:pStyle w:val="TableParagraph"/>
              <w:spacing w:before="48"/>
              <w:ind w:left="46" w:right="46"/>
              <w:jc w:val="center"/>
              <w:rPr>
                <w:sz w:val="22"/>
              </w:rPr>
            </w:pPr>
            <w:r>
              <w:rPr>
                <w:sz w:val="22"/>
              </w:rPr>
              <w:t>36.432</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50</w:t>
            </w:r>
          </w:p>
        </w:tc>
        <w:tc>
          <w:tcPr>
            <w:tcW w:w="5274" w:type="dxa"/>
          </w:tcPr>
          <w:p>
            <w:pPr>
              <w:pStyle w:val="TableParagraph"/>
              <w:spacing w:before="26"/>
              <w:ind w:left="64" w:right="630"/>
              <w:rPr>
                <w:sz w:val="22"/>
              </w:rPr>
            </w:pPr>
            <w:r>
              <w:rPr>
                <w:sz w:val="22"/>
              </w:rPr>
              <w:t>Urban transport and globalization. Policies and effects in Latin America</w:t>
            </w:r>
          </w:p>
        </w:tc>
        <w:tc>
          <w:tcPr>
            <w:tcW w:w="761" w:type="dxa"/>
          </w:tcPr>
          <w:p>
            <w:pPr>
              <w:pStyle w:val="TableParagraph"/>
              <w:spacing w:before="2"/>
              <w:rPr>
                <w:b/>
                <w:sz w:val="24"/>
              </w:rPr>
            </w:pPr>
          </w:p>
          <w:p>
            <w:pPr>
              <w:pStyle w:val="TableParagraph"/>
              <w:jc w:val="center"/>
              <w:rPr>
                <w:sz w:val="22"/>
              </w:rPr>
            </w:pPr>
            <w:r>
              <w:rPr>
                <w:w w:val="100"/>
                <w:sz w:val="22"/>
              </w:rPr>
              <w:t>8</w:t>
            </w:r>
          </w:p>
        </w:tc>
        <w:tc>
          <w:tcPr>
            <w:tcW w:w="802" w:type="dxa"/>
          </w:tcPr>
          <w:p>
            <w:pPr>
              <w:pStyle w:val="TableParagraph"/>
              <w:spacing w:before="2"/>
              <w:rPr>
                <w:b/>
                <w:sz w:val="24"/>
              </w:rPr>
            </w:pPr>
          </w:p>
          <w:p>
            <w:pPr>
              <w:pStyle w:val="TableParagraph"/>
              <w:ind w:right="240"/>
              <w:jc w:val="right"/>
              <w:rPr>
                <w:sz w:val="22"/>
              </w:rPr>
            </w:pPr>
            <w:r>
              <w:rPr>
                <w:sz w:val="22"/>
              </w:rPr>
              <w:t>0.7</w:t>
            </w:r>
          </w:p>
        </w:tc>
        <w:tc>
          <w:tcPr>
            <w:tcW w:w="1438" w:type="dxa"/>
          </w:tcPr>
          <w:p>
            <w:pPr>
              <w:pStyle w:val="TableParagraph"/>
              <w:spacing w:before="2"/>
              <w:rPr>
                <w:b/>
                <w:sz w:val="24"/>
              </w:rPr>
            </w:pPr>
          </w:p>
          <w:p>
            <w:pPr>
              <w:pStyle w:val="TableParagraph"/>
              <w:ind w:left="46" w:right="46"/>
              <w:jc w:val="center"/>
              <w:rPr>
                <w:sz w:val="22"/>
              </w:rPr>
            </w:pPr>
            <w:r>
              <w:rPr>
                <w:sz w:val="22"/>
              </w:rPr>
              <w:t>35.768</w:t>
            </w:r>
          </w:p>
        </w:tc>
      </w:tr>
      <w:tr>
        <w:trPr>
          <w:trHeight w:val="547" w:hRule="exact"/>
        </w:trPr>
        <w:tc>
          <w:tcPr>
            <w:tcW w:w="552" w:type="dxa"/>
          </w:tcPr>
          <w:p>
            <w:pPr>
              <w:pStyle w:val="TableParagraph"/>
              <w:spacing w:before="2"/>
              <w:rPr>
                <w:b/>
                <w:sz w:val="24"/>
              </w:rPr>
            </w:pPr>
          </w:p>
          <w:p>
            <w:pPr>
              <w:pStyle w:val="TableParagraph"/>
              <w:ind w:left="67" w:right="67"/>
              <w:jc w:val="center"/>
              <w:rPr>
                <w:sz w:val="22"/>
              </w:rPr>
            </w:pPr>
            <w:r>
              <w:rPr>
                <w:sz w:val="22"/>
              </w:rPr>
              <w:t>51</w:t>
            </w:r>
          </w:p>
        </w:tc>
        <w:tc>
          <w:tcPr>
            <w:tcW w:w="5274" w:type="dxa"/>
          </w:tcPr>
          <w:p>
            <w:pPr>
              <w:pStyle w:val="TableParagraph"/>
              <w:spacing w:before="26"/>
              <w:ind w:left="64" w:right="154"/>
              <w:rPr>
                <w:sz w:val="22"/>
              </w:rPr>
            </w:pPr>
            <w:r>
              <w:rPr>
                <w:sz w:val="22"/>
              </w:rPr>
              <w:t>Socio-spatial impact of enclosed urbanizations: The case of Buenos Aires Metropolitan Region</w:t>
            </w:r>
          </w:p>
        </w:tc>
        <w:tc>
          <w:tcPr>
            <w:tcW w:w="761" w:type="dxa"/>
          </w:tcPr>
          <w:p>
            <w:pPr>
              <w:pStyle w:val="TableParagraph"/>
              <w:spacing w:before="2"/>
              <w:rPr>
                <w:b/>
                <w:sz w:val="24"/>
              </w:rPr>
            </w:pPr>
          </w:p>
          <w:p>
            <w:pPr>
              <w:pStyle w:val="TableParagraph"/>
              <w:jc w:val="center"/>
              <w:rPr>
                <w:sz w:val="22"/>
              </w:rPr>
            </w:pPr>
            <w:r>
              <w:rPr>
                <w:w w:val="100"/>
                <w:sz w:val="22"/>
              </w:rPr>
              <w:t>8</w:t>
            </w:r>
          </w:p>
        </w:tc>
        <w:tc>
          <w:tcPr>
            <w:tcW w:w="802" w:type="dxa"/>
          </w:tcPr>
          <w:p>
            <w:pPr>
              <w:pStyle w:val="TableParagraph"/>
              <w:spacing w:before="2"/>
              <w:rPr>
                <w:b/>
                <w:sz w:val="24"/>
              </w:rPr>
            </w:pPr>
          </w:p>
          <w:p>
            <w:pPr>
              <w:pStyle w:val="TableParagraph"/>
              <w:ind w:right="240"/>
              <w:jc w:val="right"/>
              <w:rPr>
                <w:sz w:val="22"/>
              </w:rPr>
            </w:pPr>
            <w:r>
              <w:rPr>
                <w:sz w:val="22"/>
              </w:rPr>
              <w:t>0.7</w:t>
            </w:r>
          </w:p>
        </w:tc>
        <w:tc>
          <w:tcPr>
            <w:tcW w:w="1438" w:type="dxa"/>
          </w:tcPr>
          <w:p>
            <w:pPr>
              <w:pStyle w:val="TableParagraph"/>
              <w:spacing w:before="2"/>
              <w:rPr>
                <w:b/>
                <w:sz w:val="24"/>
              </w:rPr>
            </w:pPr>
          </w:p>
          <w:p>
            <w:pPr>
              <w:pStyle w:val="TableParagraph"/>
              <w:ind w:left="46" w:right="46"/>
              <w:jc w:val="center"/>
              <w:rPr>
                <w:sz w:val="22"/>
              </w:rPr>
            </w:pPr>
            <w:r>
              <w:rPr>
                <w:sz w:val="22"/>
              </w:rPr>
              <w:t>35.104</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52</w:t>
            </w:r>
          </w:p>
        </w:tc>
        <w:tc>
          <w:tcPr>
            <w:tcW w:w="5274" w:type="dxa"/>
          </w:tcPr>
          <w:p>
            <w:pPr>
              <w:pStyle w:val="TableParagraph"/>
              <w:spacing w:before="23"/>
              <w:ind w:left="64" w:right="166"/>
              <w:rPr>
                <w:sz w:val="22"/>
              </w:rPr>
            </w:pPr>
            <w:r>
              <w:rPr>
                <w:sz w:val="22"/>
              </w:rPr>
              <w:t>The trash war of Santiago: from the right to housing to the right to the city</w:t>
            </w:r>
          </w:p>
        </w:tc>
        <w:tc>
          <w:tcPr>
            <w:tcW w:w="761" w:type="dxa"/>
          </w:tcPr>
          <w:p>
            <w:pPr>
              <w:pStyle w:val="TableParagraph"/>
              <w:spacing w:before="11"/>
              <w:rPr>
                <w:b/>
                <w:sz w:val="23"/>
              </w:rPr>
            </w:pPr>
          </w:p>
          <w:p>
            <w:pPr>
              <w:pStyle w:val="TableParagraph"/>
              <w:jc w:val="center"/>
              <w:rPr>
                <w:sz w:val="22"/>
              </w:rPr>
            </w:pPr>
            <w:r>
              <w:rPr>
                <w:w w:val="100"/>
                <w:sz w:val="22"/>
              </w:rPr>
              <w:t>8</w:t>
            </w:r>
          </w:p>
        </w:tc>
        <w:tc>
          <w:tcPr>
            <w:tcW w:w="802" w:type="dxa"/>
          </w:tcPr>
          <w:p>
            <w:pPr>
              <w:pStyle w:val="TableParagraph"/>
              <w:spacing w:before="11"/>
              <w:rPr>
                <w:b/>
                <w:sz w:val="23"/>
              </w:rPr>
            </w:pPr>
          </w:p>
          <w:p>
            <w:pPr>
              <w:pStyle w:val="TableParagraph"/>
              <w:ind w:right="240"/>
              <w:jc w:val="right"/>
              <w:rPr>
                <w:sz w:val="22"/>
              </w:rPr>
            </w:pPr>
            <w:r>
              <w:rPr>
                <w:sz w:val="22"/>
              </w:rPr>
              <w:t>0.7</w:t>
            </w:r>
          </w:p>
        </w:tc>
        <w:tc>
          <w:tcPr>
            <w:tcW w:w="1438" w:type="dxa"/>
          </w:tcPr>
          <w:p>
            <w:pPr>
              <w:pStyle w:val="TableParagraph"/>
              <w:spacing w:before="11"/>
              <w:rPr>
                <w:b/>
                <w:sz w:val="23"/>
              </w:rPr>
            </w:pPr>
          </w:p>
          <w:p>
            <w:pPr>
              <w:pStyle w:val="TableParagraph"/>
              <w:ind w:left="46" w:right="46"/>
              <w:jc w:val="center"/>
              <w:rPr>
                <w:sz w:val="22"/>
              </w:rPr>
            </w:pPr>
            <w:r>
              <w:rPr>
                <w:sz w:val="22"/>
              </w:rPr>
              <w:t>34.440</w:t>
            </w:r>
          </w:p>
        </w:tc>
      </w:tr>
      <w:tr>
        <w:trPr>
          <w:trHeight w:val="314" w:hRule="exact"/>
        </w:trPr>
        <w:tc>
          <w:tcPr>
            <w:tcW w:w="552" w:type="dxa"/>
          </w:tcPr>
          <w:p>
            <w:pPr>
              <w:pStyle w:val="TableParagraph"/>
              <w:spacing w:before="47"/>
              <w:ind w:left="67" w:right="67"/>
              <w:jc w:val="center"/>
              <w:rPr>
                <w:sz w:val="22"/>
              </w:rPr>
            </w:pPr>
            <w:r>
              <w:rPr>
                <w:sz w:val="22"/>
              </w:rPr>
              <w:t>53</w:t>
            </w:r>
          </w:p>
        </w:tc>
        <w:tc>
          <w:tcPr>
            <w:tcW w:w="5274" w:type="dxa"/>
          </w:tcPr>
          <w:p>
            <w:pPr>
              <w:pStyle w:val="TableParagraph"/>
              <w:spacing w:before="47"/>
              <w:ind w:left="64" w:right="679"/>
              <w:rPr>
                <w:sz w:val="22"/>
              </w:rPr>
            </w:pPr>
            <w:r>
              <w:rPr>
                <w:sz w:val="22"/>
              </w:rPr>
              <w:t>Ciudad de Mexico: the way to a global city</w:t>
            </w:r>
          </w:p>
        </w:tc>
        <w:tc>
          <w:tcPr>
            <w:tcW w:w="761" w:type="dxa"/>
          </w:tcPr>
          <w:p>
            <w:pPr>
              <w:pStyle w:val="TableParagraph"/>
              <w:spacing w:before="47"/>
              <w:jc w:val="center"/>
              <w:rPr>
                <w:sz w:val="22"/>
              </w:rPr>
            </w:pPr>
            <w:r>
              <w:rPr>
                <w:w w:val="100"/>
                <w:sz w:val="22"/>
              </w:rPr>
              <w:t>8</w:t>
            </w:r>
          </w:p>
        </w:tc>
        <w:tc>
          <w:tcPr>
            <w:tcW w:w="802" w:type="dxa"/>
          </w:tcPr>
          <w:p>
            <w:pPr>
              <w:pStyle w:val="TableParagraph"/>
              <w:spacing w:before="47"/>
              <w:ind w:right="240"/>
              <w:jc w:val="right"/>
              <w:rPr>
                <w:sz w:val="22"/>
              </w:rPr>
            </w:pPr>
            <w:r>
              <w:rPr>
                <w:sz w:val="22"/>
              </w:rPr>
              <w:t>0.7</w:t>
            </w:r>
          </w:p>
        </w:tc>
        <w:tc>
          <w:tcPr>
            <w:tcW w:w="1438" w:type="dxa"/>
          </w:tcPr>
          <w:p>
            <w:pPr>
              <w:pStyle w:val="TableParagraph"/>
              <w:spacing w:before="47"/>
              <w:ind w:left="46" w:right="46"/>
              <w:jc w:val="center"/>
              <w:rPr>
                <w:sz w:val="22"/>
              </w:rPr>
            </w:pPr>
            <w:r>
              <w:rPr>
                <w:sz w:val="22"/>
              </w:rPr>
              <w:t>33.776</w:t>
            </w:r>
          </w:p>
        </w:tc>
      </w:tr>
      <w:tr>
        <w:trPr>
          <w:trHeight w:val="317" w:hRule="exact"/>
        </w:trPr>
        <w:tc>
          <w:tcPr>
            <w:tcW w:w="552" w:type="dxa"/>
          </w:tcPr>
          <w:p>
            <w:pPr>
              <w:pStyle w:val="TableParagraph"/>
              <w:spacing w:before="50"/>
              <w:ind w:left="67" w:right="67"/>
              <w:jc w:val="center"/>
              <w:rPr>
                <w:sz w:val="22"/>
              </w:rPr>
            </w:pPr>
            <w:r>
              <w:rPr>
                <w:sz w:val="22"/>
              </w:rPr>
              <w:t>54</w:t>
            </w:r>
          </w:p>
        </w:tc>
        <w:tc>
          <w:tcPr>
            <w:tcW w:w="5274" w:type="dxa"/>
          </w:tcPr>
          <w:p>
            <w:pPr>
              <w:pStyle w:val="TableParagraph"/>
              <w:spacing w:before="50"/>
              <w:ind w:left="64" w:right="679"/>
              <w:rPr>
                <w:sz w:val="22"/>
              </w:rPr>
            </w:pPr>
            <w:r>
              <w:rPr>
                <w:sz w:val="22"/>
              </w:rPr>
              <w:t>Sao Paulo, an unequal metropolis</w:t>
            </w:r>
          </w:p>
        </w:tc>
        <w:tc>
          <w:tcPr>
            <w:tcW w:w="761" w:type="dxa"/>
          </w:tcPr>
          <w:p>
            <w:pPr>
              <w:pStyle w:val="TableParagraph"/>
              <w:spacing w:before="50"/>
              <w:jc w:val="center"/>
              <w:rPr>
                <w:sz w:val="22"/>
              </w:rPr>
            </w:pPr>
            <w:r>
              <w:rPr>
                <w:w w:val="100"/>
                <w:sz w:val="22"/>
              </w:rPr>
              <w:t>8</w:t>
            </w:r>
          </w:p>
        </w:tc>
        <w:tc>
          <w:tcPr>
            <w:tcW w:w="802" w:type="dxa"/>
          </w:tcPr>
          <w:p>
            <w:pPr>
              <w:pStyle w:val="TableParagraph"/>
              <w:spacing w:before="50"/>
              <w:ind w:right="240"/>
              <w:jc w:val="right"/>
              <w:rPr>
                <w:sz w:val="22"/>
              </w:rPr>
            </w:pPr>
            <w:r>
              <w:rPr>
                <w:sz w:val="22"/>
              </w:rPr>
              <w:t>0.7</w:t>
            </w:r>
          </w:p>
        </w:tc>
        <w:tc>
          <w:tcPr>
            <w:tcW w:w="1438" w:type="dxa"/>
          </w:tcPr>
          <w:p>
            <w:pPr>
              <w:pStyle w:val="TableParagraph"/>
              <w:spacing w:before="50"/>
              <w:ind w:left="46" w:right="46"/>
              <w:jc w:val="center"/>
              <w:rPr>
                <w:sz w:val="22"/>
              </w:rPr>
            </w:pPr>
            <w:r>
              <w:rPr>
                <w:sz w:val="22"/>
              </w:rPr>
              <w:t>33.112</w:t>
            </w:r>
          </w:p>
        </w:tc>
      </w:tr>
      <w:tr>
        <w:trPr>
          <w:trHeight w:val="768" w:hRule="exact"/>
        </w:trPr>
        <w:tc>
          <w:tcPr>
            <w:tcW w:w="552" w:type="dxa"/>
          </w:tcPr>
          <w:p>
            <w:pPr>
              <w:pStyle w:val="TableParagraph"/>
              <w:rPr>
                <w:b/>
                <w:sz w:val="22"/>
              </w:rPr>
            </w:pPr>
          </w:p>
          <w:p>
            <w:pPr>
              <w:pStyle w:val="TableParagraph"/>
              <w:spacing w:before="7"/>
              <w:rPr>
                <w:b/>
                <w:sz w:val="21"/>
              </w:rPr>
            </w:pPr>
          </w:p>
          <w:p>
            <w:pPr>
              <w:pStyle w:val="TableParagraph"/>
              <w:ind w:left="67" w:right="67"/>
              <w:jc w:val="center"/>
              <w:rPr>
                <w:sz w:val="22"/>
              </w:rPr>
            </w:pPr>
            <w:r>
              <w:rPr>
                <w:sz w:val="22"/>
              </w:rPr>
              <w:t>55</w:t>
            </w:r>
          </w:p>
        </w:tc>
        <w:tc>
          <w:tcPr>
            <w:tcW w:w="5274" w:type="dxa"/>
          </w:tcPr>
          <w:p>
            <w:pPr>
              <w:pStyle w:val="TableParagraph"/>
              <w:ind w:left="64" w:right="538"/>
              <w:jc w:val="both"/>
              <w:rPr>
                <w:sz w:val="22"/>
              </w:rPr>
            </w:pPr>
            <w:r>
              <w:rPr>
                <w:sz w:val="22"/>
              </w:rPr>
              <w:t>Entrepreneurialism, real estate and large urban projects: the model of Puerto Madero in Buenos Aires</w:t>
            </w:r>
          </w:p>
        </w:tc>
        <w:tc>
          <w:tcPr>
            <w:tcW w:w="761" w:type="dxa"/>
          </w:tcPr>
          <w:p>
            <w:pPr>
              <w:pStyle w:val="TableParagraph"/>
              <w:rPr>
                <w:b/>
                <w:sz w:val="22"/>
              </w:rPr>
            </w:pPr>
          </w:p>
          <w:p>
            <w:pPr>
              <w:pStyle w:val="TableParagraph"/>
              <w:spacing w:before="7"/>
              <w:rPr>
                <w:b/>
                <w:sz w:val="21"/>
              </w:rPr>
            </w:pPr>
          </w:p>
          <w:p>
            <w:pPr>
              <w:pStyle w:val="TableParagraph"/>
              <w:jc w:val="center"/>
              <w:rPr>
                <w:sz w:val="22"/>
              </w:rPr>
            </w:pPr>
            <w:r>
              <w:rPr>
                <w:w w:val="100"/>
                <w:sz w:val="22"/>
              </w:rPr>
              <w:t>7</w:t>
            </w:r>
          </w:p>
        </w:tc>
        <w:tc>
          <w:tcPr>
            <w:tcW w:w="802" w:type="dxa"/>
          </w:tcPr>
          <w:p>
            <w:pPr>
              <w:pStyle w:val="TableParagraph"/>
              <w:rPr>
                <w:b/>
                <w:sz w:val="22"/>
              </w:rPr>
            </w:pPr>
          </w:p>
          <w:p>
            <w:pPr>
              <w:pStyle w:val="TableParagraph"/>
              <w:spacing w:before="7"/>
              <w:rPr>
                <w:b/>
                <w:sz w:val="21"/>
              </w:rPr>
            </w:pPr>
          </w:p>
          <w:p>
            <w:pPr>
              <w:pStyle w:val="TableParagraph"/>
              <w:ind w:right="240"/>
              <w:jc w:val="right"/>
              <w:rPr>
                <w:sz w:val="22"/>
              </w:rPr>
            </w:pPr>
            <w:r>
              <w:rPr>
                <w:sz w:val="22"/>
              </w:rPr>
              <w:t>0.6</w:t>
            </w:r>
          </w:p>
        </w:tc>
        <w:tc>
          <w:tcPr>
            <w:tcW w:w="1438" w:type="dxa"/>
          </w:tcPr>
          <w:p>
            <w:pPr>
              <w:pStyle w:val="TableParagraph"/>
              <w:rPr>
                <w:b/>
                <w:sz w:val="22"/>
              </w:rPr>
            </w:pPr>
          </w:p>
          <w:p>
            <w:pPr>
              <w:pStyle w:val="TableParagraph"/>
              <w:spacing w:before="7"/>
              <w:rPr>
                <w:b/>
                <w:sz w:val="21"/>
              </w:rPr>
            </w:pPr>
          </w:p>
          <w:p>
            <w:pPr>
              <w:pStyle w:val="TableParagraph"/>
              <w:ind w:left="46" w:right="46"/>
              <w:jc w:val="center"/>
              <w:rPr>
                <w:sz w:val="22"/>
              </w:rPr>
            </w:pPr>
            <w:r>
              <w:rPr>
                <w:sz w:val="22"/>
              </w:rPr>
              <w:t>32.448</w:t>
            </w:r>
          </w:p>
        </w:tc>
      </w:tr>
      <w:tr>
        <w:trPr>
          <w:trHeight w:val="806" w:hRule="exact"/>
        </w:trPr>
        <w:tc>
          <w:tcPr>
            <w:tcW w:w="552" w:type="dxa"/>
          </w:tcPr>
          <w:p>
            <w:pPr>
              <w:pStyle w:val="TableParagraph"/>
              <w:rPr>
                <w:b/>
                <w:sz w:val="22"/>
              </w:rPr>
            </w:pPr>
          </w:p>
          <w:p>
            <w:pPr>
              <w:pStyle w:val="TableParagraph"/>
              <w:spacing w:before="8"/>
              <w:rPr>
                <w:b/>
                <w:sz w:val="24"/>
              </w:rPr>
            </w:pPr>
          </w:p>
          <w:p>
            <w:pPr>
              <w:pStyle w:val="TableParagraph"/>
              <w:ind w:left="67" w:right="67"/>
              <w:jc w:val="center"/>
              <w:rPr>
                <w:sz w:val="22"/>
              </w:rPr>
            </w:pPr>
            <w:r>
              <w:rPr>
                <w:sz w:val="22"/>
              </w:rPr>
              <w:t>56</w:t>
            </w:r>
          </w:p>
        </w:tc>
        <w:tc>
          <w:tcPr>
            <w:tcW w:w="5274" w:type="dxa"/>
          </w:tcPr>
          <w:p>
            <w:pPr>
              <w:pStyle w:val="TableParagraph"/>
              <w:spacing w:before="33"/>
              <w:ind w:left="64" w:right="447"/>
              <w:rPr>
                <w:sz w:val="22"/>
              </w:rPr>
            </w:pPr>
            <w:r>
              <w:rPr>
                <w:sz w:val="22"/>
              </w:rPr>
              <w:t>Urbanization of perhiperal areas of Santiago and Valparaiso: the role of power relations in the establishment of socio-residential geography</w:t>
            </w:r>
          </w:p>
        </w:tc>
        <w:tc>
          <w:tcPr>
            <w:tcW w:w="761" w:type="dxa"/>
          </w:tcPr>
          <w:p>
            <w:pPr>
              <w:pStyle w:val="TableParagraph"/>
              <w:rPr>
                <w:b/>
                <w:sz w:val="22"/>
              </w:rPr>
            </w:pPr>
          </w:p>
          <w:p>
            <w:pPr>
              <w:pStyle w:val="TableParagraph"/>
              <w:spacing w:before="8"/>
              <w:rPr>
                <w:b/>
                <w:sz w:val="24"/>
              </w:rPr>
            </w:pPr>
          </w:p>
          <w:p>
            <w:pPr>
              <w:pStyle w:val="TableParagraph"/>
              <w:jc w:val="center"/>
              <w:rPr>
                <w:sz w:val="22"/>
              </w:rPr>
            </w:pPr>
            <w:r>
              <w:rPr>
                <w:w w:val="100"/>
                <w:sz w:val="22"/>
              </w:rPr>
              <w:t>7</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0.6</w:t>
            </w:r>
          </w:p>
        </w:tc>
        <w:tc>
          <w:tcPr>
            <w:tcW w:w="1438" w:type="dxa"/>
          </w:tcPr>
          <w:p>
            <w:pPr>
              <w:pStyle w:val="TableParagraph"/>
              <w:rPr>
                <w:b/>
                <w:sz w:val="22"/>
              </w:rPr>
            </w:pPr>
          </w:p>
          <w:p>
            <w:pPr>
              <w:pStyle w:val="TableParagraph"/>
              <w:spacing w:before="8"/>
              <w:rPr>
                <w:b/>
                <w:sz w:val="24"/>
              </w:rPr>
            </w:pPr>
          </w:p>
          <w:p>
            <w:pPr>
              <w:pStyle w:val="TableParagraph"/>
              <w:ind w:left="46" w:right="46"/>
              <w:jc w:val="center"/>
              <w:rPr>
                <w:sz w:val="22"/>
              </w:rPr>
            </w:pPr>
            <w:r>
              <w:rPr>
                <w:sz w:val="22"/>
              </w:rPr>
              <w:t>31.867</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57</w:t>
            </w:r>
          </w:p>
        </w:tc>
        <w:tc>
          <w:tcPr>
            <w:tcW w:w="5274" w:type="dxa"/>
          </w:tcPr>
          <w:p>
            <w:pPr>
              <w:pStyle w:val="TableParagraph"/>
              <w:spacing w:before="23"/>
              <w:ind w:left="64" w:right="385"/>
              <w:rPr>
                <w:sz w:val="22"/>
              </w:rPr>
            </w:pPr>
            <w:r>
              <w:rPr>
                <w:sz w:val="22"/>
              </w:rPr>
              <w:t>Metropolitan governance in Santiago: the uneven power relationship between municipalities</w:t>
            </w:r>
          </w:p>
        </w:tc>
        <w:tc>
          <w:tcPr>
            <w:tcW w:w="761" w:type="dxa"/>
          </w:tcPr>
          <w:p>
            <w:pPr>
              <w:pStyle w:val="TableParagraph"/>
              <w:spacing w:before="11"/>
              <w:rPr>
                <w:b/>
                <w:sz w:val="23"/>
              </w:rPr>
            </w:pPr>
          </w:p>
          <w:p>
            <w:pPr>
              <w:pStyle w:val="TableParagraph"/>
              <w:jc w:val="center"/>
              <w:rPr>
                <w:sz w:val="22"/>
              </w:rPr>
            </w:pPr>
            <w:r>
              <w:rPr>
                <w:w w:val="100"/>
                <w:sz w:val="22"/>
              </w:rPr>
              <w:t>7</w:t>
            </w:r>
          </w:p>
        </w:tc>
        <w:tc>
          <w:tcPr>
            <w:tcW w:w="802" w:type="dxa"/>
          </w:tcPr>
          <w:p>
            <w:pPr>
              <w:pStyle w:val="TableParagraph"/>
              <w:spacing w:before="11"/>
              <w:rPr>
                <w:b/>
                <w:sz w:val="23"/>
              </w:rPr>
            </w:pPr>
          </w:p>
          <w:p>
            <w:pPr>
              <w:pStyle w:val="TableParagraph"/>
              <w:ind w:right="240"/>
              <w:jc w:val="right"/>
              <w:rPr>
                <w:sz w:val="22"/>
              </w:rPr>
            </w:pPr>
            <w:r>
              <w:rPr>
                <w:sz w:val="22"/>
              </w:rPr>
              <w:t>0.6</w:t>
            </w:r>
          </w:p>
        </w:tc>
        <w:tc>
          <w:tcPr>
            <w:tcW w:w="1438" w:type="dxa"/>
          </w:tcPr>
          <w:p>
            <w:pPr>
              <w:pStyle w:val="TableParagraph"/>
              <w:spacing w:before="11"/>
              <w:rPr>
                <w:b/>
                <w:sz w:val="23"/>
              </w:rPr>
            </w:pPr>
          </w:p>
          <w:p>
            <w:pPr>
              <w:pStyle w:val="TableParagraph"/>
              <w:ind w:left="46" w:right="46"/>
              <w:jc w:val="center"/>
              <w:rPr>
                <w:sz w:val="22"/>
              </w:rPr>
            </w:pPr>
            <w:r>
              <w:rPr>
                <w:sz w:val="22"/>
              </w:rPr>
              <w:t>31.286</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58</w:t>
            </w:r>
          </w:p>
        </w:tc>
        <w:tc>
          <w:tcPr>
            <w:tcW w:w="5274" w:type="dxa"/>
          </w:tcPr>
          <w:p>
            <w:pPr>
              <w:pStyle w:val="TableParagraph"/>
              <w:ind w:left="64" w:right="68"/>
              <w:rPr>
                <w:sz w:val="22"/>
              </w:rPr>
            </w:pPr>
            <w:r>
              <w:rPr>
                <w:sz w:val="22"/>
              </w:rPr>
              <w:t>Revolution and counterrevolution in the global city: the frustrated expectations of the globalization of our cities</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7</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0.6</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30.705</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59</w:t>
            </w:r>
          </w:p>
        </w:tc>
        <w:tc>
          <w:tcPr>
            <w:tcW w:w="5274" w:type="dxa"/>
          </w:tcPr>
          <w:p>
            <w:pPr>
              <w:pStyle w:val="TableParagraph"/>
              <w:spacing w:before="26"/>
              <w:ind w:left="64" w:right="264"/>
              <w:rPr>
                <w:sz w:val="22"/>
              </w:rPr>
            </w:pPr>
            <w:r>
              <w:rPr>
                <w:sz w:val="22"/>
              </w:rPr>
              <w:t>Economic transformations and territorial reorganization in the metropolitan region of Madrid</w:t>
            </w:r>
          </w:p>
        </w:tc>
        <w:tc>
          <w:tcPr>
            <w:tcW w:w="761" w:type="dxa"/>
          </w:tcPr>
          <w:p>
            <w:pPr>
              <w:pStyle w:val="TableParagraph"/>
              <w:spacing w:before="2"/>
              <w:rPr>
                <w:b/>
                <w:sz w:val="24"/>
              </w:rPr>
            </w:pPr>
          </w:p>
          <w:p>
            <w:pPr>
              <w:pStyle w:val="TableParagraph"/>
              <w:jc w:val="center"/>
              <w:rPr>
                <w:sz w:val="22"/>
              </w:rPr>
            </w:pPr>
            <w:r>
              <w:rPr>
                <w:w w:val="100"/>
                <w:sz w:val="22"/>
              </w:rPr>
              <w:t>7</w:t>
            </w:r>
          </w:p>
        </w:tc>
        <w:tc>
          <w:tcPr>
            <w:tcW w:w="802" w:type="dxa"/>
          </w:tcPr>
          <w:p>
            <w:pPr>
              <w:pStyle w:val="TableParagraph"/>
              <w:spacing w:before="2"/>
              <w:rPr>
                <w:b/>
                <w:sz w:val="24"/>
              </w:rPr>
            </w:pPr>
          </w:p>
          <w:p>
            <w:pPr>
              <w:pStyle w:val="TableParagraph"/>
              <w:ind w:right="240"/>
              <w:jc w:val="right"/>
              <w:rPr>
                <w:sz w:val="22"/>
              </w:rPr>
            </w:pPr>
            <w:r>
              <w:rPr>
                <w:sz w:val="22"/>
              </w:rPr>
              <w:t>0.6</w:t>
            </w:r>
          </w:p>
        </w:tc>
        <w:tc>
          <w:tcPr>
            <w:tcW w:w="1438" w:type="dxa"/>
          </w:tcPr>
          <w:p>
            <w:pPr>
              <w:pStyle w:val="TableParagraph"/>
              <w:spacing w:before="2"/>
              <w:rPr>
                <w:b/>
                <w:sz w:val="24"/>
              </w:rPr>
            </w:pPr>
          </w:p>
          <w:p>
            <w:pPr>
              <w:pStyle w:val="TableParagraph"/>
              <w:ind w:left="46" w:right="46"/>
              <w:jc w:val="center"/>
              <w:rPr>
                <w:sz w:val="22"/>
              </w:rPr>
            </w:pPr>
            <w:r>
              <w:rPr>
                <w:sz w:val="22"/>
              </w:rPr>
              <w:t>30.124</w:t>
            </w:r>
          </w:p>
        </w:tc>
      </w:tr>
      <w:tr>
        <w:trPr>
          <w:trHeight w:val="317" w:hRule="exact"/>
        </w:trPr>
        <w:tc>
          <w:tcPr>
            <w:tcW w:w="552" w:type="dxa"/>
          </w:tcPr>
          <w:p>
            <w:pPr>
              <w:pStyle w:val="TableParagraph"/>
              <w:spacing w:before="50"/>
              <w:ind w:left="67" w:right="67"/>
              <w:jc w:val="center"/>
              <w:rPr>
                <w:sz w:val="22"/>
              </w:rPr>
            </w:pPr>
            <w:r>
              <w:rPr>
                <w:sz w:val="22"/>
              </w:rPr>
              <w:t>60</w:t>
            </w:r>
          </w:p>
        </w:tc>
        <w:tc>
          <w:tcPr>
            <w:tcW w:w="5274" w:type="dxa"/>
          </w:tcPr>
          <w:p>
            <w:pPr>
              <w:pStyle w:val="TableParagraph"/>
              <w:spacing w:before="50"/>
              <w:ind w:left="64" w:right="679"/>
              <w:rPr>
                <w:sz w:val="22"/>
              </w:rPr>
            </w:pPr>
            <w:r>
              <w:rPr>
                <w:sz w:val="22"/>
              </w:rPr>
              <w:t>Rankings, creativity and urbanism</w:t>
            </w:r>
          </w:p>
        </w:tc>
        <w:tc>
          <w:tcPr>
            <w:tcW w:w="761" w:type="dxa"/>
          </w:tcPr>
          <w:p>
            <w:pPr>
              <w:pStyle w:val="TableParagraph"/>
              <w:spacing w:before="50"/>
              <w:jc w:val="center"/>
              <w:rPr>
                <w:sz w:val="22"/>
              </w:rPr>
            </w:pPr>
            <w:r>
              <w:rPr>
                <w:w w:val="100"/>
                <w:sz w:val="22"/>
              </w:rPr>
              <w:t>6</w:t>
            </w:r>
          </w:p>
        </w:tc>
        <w:tc>
          <w:tcPr>
            <w:tcW w:w="802" w:type="dxa"/>
          </w:tcPr>
          <w:p>
            <w:pPr>
              <w:pStyle w:val="TableParagraph"/>
              <w:spacing w:before="50"/>
              <w:ind w:right="240"/>
              <w:jc w:val="right"/>
              <w:rPr>
                <w:sz w:val="22"/>
              </w:rPr>
            </w:pPr>
            <w:r>
              <w:rPr>
                <w:sz w:val="22"/>
              </w:rPr>
              <w:t>0.5</w:t>
            </w:r>
          </w:p>
        </w:tc>
        <w:tc>
          <w:tcPr>
            <w:tcW w:w="1438" w:type="dxa"/>
          </w:tcPr>
          <w:p>
            <w:pPr>
              <w:pStyle w:val="TableParagraph"/>
              <w:spacing w:before="50"/>
              <w:ind w:left="46" w:right="46"/>
              <w:jc w:val="center"/>
              <w:rPr>
                <w:sz w:val="22"/>
              </w:rPr>
            </w:pPr>
            <w:r>
              <w:rPr>
                <w:sz w:val="22"/>
              </w:rPr>
              <w:t>29.544</w:t>
            </w:r>
          </w:p>
        </w:tc>
      </w:tr>
      <w:tr>
        <w:trPr>
          <w:trHeight w:val="805" w:hRule="exact"/>
        </w:trPr>
        <w:tc>
          <w:tcPr>
            <w:tcW w:w="552" w:type="dxa"/>
          </w:tcPr>
          <w:p>
            <w:pPr>
              <w:pStyle w:val="TableParagraph"/>
              <w:rPr>
                <w:b/>
                <w:sz w:val="22"/>
              </w:rPr>
            </w:pPr>
          </w:p>
          <w:p>
            <w:pPr>
              <w:pStyle w:val="TableParagraph"/>
              <w:spacing w:before="8"/>
              <w:rPr>
                <w:b/>
                <w:sz w:val="24"/>
              </w:rPr>
            </w:pPr>
          </w:p>
          <w:p>
            <w:pPr>
              <w:pStyle w:val="TableParagraph"/>
              <w:spacing w:before="1"/>
              <w:ind w:left="67" w:right="67"/>
              <w:jc w:val="center"/>
              <w:rPr>
                <w:sz w:val="22"/>
              </w:rPr>
            </w:pPr>
            <w:r>
              <w:rPr>
                <w:sz w:val="22"/>
              </w:rPr>
              <w:t>61</w:t>
            </w:r>
          </w:p>
        </w:tc>
        <w:tc>
          <w:tcPr>
            <w:tcW w:w="5274" w:type="dxa"/>
          </w:tcPr>
          <w:p>
            <w:pPr>
              <w:pStyle w:val="TableParagraph"/>
              <w:spacing w:before="31"/>
              <w:ind w:left="64" w:right="240"/>
              <w:rPr>
                <w:sz w:val="22"/>
              </w:rPr>
            </w:pPr>
            <w:r>
              <w:rPr>
                <w:sz w:val="22"/>
              </w:rPr>
              <w:t>The missing link between global commodity chains and global cities: the financial service sector in Mexico City and Santiago de Chile</w:t>
            </w:r>
          </w:p>
        </w:tc>
        <w:tc>
          <w:tcPr>
            <w:tcW w:w="761" w:type="dxa"/>
          </w:tcPr>
          <w:p>
            <w:pPr>
              <w:pStyle w:val="TableParagraph"/>
              <w:rPr>
                <w:b/>
                <w:sz w:val="22"/>
              </w:rPr>
            </w:pPr>
          </w:p>
          <w:p>
            <w:pPr>
              <w:pStyle w:val="TableParagraph"/>
              <w:spacing w:before="8"/>
              <w:rPr>
                <w:b/>
                <w:sz w:val="24"/>
              </w:rPr>
            </w:pPr>
          </w:p>
          <w:p>
            <w:pPr>
              <w:pStyle w:val="TableParagraph"/>
              <w:spacing w:before="1"/>
              <w:jc w:val="center"/>
              <w:rPr>
                <w:sz w:val="22"/>
              </w:rPr>
            </w:pPr>
            <w:r>
              <w:rPr>
                <w:w w:val="100"/>
                <w:sz w:val="22"/>
              </w:rPr>
              <w:t>6</w:t>
            </w:r>
          </w:p>
        </w:tc>
        <w:tc>
          <w:tcPr>
            <w:tcW w:w="802" w:type="dxa"/>
          </w:tcPr>
          <w:p>
            <w:pPr>
              <w:pStyle w:val="TableParagraph"/>
              <w:rPr>
                <w:b/>
                <w:sz w:val="22"/>
              </w:rPr>
            </w:pPr>
          </w:p>
          <w:p>
            <w:pPr>
              <w:pStyle w:val="TableParagraph"/>
              <w:spacing w:before="8"/>
              <w:rPr>
                <w:b/>
                <w:sz w:val="24"/>
              </w:rPr>
            </w:pPr>
          </w:p>
          <w:p>
            <w:pPr>
              <w:pStyle w:val="TableParagraph"/>
              <w:spacing w:before="1"/>
              <w:ind w:right="240"/>
              <w:jc w:val="right"/>
              <w:rPr>
                <w:sz w:val="22"/>
              </w:rPr>
            </w:pPr>
            <w:r>
              <w:rPr>
                <w:sz w:val="22"/>
              </w:rPr>
              <w:t>0.5</w:t>
            </w:r>
          </w:p>
        </w:tc>
        <w:tc>
          <w:tcPr>
            <w:tcW w:w="1438" w:type="dxa"/>
          </w:tcPr>
          <w:p>
            <w:pPr>
              <w:pStyle w:val="TableParagraph"/>
              <w:rPr>
                <w:b/>
                <w:sz w:val="22"/>
              </w:rPr>
            </w:pPr>
          </w:p>
          <w:p>
            <w:pPr>
              <w:pStyle w:val="TableParagraph"/>
              <w:spacing w:before="8"/>
              <w:rPr>
                <w:b/>
                <w:sz w:val="24"/>
              </w:rPr>
            </w:pPr>
          </w:p>
          <w:p>
            <w:pPr>
              <w:pStyle w:val="TableParagraph"/>
              <w:spacing w:before="1"/>
              <w:ind w:left="46" w:right="46"/>
              <w:jc w:val="center"/>
              <w:rPr>
                <w:sz w:val="22"/>
              </w:rPr>
            </w:pPr>
            <w:r>
              <w:rPr>
                <w:sz w:val="22"/>
              </w:rPr>
              <w:t>29.046</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62</w:t>
            </w:r>
          </w:p>
        </w:tc>
        <w:tc>
          <w:tcPr>
            <w:tcW w:w="5274" w:type="dxa"/>
          </w:tcPr>
          <w:p>
            <w:pPr>
              <w:pStyle w:val="TableParagraph"/>
              <w:spacing w:before="26"/>
              <w:ind w:left="64" w:right="753"/>
              <w:rPr>
                <w:sz w:val="22"/>
              </w:rPr>
            </w:pPr>
            <w:r>
              <w:rPr>
                <w:sz w:val="22"/>
              </w:rPr>
              <w:t>The enigma of counterurbanization. Empirical phenomenon and chaotic concept</w:t>
            </w:r>
          </w:p>
        </w:tc>
        <w:tc>
          <w:tcPr>
            <w:tcW w:w="761" w:type="dxa"/>
          </w:tcPr>
          <w:p>
            <w:pPr>
              <w:pStyle w:val="TableParagraph"/>
              <w:spacing w:before="2"/>
              <w:rPr>
                <w:b/>
                <w:sz w:val="24"/>
              </w:rPr>
            </w:pPr>
          </w:p>
          <w:p>
            <w:pPr>
              <w:pStyle w:val="TableParagraph"/>
              <w:jc w:val="center"/>
              <w:rPr>
                <w:sz w:val="22"/>
              </w:rPr>
            </w:pPr>
            <w:r>
              <w:rPr>
                <w:w w:val="100"/>
                <w:sz w:val="22"/>
              </w:rPr>
              <w:t>6</w:t>
            </w:r>
          </w:p>
        </w:tc>
        <w:tc>
          <w:tcPr>
            <w:tcW w:w="802" w:type="dxa"/>
          </w:tcPr>
          <w:p>
            <w:pPr>
              <w:pStyle w:val="TableParagraph"/>
              <w:spacing w:before="2"/>
              <w:rPr>
                <w:b/>
                <w:sz w:val="24"/>
              </w:rPr>
            </w:pPr>
          </w:p>
          <w:p>
            <w:pPr>
              <w:pStyle w:val="TableParagraph"/>
              <w:ind w:right="240"/>
              <w:jc w:val="right"/>
              <w:rPr>
                <w:sz w:val="22"/>
              </w:rPr>
            </w:pPr>
            <w:r>
              <w:rPr>
                <w:sz w:val="22"/>
              </w:rPr>
              <w:t>0.5</w:t>
            </w:r>
          </w:p>
        </w:tc>
        <w:tc>
          <w:tcPr>
            <w:tcW w:w="1438" w:type="dxa"/>
          </w:tcPr>
          <w:p>
            <w:pPr>
              <w:pStyle w:val="TableParagraph"/>
              <w:spacing w:before="2"/>
              <w:rPr>
                <w:b/>
                <w:sz w:val="24"/>
              </w:rPr>
            </w:pPr>
          </w:p>
          <w:p>
            <w:pPr>
              <w:pStyle w:val="TableParagraph"/>
              <w:ind w:left="46" w:right="46"/>
              <w:jc w:val="center"/>
              <w:rPr>
                <w:sz w:val="22"/>
              </w:rPr>
            </w:pPr>
            <w:r>
              <w:rPr>
                <w:sz w:val="22"/>
              </w:rPr>
              <w:t>28.548</w:t>
            </w:r>
          </w:p>
        </w:tc>
      </w:tr>
      <w:tr>
        <w:trPr>
          <w:trHeight w:val="547" w:hRule="exact"/>
        </w:trPr>
        <w:tc>
          <w:tcPr>
            <w:tcW w:w="552" w:type="dxa"/>
          </w:tcPr>
          <w:p>
            <w:pPr>
              <w:pStyle w:val="TableParagraph"/>
              <w:spacing w:before="2"/>
              <w:rPr>
                <w:b/>
                <w:sz w:val="24"/>
              </w:rPr>
            </w:pPr>
          </w:p>
          <w:p>
            <w:pPr>
              <w:pStyle w:val="TableParagraph"/>
              <w:ind w:left="67" w:right="67"/>
              <w:jc w:val="center"/>
              <w:rPr>
                <w:sz w:val="22"/>
              </w:rPr>
            </w:pPr>
            <w:r>
              <w:rPr>
                <w:sz w:val="22"/>
              </w:rPr>
              <w:t>63</w:t>
            </w:r>
          </w:p>
        </w:tc>
        <w:tc>
          <w:tcPr>
            <w:tcW w:w="5274" w:type="dxa"/>
          </w:tcPr>
          <w:p>
            <w:pPr>
              <w:pStyle w:val="TableParagraph"/>
              <w:spacing w:before="26"/>
              <w:ind w:left="64" w:right="117"/>
              <w:rPr>
                <w:sz w:val="22"/>
              </w:rPr>
            </w:pPr>
            <w:r>
              <w:rPr>
                <w:sz w:val="22"/>
              </w:rPr>
              <w:t>Decentralization studies in Latin America: A revision on the current state of the issue</w:t>
            </w:r>
          </w:p>
        </w:tc>
        <w:tc>
          <w:tcPr>
            <w:tcW w:w="761" w:type="dxa"/>
          </w:tcPr>
          <w:p>
            <w:pPr>
              <w:pStyle w:val="TableParagraph"/>
              <w:spacing w:before="2"/>
              <w:rPr>
                <w:b/>
                <w:sz w:val="24"/>
              </w:rPr>
            </w:pPr>
          </w:p>
          <w:p>
            <w:pPr>
              <w:pStyle w:val="TableParagraph"/>
              <w:jc w:val="center"/>
              <w:rPr>
                <w:sz w:val="22"/>
              </w:rPr>
            </w:pPr>
            <w:r>
              <w:rPr>
                <w:w w:val="100"/>
                <w:sz w:val="22"/>
              </w:rPr>
              <w:t>6</w:t>
            </w:r>
          </w:p>
        </w:tc>
        <w:tc>
          <w:tcPr>
            <w:tcW w:w="802" w:type="dxa"/>
          </w:tcPr>
          <w:p>
            <w:pPr>
              <w:pStyle w:val="TableParagraph"/>
              <w:spacing w:before="2"/>
              <w:rPr>
                <w:b/>
                <w:sz w:val="24"/>
              </w:rPr>
            </w:pPr>
          </w:p>
          <w:p>
            <w:pPr>
              <w:pStyle w:val="TableParagraph"/>
              <w:ind w:right="240"/>
              <w:jc w:val="right"/>
              <w:rPr>
                <w:sz w:val="22"/>
              </w:rPr>
            </w:pPr>
            <w:r>
              <w:rPr>
                <w:sz w:val="22"/>
              </w:rPr>
              <w:t>0.5</w:t>
            </w:r>
          </w:p>
        </w:tc>
        <w:tc>
          <w:tcPr>
            <w:tcW w:w="1438" w:type="dxa"/>
          </w:tcPr>
          <w:p>
            <w:pPr>
              <w:pStyle w:val="TableParagraph"/>
              <w:spacing w:before="2"/>
              <w:rPr>
                <w:b/>
                <w:sz w:val="24"/>
              </w:rPr>
            </w:pPr>
          </w:p>
          <w:p>
            <w:pPr>
              <w:pStyle w:val="TableParagraph"/>
              <w:ind w:left="46" w:right="46"/>
              <w:jc w:val="center"/>
              <w:rPr>
                <w:sz w:val="22"/>
              </w:rPr>
            </w:pPr>
            <w:r>
              <w:rPr>
                <w:sz w:val="22"/>
              </w:rPr>
              <w:t>28.050</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64</w:t>
            </w:r>
          </w:p>
        </w:tc>
        <w:tc>
          <w:tcPr>
            <w:tcW w:w="5274" w:type="dxa"/>
          </w:tcPr>
          <w:p>
            <w:pPr>
              <w:pStyle w:val="TableParagraph"/>
              <w:spacing w:before="23"/>
              <w:ind w:left="64" w:right="239"/>
              <w:rPr>
                <w:sz w:val="22"/>
              </w:rPr>
            </w:pPr>
            <w:r>
              <w:rPr>
                <w:sz w:val="22"/>
              </w:rPr>
              <w:t>Surplus value recuperation for urban development: an inter-american comparison</w:t>
            </w:r>
          </w:p>
        </w:tc>
        <w:tc>
          <w:tcPr>
            <w:tcW w:w="761" w:type="dxa"/>
          </w:tcPr>
          <w:p>
            <w:pPr>
              <w:pStyle w:val="TableParagraph"/>
              <w:spacing w:before="11"/>
              <w:rPr>
                <w:b/>
                <w:sz w:val="23"/>
              </w:rPr>
            </w:pPr>
          </w:p>
          <w:p>
            <w:pPr>
              <w:pStyle w:val="TableParagraph"/>
              <w:jc w:val="center"/>
              <w:rPr>
                <w:sz w:val="22"/>
              </w:rPr>
            </w:pPr>
            <w:r>
              <w:rPr>
                <w:w w:val="100"/>
                <w:sz w:val="22"/>
              </w:rPr>
              <w:t>6</w:t>
            </w:r>
          </w:p>
        </w:tc>
        <w:tc>
          <w:tcPr>
            <w:tcW w:w="802" w:type="dxa"/>
          </w:tcPr>
          <w:p>
            <w:pPr>
              <w:pStyle w:val="TableParagraph"/>
              <w:spacing w:before="11"/>
              <w:rPr>
                <w:b/>
                <w:sz w:val="23"/>
              </w:rPr>
            </w:pPr>
          </w:p>
          <w:p>
            <w:pPr>
              <w:pStyle w:val="TableParagraph"/>
              <w:ind w:right="240"/>
              <w:jc w:val="right"/>
              <w:rPr>
                <w:sz w:val="22"/>
              </w:rPr>
            </w:pPr>
            <w:r>
              <w:rPr>
                <w:sz w:val="22"/>
              </w:rPr>
              <w:t>0.5</w:t>
            </w:r>
          </w:p>
        </w:tc>
        <w:tc>
          <w:tcPr>
            <w:tcW w:w="1438" w:type="dxa"/>
          </w:tcPr>
          <w:p>
            <w:pPr>
              <w:pStyle w:val="TableParagraph"/>
              <w:spacing w:before="11"/>
              <w:rPr>
                <w:b/>
                <w:sz w:val="23"/>
              </w:rPr>
            </w:pPr>
          </w:p>
          <w:p>
            <w:pPr>
              <w:pStyle w:val="TableParagraph"/>
              <w:ind w:left="46" w:right="46"/>
              <w:jc w:val="center"/>
              <w:rPr>
                <w:sz w:val="22"/>
              </w:rPr>
            </w:pPr>
            <w:r>
              <w:rPr>
                <w:sz w:val="22"/>
              </w:rPr>
              <w:t>27.552</w:t>
            </w:r>
          </w:p>
        </w:tc>
      </w:tr>
      <w:tr>
        <w:trPr>
          <w:trHeight w:val="516" w:hRule="exact"/>
        </w:trPr>
        <w:tc>
          <w:tcPr>
            <w:tcW w:w="552" w:type="dxa"/>
          </w:tcPr>
          <w:p>
            <w:pPr>
              <w:pStyle w:val="TableParagraph"/>
              <w:spacing w:before="5"/>
              <w:rPr>
                <w:b/>
                <w:sz w:val="21"/>
              </w:rPr>
            </w:pPr>
          </w:p>
          <w:p>
            <w:pPr>
              <w:pStyle w:val="TableParagraph"/>
              <w:ind w:left="67" w:right="67"/>
              <w:jc w:val="center"/>
              <w:rPr>
                <w:sz w:val="22"/>
              </w:rPr>
            </w:pPr>
            <w:r>
              <w:rPr>
                <w:sz w:val="22"/>
              </w:rPr>
              <w:t>65</w:t>
            </w:r>
          </w:p>
        </w:tc>
        <w:tc>
          <w:tcPr>
            <w:tcW w:w="5274" w:type="dxa"/>
          </w:tcPr>
          <w:p>
            <w:pPr>
              <w:pStyle w:val="TableParagraph"/>
              <w:ind w:left="64" w:right="772"/>
              <w:rPr>
                <w:sz w:val="22"/>
              </w:rPr>
            </w:pPr>
            <w:r>
              <w:rPr>
                <w:sz w:val="22"/>
              </w:rPr>
              <w:t>Buenos Aires in the 90's: metropolization and inequalities</w:t>
            </w:r>
          </w:p>
        </w:tc>
        <w:tc>
          <w:tcPr>
            <w:tcW w:w="761" w:type="dxa"/>
          </w:tcPr>
          <w:p>
            <w:pPr>
              <w:pStyle w:val="TableParagraph"/>
              <w:spacing w:before="5"/>
              <w:rPr>
                <w:b/>
                <w:sz w:val="21"/>
              </w:rPr>
            </w:pPr>
          </w:p>
          <w:p>
            <w:pPr>
              <w:pStyle w:val="TableParagraph"/>
              <w:jc w:val="center"/>
              <w:rPr>
                <w:sz w:val="22"/>
              </w:rPr>
            </w:pPr>
            <w:r>
              <w:rPr>
                <w:w w:val="100"/>
                <w:sz w:val="22"/>
              </w:rPr>
              <w:t>6</w:t>
            </w:r>
          </w:p>
        </w:tc>
        <w:tc>
          <w:tcPr>
            <w:tcW w:w="802" w:type="dxa"/>
          </w:tcPr>
          <w:p>
            <w:pPr>
              <w:pStyle w:val="TableParagraph"/>
              <w:spacing w:before="5"/>
              <w:rPr>
                <w:b/>
                <w:sz w:val="21"/>
              </w:rPr>
            </w:pPr>
          </w:p>
          <w:p>
            <w:pPr>
              <w:pStyle w:val="TableParagraph"/>
              <w:ind w:right="240"/>
              <w:jc w:val="right"/>
              <w:rPr>
                <w:sz w:val="22"/>
              </w:rPr>
            </w:pPr>
            <w:r>
              <w:rPr>
                <w:sz w:val="22"/>
              </w:rPr>
              <w:t>0.5</w:t>
            </w:r>
          </w:p>
        </w:tc>
        <w:tc>
          <w:tcPr>
            <w:tcW w:w="1438" w:type="dxa"/>
          </w:tcPr>
          <w:p>
            <w:pPr>
              <w:pStyle w:val="TableParagraph"/>
              <w:spacing w:before="5"/>
              <w:rPr>
                <w:b/>
                <w:sz w:val="21"/>
              </w:rPr>
            </w:pPr>
          </w:p>
          <w:p>
            <w:pPr>
              <w:pStyle w:val="TableParagraph"/>
              <w:ind w:left="46" w:right="46"/>
              <w:jc w:val="center"/>
              <w:rPr>
                <w:sz w:val="22"/>
              </w:rPr>
            </w:pPr>
            <w:r>
              <w:rPr>
                <w:sz w:val="22"/>
              </w:rPr>
              <w:t>27.054</w:t>
            </w:r>
          </w:p>
        </w:tc>
      </w:tr>
    </w:tbl>
    <w:p>
      <w:pPr>
        <w:spacing w:after="0"/>
        <w:jc w:val="center"/>
        <w:rPr>
          <w:sz w:val="22"/>
        </w:rPr>
        <w:sectPr>
          <w:pgSz w:w="12240" w:h="15840"/>
          <w:pgMar w:header="0" w:footer="629" w:top="142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
        <w:gridCol w:w="5274"/>
        <w:gridCol w:w="761"/>
        <w:gridCol w:w="802"/>
        <w:gridCol w:w="1438"/>
      </w:tblGrid>
      <w:tr>
        <w:trPr>
          <w:trHeight w:val="316" w:hRule="exact"/>
        </w:trPr>
        <w:tc>
          <w:tcPr>
            <w:tcW w:w="552" w:type="dxa"/>
            <w:shd w:val="clear" w:color="auto" w:fill="938953"/>
          </w:tcPr>
          <w:p>
            <w:pPr/>
          </w:p>
        </w:tc>
        <w:tc>
          <w:tcPr>
            <w:tcW w:w="5274" w:type="dxa"/>
            <w:shd w:val="clear" w:color="auto" w:fill="938953"/>
          </w:tcPr>
          <w:p>
            <w:pPr>
              <w:pStyle w:val="TableParagraph"/>
              <w:spacing w:before="47"/>
              <w:ind w:left="2347" w:right="2350"/>
              <w:jc w:val="center"/>
              <w:rPr>
                <w:b/>
                <w:sz w:val="22"/>
              </w:rPr>
            </w:pPr>
            <w:r>
              <w:rPr>
                <w:b/>
                <w:color w:val="FFFFFF"/>
                <w:sz w:val="22"/>
              </w:rPr>
              <w:t>Total</w:t>
            </w:r>
          </w:p>
        </w:tc>
        <w:tc>
          <w:tcPr>
            <w:tcW w:w="761" w:type="dxa"/>
            <w:shd w:val="clear" w:color="auto" w:fill="938953"/>
          </w:tcPr>
          <w:p>
            <w:pPr>
              <w:pStyle w:val="TableParagraph"/>
              <w:spacing w:before="49"/>
              <w:ind w:left="105" w:right="105"/>
              <w:jc w:val="center"/>
              <w:rPr>
                <w:sz w:val="22"/>
              </w:rPr>
            </w:pPr>
            <w:r>
              <w:rPr>
                <w:color w:val="FFFFFF"/>
                <w:sz w:val="22"/>
              </w:rPr>
              <w:t>Citas</w:t>
            </w:r>
          </w:p>
        </w:tc>
        <w:tc>
          <w:tcPr>
            <w:tcW w:w="802" w:type="dxa"/>
            <w:shd w:val="clear" w:color="auto" w:fill="938953"/>
          </w:tcPr>
          <w:p>
            <w:pPr>
              <w:pStyle w:val="TableParagraph"/>
              <w:spacing w:before="49"/>
              <w:ind w:right="298"/>
              <w:jc w:val="right"/>
              <w:rPr>
                <w:sz w:val="22"/>
              </w:rPr>
            </w:pPr>
            <w:r>
              <w:rPr>
                <w:color w:val="FFFFFF"/>
                <w:w w:val="100"/>
                <w:sz w:val="22"/>
              </w:rPr>
              <w:t>%</w:t>
            </w:r>
          </w:p>
        </w:tc>
        <w:tc>
          <w:tcPr>
            <w:tcW w:w="1438" w:type="dxa"/>
            <w:shd w:val="clear" w:color="auto" w:fill="938953"/>
          </w:tcPr>
          <w:p>
            <w:pPr>
              <w:pStyle w:val="TableParagraph"/>
              <w:spacing w:before="49"/>
              <w:ind w:left="46" w:right="46"/>
              <w:jc w:val="center"/>
              <w:rPr>
                <w:sz w:val="22"/>
              </w:rPr>
            </w:pPr>
            <w:r>
              <w:rPr>
                <w:color w:val="FFFFFF"/>
                <w:sz w:val="22"/>
              </w:rPr>
              <w:t>%Acumulado</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66</w:t>
            </w:r>
          </w:p>
        </w:tc>
        <w:tc>
          <w:tcPr>
            <w:tcW w:w="5274" w:type="dxa"/>
          </w:tcPr>
          <w:p>
            <w:pPr>
              <w:pStyle w:val="TableParagraph"/>
              <w:spacing w:before="23"/>
              <w:ind w:left="64" w:right="81"/>
              <w:rPr>
                <w:sz w:val="22"/>
              </w:rPr>
            </w:pPr>
            <w:r>
              <w:rPr>
                <w:sz w:val="22"/>
              </w:rPr>
              <w:t>A fragmented metropolis: Caracas, halfway between poverty and globalization</w:t>
            </w:r>
          </w:p>
        </w:tc>
        <w:tc>
          <w:tcPr>
            <w:tcW w:w="761" w:type="dxa"/>
          </w:tcPr>
          <w:p>
            <w:pPr>
              <w:pStyle w:val="TableParagraph"/>
              <w:spacing w:before="2"/>
              <w:rPr>
                <w:b/>
                <w:sz w:val="24"/>
              </w:rPr>
            </w:pPr>
          </w:p>
          <w:p>
            <w:pPr>
              <w:pStyle w:val="TableParagraph"/>
              <w:jc w:val="center"/>
              <w:rPr>
                <w:sz w:val="22"/>
              </w:rPr>
            </w:pPr>
            <w:r>
              <w:rPr>
                <w:w w:val="100"/>
                <w:sz w:val="22"/>
              </w:rPr>
              <w:t>6</w:t>
            </w:r>
          </w:p>
        </w:tc>
        <w:tc>
          <w:tcPr>
            <w:tcW w:w="802" w:type="dxa"/>
          </w:tcPr>
          <w:p>
            <w:pPr>
              <w:pStyle w:val="TableParagraph"/>
              <w:spacing w:before="2"/>
              <w:rPr>
                <w:b/>
                <w:sz w:val="24"/>
              </w:rPr>
            </w:pPr>
          </w:p>
          <w:p>
            <w:pPr>
              <w:pStyle w:val="TableParagraph"/>
              <w:ind w:right="240"/>
              <w:jc w:val="right"/>
              <w:rPr>
                <w:sz w:val="22"/>
              </w:rPr>
            </w:pPr>
            <w:r>
              <w:rPr>
                <w:sz w:val="22"/>
              </w:rPr>
              <w:t>0.5</w:t>
            </w:r>
          </w:p>
        </w:tc>
        <w:tc>
          <w:tcPr>
            <w:tcW w:w="1438" w:type="dxa"/>
          </w:tcPr>
          <w:p>
            <w:pPr>
              <w:pStyle w:val="TableParagraph"/>
              <w:spacing w:before="2"/>
              <w:rPr>
                <w:b/>
                <w:sz w:val="24"/>
              </w:rPr>
            </w:pPr>
          </w:p>
          <w:p>
            <w:pPr>
              <w:pStyle w:val="TableParagraph"/>
              <w:ind w:left="46" w:right="46"/>
              <w:jc w:val="center"/>
              <w:rPr>
                <w:sz w:val="22"/>
              </w:rPr>
            </w:pPr>
            <w:r>
              <w:rPr>
                <w:sz w:val="22"/>
              </w:rPr>
              <w:t>26.556</w:t>
            </w:r>
          </w:p>
        </w:tc>
      </w:tr>
      <w:tr>
        <w:trPr>
          <w:trHeight w:val="516" w:hRule="exact"/>
        </w:trPr>
        <w:tc>
          <w:tcPr>
            <w:tcW w:w="552" w:type="dxa"/>
          </w:tcPr>
          <w:p>
            <w:pPr>
              <w:pStyle w:val="TableParagraph"/>
              <w:spacing w:before="7"/>
              <w:rPr>
                <w:b/>
                <w:sz w:val="21"/>
              </w:rPr>
            </w:pPr>
          </w:p>
          <w:p>
            <w:pPr>
              <w:pStyle w:val="TableParagraph"/>
              <w:ind w:left="67" w:right="67"/>
              <w:jc w:val="center"/>
              <w:rPr>
                <w:sz w:val="22"/>
              </w:rPr>
            </w:pPr>
            <w:r>
              <w:rPr>
                <w:sz w:val="22"/>
              </w:rPr>
              <w:t>67</w:t>
            </w:r>
          </w:p>
        </w:tc>
        <w:tc>
          <w:tcPr>
            <w:tcW w:w="5274" w:type="dxa"/>
          </w:tcPr>
          <w:p>
            <w:pPr>
              <w:pStyle w:val="TableParagraph"/>
              <w:spacing w:line="242" w:lineRule="auto"/>
              <w:ind w:left="64" w:right="778"/>
              <w:rPr>
                <w:sz w:val="22"/>
              </w:rPr>
            </w:pPr>
            <w:r>
              <w:rPr>
                <w:sz w:val="22"/>
              </w:rPr>
              <w:t>Chile: the regionalistic vocation of the military government</w:t>
            </w:r>
          </w:p>
        </w:tc>
        <w:tc>
          <w:tcPr>
            <w:tcW w:w="761" w:type="dxa"/>
          </w:tcPr>
          <w:p>
            <w:pPr>
              <w:pStyle w:val="TableParagraph"/>
              <w:spacing w:before="7"/>
              <w:rPr>
                <w:b/>
                <w:sz w:val="21"/>
              </w:rPr>
            </w:pPr>
          </w:p>
          <w:p>
            <w:pPr>
              <w:pStyle w:val="TableParagraph"/>
              <w:jc w:val="center"/>
              <w:rPr>
                <w:sz w:val="22"/>
              </w:rPr>
            </w:pPr>
            <w:r>
              <w:rPr>
                <w:w w:val="100"/>
                <w:sz w:val="22"/>
              </w:rPr>
              <w:t>6</w:t>
            </w:r>
          </w:p>
        </w:tc>
        <w:tc>
          <w:tcPr>
            <w:tcW w:w="802" w:type="dxa"/>
          </w:tcPr>
          <w:p>
            <w:pPr>
              <w:pStyle w:val="TableParagraph"/>
              <w:spacing w:before="7"/>
              <w:rPr>
                <w:b/>
                <w:sz w:val="21"/>
              </w:rPr>
            </w:pPr>
          </w:p>
          <w:p>
            <w:pPr>
              <w:pStyle w:val="TableParagraph"/>
              <w:ind w:right="240"/>
              <w:jc w:val="right"/>
              <w:rPr>
                <w:sz w:val="22"/>
              </w:rPr>
            </w:pPr>
            <w:r>
              <w:rPr>
                <w:sz w:val="22"/>
              </w:rPr>
              <w:t>0.5</w:t>
            </w:r>
          </w:p>
        </w:tc>
        <w:tc>
          <w:tcPr>
            <w:tcW w:w="1438" w:type="dxa"/>
          </w:tcPr>
          <w:p>
            <w:pPr>
              <w:pStyle w:val="TableParagraph"/>
              <w:spacing w:before="7"/>
              <w:rPr>
                <w:b/>
                <w:sz w:val="21"/>
              </w:rPr>
            </w:pPr>
          </w:p>
          <w:p>
            <w:pPr>
              <w:pStyle w:val="TableParagraph"/>
              <w:ind w:left="46" w:right="46"/>
              <w:jc w:val="center"/>
              <w:rPr>
                <w:sz w:val="22"/>
              </w:rPr>
            </w:pPr>
            <w:r>
              <w:rPr>
                <w:sz w:val="22"/>
              </w:rPr>
              <w:t>26.058</w:t>
            </w:r>
          </w:p>
        </w:tc>
      </w:tr>
      <w:tr>
        <w:trPr>
          <w:trHeight w:val="317" w:hRule="exact"/>
        </w:trPr>
        <w:tc>
          <w:tcPr>
            <w:tcW w:w="552" w:type="dxa"/>
          </w:tcPr>
          <w:p>
            <w:pPr>
              <w:pStyle w:val="TableParagraph"/>
              <w:spacing w:before="47"/>
              <w:ind w:left="67" w:right="67"/>
              <w:jc w:val="center"/>
              <w:rPr>
                <w:sz w:val="22"/>
              </w:rPr>
            </w:pPr>
            <w:r>
              <w:rPr>
                <w:sz w:val="22"/>
              </w:rPr>
              <w:t>68</w:t>
            </w:r>
          </w:p>
        </w:tc>
        <w:tc>
          <w:tcPr>
            <w:tcW w:w="5274" w:type="dxa"/>
          </w:tcPr>
          <w:p>
            <w:pPr>
              <w:pStyle w:val="TableParagraph"/>
              <w:spacing w:before="47"/>
              <w:ind w:left="64"/>
              <w:rPr>
                <w:sz w:val="22"/>
              </w:rPr>
            </w:pPr>
            <w:r>
              <w:rPr>
                <w:sz w:val="22"/>
              </w:rPr>
              <w:t>Urban climates and air pollution in Santiago de Chile</w:t>
            </w:r>
          </w:p>
        </w:tc>
        <w:tc>
          <w:tcPr>
            <w:tcW w:w="761" w:type="dxa"/>
          </w:tcPr>
          <w:p>
            <w:pPr>
              <w:pStyle w:val="TableParagraph"/>
              <w:spacing w:before="47"/>
              <w:jc w:val="center"/>
              <w:rPr>
                <w:sz w:val="22"/>
              </w:rPr>
            </w:pPr>
            <w:r>
              <w:rPr>
                <w:w w:val="100"/>
                <w:sz w:val="22"/>
              </w:rPr>
              <w:t>5</w:t>
            </w:r>
          </w:p>
        </w:tc>
        <w:tc>
          <w:tcPr>
            <w:tcW w:w="802" w:type="dxa"/>
          </w:tcPr>
          <w:p>
            <w:pPr>
              <w:pStyle w:val="TableParagraph"/>
              <w:spacing w:before="47"/>
              <w:ind w:right="240"/>
              <w:jc w:val="right"/>
              <w:rPr>
                <w:sz w:val="22"/>
              </w:rPr>
            </w:pPr>
            <w:r>
              <w:rPr>
                <w:sz w:val="22"/>
              </w:rPr>
              <w:t>0.4</w:t>
            </w:r>
          </w:p>
        </w:tc>
        <w:tc>
          <w:tcPr>
            <w:tcW w:w="1438" w:type="dxa"/>
          </w:tcPr>
          <w:p>
            <w:pPr>
              <w:pStyle w:val="TableParagraph"/>
              <w:spacing w:before="47"/>
              <w:ind w:left="46" w:right="46"/>
              <w:jc w:val="center"/>
              <w:rPr>
                <w:sz w:val="22"/>
              </w:rPr>
            </w:pPr>
            <w:r>
              <w:rPr>
                <w:sz w:val="22"/>
              </w:rPr>
              <w:t>25.560</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69</w:t>
            </w:r>
          </w:p>
        </w:tc>
        <w:tc>
          <w:tcPr>
            <w:tcW w:w="5274" w:type="dxa"/>
          </w:tcPr>
          <w:p>
            <w:pPr>
              <w:pStyle w:val="TableParagraph"/>
              <w:ind w:left="64" w:right="154"/>
              <w:rPr>
                <w:sz w:val="22"/>
              </w:rPr>
            </w:pPr>
            <w:r>
              <w:rPr>
                <w:sz w:val="22"/>
              </w:rPr>
              <w:t>The economic dimension of urban poverty and precarious living conditions in Latin American cities. Implications for urban policy</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5</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0.4</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25.145</w:t>
            </w:r>
          </w:p>
        </w:tc>
      </w:tr>
      <w:tr>
        <w:trPr>
          <w:trHeight w:val="770"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70</w:t>
            </w:r>
          </w:p>
        </w:tc>
        <w:tc>
          <w:tcPr>
            <w:tcW w:w="5274" w:type="dxa"/>
          </w:tcPr>
          <w:p>
            <w:pPr>
              <w:pStyle w:val="TableParagraph"/>
              <w:ind w:left="64" w:right="667"/>
              <w:rPr>
                <w:sz w:val="22"/>
              </w:rPr>
            </w:pPr>
            <w:r>
              <w:rPr>
                <w:sz w:val="22"/>
              </w:rPr>
              <w:t>Take-off without maturity. Urbanization, industrialization and development in twentieth- century Latin America</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5</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0.4</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24.730</w:t>
            </w:r>
          </w:p>
        </w:tc>
      </w:tr>
      <w:tr>
        <w:trPr>
          <w:trHeight w:val="315" w:hRule="exact"/>
        </w:trPr>
        <w:tc>
          <w:tcPr>
            <w:tcW w:w="552" w:type="dxa"/>
          </w:tcPr>
          <w:p>
            <w:pPr>
              <w:pStyle w:val="TableParagraph"/>
              <w:spacing w:before="48"/>
              <w:ind w:left="67" w:right="67"/>
              <w:jc w:val="center"/>
              <w:rPr>
                <w:sz w:val="22"/>
              </w:rPr>
            </w:pPr>
            <w:r>
              <w:rPr>
                <w:sz w:val="22"/>
              </w:rPr>
              <w:t>71</w:t>
            </w:r>
          </w:p>
        </w:tc>
        <w:tc>
          <w:tcPr>
            <w:tcW w:w="5274" w:type="dxa"/>
          </w:tcPr>
          <w:p>
            <w:pPr>
              <w:pStyle w:val="TableParagraph"/>
              <w:spacing w:before="48"/>
              <w:ind w:left="64" w:right="679"/>
              <w:rPr>
                <w:sz w:val="22"/>
              </w:rPr>
            </w:pPr>
            <w:r>
              <w:rPr>
                <w:sz w:val="22"/>
              </w:rPr>
              <w:t>Transantiago: governability and institutionality</w:t>
            </w:r>
          </w:p>
        </w:tc>
        <w:tc>
          <w:tcPr>
            <w:tcW w:w="761" w:type="dxa"/>
          </w:tcPr>
          <w:p>
            <w:pPr>
              <w:pStyle w:val="TableParagraph"/>
              <w:spacing w:before="48"/>
              <w:jc w:val="center"/>
              <w:rPr>
                <w:sz w:val="22"/>
              </w:rPr>
            </w:pPr>
            <w:r>
              <w:rPr>
                <w:w w:val="100"/>
                <w:sz w:val="22"/>
              </w:rPr>
              <w:t>5</w:t>
            </w:r>
          </w:p>
        </w:tc>
        <w:tc>
          <w:tcPr>
            <w:tcW w:w="802" w:type="dxa"/>
          </w:tcPr>
          <w:p>
            <w:pPr>
              <w:pStyle w:val="TableParagraph"/>
              <w:spacing w:before="48"/>
              <w:ind w:right="240"/>
              <w:jc w:val="right"/>
              <w:rPr>
                <w:sz w:val="22"/>
              </w:rPr>
            </w:pPr>
            <w:r>
              <w:rPr>
                <w:sz w:val="22"/>
              </w:rPr>
              <w:t>0.4</w:t>
            </w:r>
          </w:p>
        </w:tc>
        <w:tc>
          <w:tcPr>
            <w:tcW w:w="1438" w:type="dxa"/>
          </w:tcPr>
          <w:p>
            <w:pPr>
              <w:pStyle w:val="TableParagraph"/>
              <w:spacing w:before="48"/>
              <w:ind w:left="46" w:right="46"/>
              <w:jc w:val="center"/>
              <w:rPr>
                <w:sz w:val="22"/>
              </w:rPr>
            </w:pPr>
            <w:r>
              <w:rPr>
                <w:sz w:val="22"/>
              </w:rPr>
              <w:t>24.315</w:t>
            </w:r>
          </w:p>
        </w:tc>
      </w:tr>
      <w:tr>
        <w:trPr>
          <w:trHeight w:val="770"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72</w:t>
            </w:r>
          </w:p>
        </w:tc>
        <w:tc>
          <w:tcPr>
            <w:tcW w:w="5274" w:type="dxa"/>
          </w:tcPr>
          <w:p>
            <w:pPr>
              <w:pStyle w:val="TableParagraph"/>
              <w:ind w:left="64" w:right="178"/>
              <w:rPr>
                <w:sz w:val="22"/>
              </w:rPr>
            </w:pPr>
            <w:r>
              <w:rPr>
                <w:sz w:val="22"/>
              </w:rPr>
              <w:t>Agrarian territories and ruturban realities. Reflections on rural development in the light of the pampeano bonaerense case</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5</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0.4</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23.900</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73</w:t>
            </w:r>
          </w:p>
        </w:tc>
        <w:tc>
          <w:tcPr>
            <w:tcW w:w="5274" w:type="dxa"/>
          </w:tcPr>
          <w:p>
            <w:pPr>
              <w:pStyle w:val="TableParagraph"/>
              <w:spacing w:before="23"/>
              <w:ind w:left="64" w:right="1584"/>
              <w:rPr>
                <w:sz w:val="22"/>
              </w:rPr>
            </w:pPr>
            <w:r>
              <w:rPr>
                <w:sz w:val="22"/>
              </w:rPr>
              <w:t>The importance of clusters for SMES competitiveness in a global economy</w:t>
            </w:r>
          </w:p>
        </w:tc>
        <w:tc>
          <w:tcPr>
            <w:tcW w:w="761" w:type="dxa"/>
          </w:tcPr>
          <w:p>
            <w:pPr>
              <w:pStyle w:val="TableParagraph"/>
              <w:spacing w:before="11"/>
              <w:rPr>
                <w:b/>
                <w:sz w:val="23"/>
              </w:rPr>
            </w:pPr>
          </w:p>
          <w:p>
            <w:pPr>
              <w:pStyle w:val="TableParagraph"/>
              <w:jc w:val="center"/>
              <w:rPr>
                <w:sz w:val="22"/>
              </w:rPr>
            </w:pPr>
            <w:r>
              <w:rPr>
                <w:w w:val="100"/>
                <w:sz w:val="22"/>
              </w:rPr>
              <w:t>5</w:t>
            </w:r>
          </w:p>
        </w:tc>
        <w:tc>
          <w:tcPr>
            <w:tcW w:w="802" w:type="dxa"/>
          </w:tcPr>
          <w:p>
            <w:pPr>
              <w:pStyle w:val="TableParagraph"/>
              <w:spacing w:before="11"/>
              <w:rPr>
                <w:b/>
                <w:sz w:val="23"/>
              </w:rPr>
            </w:pPr>
          </w:p>
          <w:p>
            <w:pPr>
              <w:pStyle w:val="TableParagraph"/>
              <w:ind w:right="240"/>
              <w:jc w:val="right"/>
              <w:rPr>
                <w:sz w:val="22"/>
              </w:rPr>
            </w:pPr>
            <w:r>
              <w:rPr>
                <w:sz w:val="22"/>
              </w:rPr>
              <w:t>0.4</w:t>
            </w:r>
          </w:p>
        </w:tc>
        <w:tc>
          <w:tcPr>
            <w:tcW w:w="1438" w:type="dxa"/>
          </w:tcPr>
          <w:p>
            <w:pPr>
              <w:pStyle w:val="TableParagraph"/>
              <w:spacing w:before="11"/>
              <w:rPr>
                <w:b/>
                <w:sz w:val="23"/>
              </w:rPr>
            </w:pPr>
          </w:p>
          <w:p>
            <w:pPr>
              <w:pStyle w:val="TableParagraph"/>
              <w:ind w:left="46" w:right="46"/>
              <w:jc w:val="center"/>
              <w:rPr>
                <w:sz w:val="22"/>
              </w:rPr>
            </w:pPr>
            <w:r>
              <w:rPr>
                <w:sz w:val="22"/>
              </w:rPr>
              <w:t>23.485</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74</w:t>
            </w:r>
          </w:p>
        </w:tc>
        <w:tc>
          <w:tcPr>
            <w:tcW w:w="5274" w:type="dxa"/>
          </w:tcPr>
          <w:p>
            <w:pPr>
              <w:pStyle w:val="TableParagraph"/>
              <w:ind w:left="64" w:right="497"/>
              <w:rPr>
                <w:sz w:val="22"/>
              </w:rPr>
            </w:pPr>
            <w:r>
              <w:rPr>
                <w:sz w:val="22"/>
              </w:rPr>
              <w:t>Downtown revitalization in Brazil: A comparative analysis of Vitoria, Fortaleza and Sao Luis experiences</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5</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0.4</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23.071</w:t>
            </w:r>
          </w:p>
        </w:tc>
      </w:tr>
      <w:tr>
        <w:trPr>
          <w:trHeight w:val="806" w:hRule="exact"/>
        </w:trPr>
        <w:tc>
          <w:tcPr>
            <w:tcW w:w="552" w:type="dxa"/>
          </w:tcPr>
          <w:p>
            <w:pPr>
              <w:pStyle w:val="TableParagraph"/>
              <w:rPr>
                <w:b/>
                <w:sz w:val="22"/>
              </w:rPr>
            </w:pPr>
          </w:p>
          <w:p>
            <w:pPr>
              <w:pStyle w:val="TableParagraph"/>
              <w:spacing w:before="8"/>
              <w:rPr>
                <w:b/>
                <w:sz w:val="24"/>
              </w:rPr>
            </w:pPr>
          </w:p>
          <w:p>
            <w:pPr>
              <w:pStyle w:val="TableParagraph"/>
              <w:ind w:left="67" w:right="67"/>
              <w:jc w:val="center"/>
              <w:rPr>
                <w:sz w:val="22"/>
              </w:rPr>
            </w:pPr>
            <w:r>
              <w:rPr>
                <w:sz w:val="22"/>
              </w:rPr>
              <w:t>75</w:t>
            </w:r>
          </w:p>
        </w:tc>
        <w:tc>
          <w:tcPr>
            <w:tcW w:w="5274" w:type="dxa"/>
          </w:tcPr>
          <w:p>
            <w:pPr>
              <w:pStyle w:val="TableParagraph"/>
              <w:spacing w:before="31"/>
              <w:ind w:left="64" w:right="191"/>
              <w:rPr>
                <w:sz w:val="22"/>
              </w:rPr>
            </w:pPr>
            <w:r>
              <w:rPr>
                <w:sz w:val="22"/>
              </w:rPr>
              <w:t>Public housing and urban space in Santiago de Chile. A retrospective view to the state action in the first decades of the 20th century</w:t>
            </w:r>
          </w:p>
        </w:tc>
        <w:tc>
          <w:tcPr>
            <w:tcW w:w="761" w:type="dxa"/>
          </w:tcPr>
          <w:p>
            <w:pPr>
              <w:pStyle w:val="TableParagraph"/>
              <w:rPr>
                <w:b/>
                <w:sz w:val="22"/>
              </w:rPr>
            </w:pPr>
          </w:p>
          <w:p>
            <w:pPr>
              <w:pStyle w:val="TableParagraph"/>
              <w:spacing w:before="8"/>
              <w:rPr>
                <w:b/>
                <w:sz w:val="24"/>
              </w:rPr>
            </w:pPr>
          </w:p>
          <w:p>
            <w:pPr>
              <w:pStyle w:val="TableParagraph"/>
              <w:jc w:val="center"/>
              <w:rPr>
                <w:sz w:val="22"/>
              </w:rPr>
            </w:pPr>
            <w:r>
              <w:rPr>
                <w:w w:val="100"/>
                <w:sz w:val="22"/>
              </w:rPr>
              <w:t>5</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0.4</w:t>
            </w:r>
          </w:p>
        </w:tc>
        <w:tc>
          <w:tcPr>
            <w:tcW w:w="1438" w:type="dxa"/>
          </w:tcPr>
          <w:p>
            <w:pPr>
              <w:pStyle w:val="TableParagraph"/>
              <w:rPr>
                <w:b/>
                <w:sz w:val="22"/>
              </w:rPr>
            </w:pPr>
          </w:p>
          <w:p>
            <w:pPr>
              <w:pStyle w:val="TableParagraph"/>
              <w:spacing w:before="8"/>
              <w:rPr>
                <w:b/>
                <w:sz w:val="24"/>
              </w:rPr>
            </w:pPr>
          </w:p>
          <w:p>
            <w:pPr>
              <w:pStyle w:val="TableParagraph"/>
              <w:ind w:left="46" w:right="46"/>
              <w:jc w:val="center"/>
              <w:rPr>
                <w:sz w:val="22"/>
              </w:rPr>
            </w:pPr>
            <w:r>
              <w:rPr>
                <w:sz w:val="22"/>
              </w:rPr>
              <w:t>22.656</w:t>
            </w:r>
          </w:p>
        </w:tc>
      </w:tr>
      <w:tr>
        <w:trPr>
          <w:trHeight w:val="545" w:hRule="exact"/>
        </w:trPr>
        <w:tc>
          <w:tcPr>
            <w:tcW w:w="552" w:type="dxa"/>
          </w:tcPr>
          <w:p>
            <w:pPr>
              <w:pStyle w:val="TableParagraph"/>
              <w:rPr>
                <w:b/>
                <w:sz w:val="24"/>
              </w:rPr>
            </w:pPr>
          </w:p>
          <w:p>
            <w:pPr>
              <w:pStyle w:val="TableParagraph"/>
              <w:ind w:left="67" w:right="67"/>
              <w:jc w:val="center"/>
              <w:rPr>
                <w:sz w:val="22"/>
              </w:rPr>
            </w:pPr>
            <w:r>
              <w:rPr>
                <w:sz w:val="22"/>
              </w:rPr>
              <w:t>76</w:t>
            </w:r>
          </w:p>
        </w:tc>
        <w:tc>
          <w:tcPr>
            <w:tcW w:w="5274" w:type="dxa"/>
          </w:tcPr>
          <w:p>
            <w:pPr>
              <w:pStyle w:val="TableParagraph"/>
              <w:spacing w:before="24"/>
              <w:ind w:left="64" w:right="533"/>
              <w:rPr>
                <w:sz w:val="22"/>
              </w:rPr>
            </w:pPr>
            <w:r>
              <w:rPr>
                <w:sz w:val="22"/>
              </w:rPr>
              <w:t>Sustainable development indicators in Chile: To what extent are they useful and necessary?</w:t>
            </w:r>
          </w:p>
        </w:tc>
        <w:tc>
          <w:tcPr>
            <w:tcW w:w="761" w:type="dxa"/>
          </w:tcPr>
          <w:p>
            <w:pPr>
              <w:pStyle w:val="TableParagraph"/>
              <w:rPr>
                <w:b/>
                <w:sz w:val="24"/>
              </w:rPr>
            </w:pPr>
          </w:p>
          <w:p>
            <w:pPr>
              <w:pStyle w:val="TableParagraph"/>
              <w:jc w:val="center"/>
              <w:rPr>
                <w:sz w:val="22"/>
              </w:rPr>
            </w:pPr>
            <w:r>
              <w:rPr>
                <w:w w:val="100"/>
                <w:sz w:val="22"/>
              </w:rPr>
              <w:t>5</w:t>
            </w:r>
          </w:p>
        </w:tc>
        <w:tc>
          <w:tcPr>
            <w:tcW w:w="802" w:type="dxa"/>
          </w:tcPr>
          <w:p>
            <w:pPr>
              <w:pStyle w:val="TableParagraph"/>
              <w:rPr>
                <w:b/>
                <w:sz w:val="24"/>
              </w:rPr>
            </w:pPr>
          </w:p>
          <w:p>
            <w:pPr>
              <w:pStyle w:val="TableParagraph"/>
              <w:ind w:right="240"/>
              <w:jc w:val="right"/>
              <w:rPr>
                <w:sz w:val="22"/>
              </w:rPr>
            </w:pPr>
            <w:r>
              <w:rPr>
                <w:sz w:val="22"/>
              </w:rPr>
              <w:t>0.4</w:t>
            </w:r>
          </w:p>
        </w:tc>
        <w:tc>
          <w:tcPr>
            <w:tcW w:w="1438" w:type="dxa"/>
          </w:tcPr>
          <w:p>
            <w:pPr>
              <w:pStyle w:val="TableParagraph"/>
              <w:rPr>
                <w:b/>
                <w:sz w:val="24"/>
              </w:rPr>
            </w:pPr>
          </w:p>
          <w:p>
            <w:pPr>
              <w:pStyle w:val="TableParagraph"/>
              <w:ind w:left="46" w:right="46"/>
              <w:jc w:val="center"/>
              <w:rPr>
                <w:sz w:val="22"/>
              </w:rPr>
            </w:pPr>
            <w:r>
              <w:rPr>
                <w:sz w:val="22"/>
              </w:rPr>
              <w:t>22.241</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77</w:t>
            </w:r>
          </w:p>
        </w:tc>
        <w:tc>
          <w:tcPr>
            <w:tcW w:w="5274" w:type="dxa"/>
          </w:tcPr>
          <w:p>
            <w:pPr>
              <w:pStyle w:val="TableParagraph"/>
              <w:spacing w:before="23"/>
              <w:ind w:left="64" w:right="838"/>
              <w:rPr>
                <w:sz w:val="22"/>
              </w:rPr>
            </w:pPr>
            <w:r>
              <w:rPr>
                <w:sz w:val="22"/>
              </w:rPr>
              <w:t>Metropolitan areas: What has changed? The metropolitan Caracas experience</w:t>
            </w:r>
          </w:p>
        </w:tc>
        <w:tc>
          <w:tcPr>
            <w:tcW w:w="761" w:type="dxa"/>
          </w:tcPr>
          <w:p>
            <w:pPr>
              <w:pStyle w:val="TableParagraph"/>
              <w:spacing w:before="11"/>
              <w:rPr>
                <w:b/>
                <w:sz w:val="23"/>
              </w:rPr>
            </w:pPr>
          </w:p>
          <w:p>
            <w:pPr>
              <w:pStyle w:val="TableParagraph"/>
              <w:jc w:val="center"/>
              <w:rPr>
                <w:sz w:val="22"/>
              </w:rPr>
            </w:pPr>
            <w:r>
              <w:rPr>
                <w:w w:val="100"/>
                <w:sz w:val="22"/>
              </w:rPr>
              <w:t>5</w:t>
            </w:r>
          </w:p>
        </w:tc>
        <w:tc>
          <w:tcPr>
            <w:tcW w:w="802" w:type="dxa"/>
          </w:tcPr>
          <w:p>
            <w:pPr>
              <w:pStyle w:val="TableParagraph"/>
              <w:spacing w:before="11"/>
              <w:rPr>
                <w:b/>
                <w:sz w:val="23"/>
              </w:rPr>
            </w:pPr>
          </w:p>
          <w:p>
            <w:pPr>
              <w:pStyle w:val="TableParagraph"/>
              <w:ind w:right="240"/>
              <w:jc w:val="right"/>
              <w:rPr>
                <w:sz w:val="22"/>
              </w:rPr>
            </w:pPr>
            <w:r>
              <w:rPr>
                <w:sz w:val="22"/>
              </w:rPr>
              <w:t>0.4</w:t>
            </w:r>
          </w:p>
        </w:tc>
        <w:tc>
          <w:tcPr>
            <w:tcW w:w="1438" w:type="dxa"/>
          </w:tcPr>
          <w:p>
            <w:pPr>
              <w:pStyle w:val="TableParagraph"/>
              <w:spacing w:before="11"/>
              <w:rPr>
                <w:b/>
                <w:sz w:val="23"/>
              </w:rPr>
            </w:pPr>
          </w:p>
          <w:p>
            <w:pPr>
              <w:pStyle w:val="TableParagraph"/>
              <w:ind w:left="46" w:right="46"/>
              <w:jc w:val="center"/>
              <w:rPr>
                <w:sz w:val="22"/>
              </w:rPr>
            </w:pPr>
            <w:r>
              <w:rPr>
                <w:sz w:val="22"/>
              </w:rPr>
              <w:t>21.826</w:t>
            </w:r>
          </w:p>
        </w:tc>
      </w:tr>
      <w:tr>
        <w:trPr>
          <w:trHeight w:val="516" w:hRule="exact"/>
        </w:trPr>
        <w:tc>
          <w:tcPr>
            <w:tcW w:w="552" w:type="dxa"/>
          </w:tcPr>
          <w:p>
            <w:pPr>
              <w:pStyle w:val="TableParagraph"/>
              <w:spacing w:before="5"/>
              <w:rPr>
                <w:b/>
                <w:sz w:val="21"/>
              </w:rPr>
            </w:pPr>
          </w:p>
          <w:p>
            <w:pPr>
              <w:pStyle w:val="TableParagraph"/>
              <w:ind w:left="67" w:right="67"/>
              <w:jc w:val="center"/>
              <w:rPr>
                <w:sz w:val="22"/>
              </w:rPr>
            </w:pPr>
            <w:r>
              <w:rPr>
                <w:sz w:val="22"/>
              </w:rPr>
              <w:t>78</w:t>
            </w:r>
          </w:p>
        </w:tc>
        <w:tc>
          <w:tcPr>
            <w:tcW w:w="5274" w:type="dxa"/>
          </w:tcPr>
          <w:p>
            <w:pPr>
              <w:pStyle w:val="TableParagraph"/>
              <w:ind w:left="64" w:right="55"/>
              <w:rPr>
                <w:sz w:val="22"/>
              </w:rPr>
            </w:pPr>
            <w:r>
              <w:rPr>
                <w:sz w:val="22"/>
              </w:rPr>
              <w:t>Santiago de Chile: Metropolization, globalization and inequity</w:t>
            </w:r>
          </w:p>
        </w:tc>
        <w:tc>
          <w:tcPr>
            <w:tcW w:w="761" w:type="dxa"/>
          </w:tcPr>
          <w:p>
            <w:pPr>
              <w:pStyle w:val="TableParagraph"/>
              <w:spacing w:before="5"/>
              <w:rPr>
                <w:b/>
                <w:sz w:val="21"/>
              </w:rPr>
            </w:pPr>
          </w:p>
          <w:p>
            <w:pPr>
              <w:pStyle w:val="TableParagraph"/>
              <w:jc w:val="center"/>
              <w:rPr>
                <w:sz w:val="22"/>
              </w:rPr>
            </w:pPr>
            <w:r>
              <w:rPr>
                <w:w w:val="100"/>
                <w:sz w:val="22"/>
              </w:rPr>
              <w:t>5</w:t>
            </w:r>
          </w:p>
        </w:tc>
        <w:tc>
          <w:tcPr>
            <w:tcW w:w="802" w:type="dxa"/>
          </w:tcPr>
          <w:p>
            <w:pPr>
              <w:pStyle w:val="TableParagraph"/>
              <w:spacing w:before="5"/>
              <w:rPr>
                <w:b/>
                <w:sz w:val="21"/>
              </w:rPr>
            </w:pPr>
          </w:p>
          <w:p>
            <w:pPr>
              <w:pStyle w:val="TableParagraph"/>
              <w:ind w:right="240"/>
              <w:jc w:val="right"/>
              <w:rPr>
                <w:sz w:val="22"/>
              </w:rPr>
            </w:pPr>
            <w:r>
              <w:rPr>
                <w:sz w:val="22"/>
              </w:rPr>
              <w:t>0.4</w:t>
            </w:r>
          </w:p>
        </w:tc>
        <w:tc>
          <w:tcPr>
            <w:tcW w:w="1438" w:type="dxa"/>
          </w:tcPr>
          <w:p>
            <w:pPr>
              <w:pStyle w:val="TableParagraph"/>
              <w:spacing w:before="5"/>
              <w:rPr>
                <w:b/>
                <w:sz w:val="21"/>
              </w:rPr>
            </w:pPr>
          </w:p>
          <w:p>
            <w:pPr>
              <w:pStyle w:val="TableParagraph"/>
              <w:ind w:left="46" w:right="46"/>
              <w:jc w:val="center"/>
              <w:rPr>
                <w:sz w:val="22"/>
              </w:rPr>
            </w:pPr>
            <w:r>
              <w:rPr>
                <w:sz w:val="22"/>
              </w:rPr>
              <w:t>21.411</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79</w:t>
            </w:r>
          </w:p>
        </w:tc>
        <w:tc>
          <w:tcPr>
            <w:tcW w:w="5274" w:type="dxa"/>
          </w:tcPr>
          <w:p>
            <w:pPr>
              <w:pStyle w:val="TableParagraph"/>
              <w:ind w:left="64" w:right="93"/>
              <w:rPr>
                <w:sz w:val="22"/>
              </w:rPr>
            </w:pPr>
            <w:r>
              <w:rPr>
                <w:sz w:val="22"/>
              </w:rPr>
              <w:t>Gated communities in flood-prone areas of the Tigre municipality: the production of urban spaces of high environmental quality?</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4</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0.3</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20.996</w:t>
            </w:r>
          </w:p>
        </w:tc>
      </w:tr>
      <w:tr>
        <w:trPr>
          <w:trHeight w:val="516" w:hRule="exact"/>
        </w:trPr>
        <w:tc>
          <w:tcPr>
            <w:tcW w:w="552" w:type="dxa"/>
          </w:tcPr>
          <w:p>
            <w:pPr>
              <w:pStyle w:val="TableParagraph"/>
              <w:spacing w:before="7"/>
              <w:rPr>
                <w:b/>
                <w:sz w:val="21"/>
              </w:rPr>
            </w:pPr>
          </w:p>
          <w:p>
            <w:pPr>
              <w:pStyle w:val="TableParagraph"/>
              <w:ind w:left="67" w:right="67"/>
              <w:jc w:val="center"/>
              <w:rPr>
                <w:sz w:val="22"/>
              </w:rPr>
            </w:pPr>
            <w:r>
              <w:rPr>
                <w:sz w:val="22"/>
              </w:rPr>
              <w:t>80</w:t>
            </w:r>
          </w:p>
        </w:tc>
        <w:tc>
          <w:tcPr>
            <w:tcW w:w="5274" w:type="dxa"/>
          </w:tcPr>
          <w:p>
            <w:pPr>
              <w:pStyle w:val="TableParagraph"/>
              <w:spacing w:line="242" w:lineRule="auto"/>
              <w:ind w:left="64" w:right="178"/>
              <w:rPr>
                <w:sz w:val="22"/>
              </w:rPr>
            </w:pPr>
            <w:r>
              <w:rPr>
                <w:sz w:val="22"/>
              </w:rPr>
              <w:t>Brazilian metropoli: an analysis of the circuits of urban economy</w:t>
            </w:r>
          </w:p>
        </w:tc>
        <w:tc>
          <w:tcPr>
            <w:tcW w:w="761" w:type="dxa"/>
          </w:tcPr>
          <w:p>
            <w:pPr>
              <w:pStyle w:val="TableParagraph"/>
              <w:spacing w:before="7"/>
              <w:rPr>
                <w:b/>
                <w:sz w:val="21"/>
              </w:rPr>
            </w:pPr>
          </w:p>
          <w:p>
            <w:pPr>
              <w:pStyle w:val="TableParagraph"/>
              <w:jc w:val="center"/>
              <w:rPr>
                <w:sz w:val="22"/>
              </w:rPr>
            </w:pPr>
            <w:r>
              <w:rPr>
                <w:w w:val="100"/>
                <w:sz w:val="22"/>
              </w:rPr>
              <w:t>4</w:t>
            </w:r>
          </w:p>
        </w:tc>
        <w:tc>
          <w:tcPr>
            <w:tcW w:w="802" w:type="dxa"/>
          </w:tcPr>
          <w:p>
            <w:pPr>
              <w:pStyle w:val="TableParagraph"/>
              <w:spacing w:before="7"/>
              <w:rPr>
                <w:b/>
                <w:sz w:val="21"/>
              </w:rPr>
            </w:pPr>
          </w:p>
          <w:p>
            <w:pPr>
              <w:pStyle w:val="TableParagraph"/>
              <w:ind w:right="240"/>
              <w:jc w:val="right"/>
              <w:rPr>
                <w:sz w:val="22"/>
              </w:rPr>
            </w:pPr>
            <w:r>
              <w:rPr>
                <w:sz w:val="22"/>
              </w:rPr>
              <w:t>0.3</w:t>
            </w:r>
          </w:p>
        </w:tc>
        <w:tc>
          <w:tcPr>
            <w:tcW w:w="1438" w:type="dxa"/>
          </w:tcPr>
          <w:p>
            <w:pPr>
              <w:pStyle w:val="TableParagraph"/>
              <w:spacing w:before="7"/>
              <w:rPr>
                <w:b/>
                <w:sz w:val="21"/>
              </w:rPr>
            </w:pPr>
          </w:p>
          <w:p>
            <w:pPr>
              <w:pStyle w:val="TableParagraph"/>
              <w:ind w:left="46" w:right="46"/>
              <w:jc w:val="center"/>
              <w:rPr>
                <w:sz w:val="22"/>
              </w:rPr>
            </w:pPr>
            <w:r>
              <w:rPr>
                <w:sz w:val="22"/>
              </w:rPr>
              <w:t>20.664</w:t>
            </w:r>
          </w:p>
        </w:tc>
      </w:tr>
      <w:tr>
        <w:trPr>
          <w:trHeight w:val="317" w:hRule="exact"/>
        </w:trPr>
        <w:tc>
          <w:tcPr>
            <w:tcW w:w="552" w:type="dxa"/>
          </w:tcPr>
          <w:p>
            <w:pPr>
              <w:pStyle w:val="TableParagraph"/>
              <w:spacing w:before="47"/>
              <w:ind w:left="67" w:right="67"/>
              <w:jc w:val="center"/>
              <w:rPr>
                <w:sz w:val="22"/>
              </w:rPr>
            </w:pPr>
            <w:r>
              <w:rPr>
                <w:sz w:val="22"/>
              </w:rPr>
              <w:t>81</w:t>
            </w:r>
          </w:p>
        </w:tc>
        <w:tc>
          <w:tcPr>
            <w:tcW w:w="5274" w:type="dxa"/>
          </w:tcPr>
          <w:p>
            <w:pPr>
              <w:pStyle w:val="TableParagraph"/>
              <w:spacing w:before="47"/>
              <w:ind w:left="64" w:right="679"/>
              <w:rPr>
                <w:sz w:val="22"/>
              </w:rPr>
            </w:pPr>
            <w:r>
              <w:rPr>
                <w:sz w:val="22"/>
              </w:rPr>
              <w:t>Presentation</w:t>
            </w:r>
          </w:p>
        </w:tc>
        <w:tc>
          <w:tcPr>
            <w:tcW w:w="761" w:type="dxa"/>
          </w:tcPr>
          <w:p>
            <w:pPr>
              <w:pStyle w:val="TableParagraph"/>
              <w:spacing w:before="47"/>
              <w:jc w:val="center"/>
              <w:rPr>
                <w:sz w:val="22"/>
              </w:rPr>
            </w:pPr>
            <w:r>
              <w:rPr>
                <w:w w:val="100"/>
                <w:sz w:val="22"/>
              </w:rPr>
              <w:t>4</w:t>
            </w:r>
          </w:p>
        </w:tc>
        <w:tc>
          <w:tcPr>
            <w:tcW w:w="802" w:type="dxa"/>
          </w:tcPr>
          <w:p>
            <w:pPr>
              <w:pStyle w:val="TableParagraph"/>
              <w:spacing w:before="47"/>
              <w:ind w:right="240"/>
              <w:jc w:val="right"/>
              <w:rPr>
                <w:sz w:val="22"/>
              </w:rPr>
            </w:pPr>
            <w:r>
              <w:rPr>
                <w:sz w:val="22"/>
              </w:rPr>
              <w:t>0.3</w:t>
            </w:r>
          </w:p>
        </w:tc>
        <w:tc>
          <w:tcPr>
            <w:tcW w:w="1438" w:type="dxa"/>
          </w:tcPr>
          <w:p>
            <w:pPr>
              <w:pStyle w:val="TableParagraph"/>
              <w:spacing w:before="47"/>
              <w:ind w:left="46" w:right="46"/>
              <w:jc w:val="center"/>
              <w:rPr>
                <w:sz w:val="22"/>
              </w:rPr>
            </w:pPr>
            <w:r>
              <w:rPr>
                <w:sz w:val="22"/>
              </w:rPr>
              <w:t>20.332</w:t>
            </w:r>
          </w:p>
        </w:tc>
      </w:tr>
      <w:tr>
        <w:trPr>
          <w:trHeight w:val="516" w:hRule="exact"/>
        </w:trPr>
        <w:tc>
          <w:tcPr>
            <w:tcW w:w="552" w:type="dxa"/>
          </w:tcPr>
          <w:p>
            <w:pPr>
              <w:pStyle w:val="TableParagraph"/>
              <w:spacing w:before="5"/>
              <w:rPr>
                <w:b/>
                <w:sz w:val="21"/>
              </w:rPr>
            </w:pPr>
          </w:p>
          <w:p>
            <w:pPr>
              <w:pStyle w:val="TableParagraph"/>
              <w:ind w:left="67" w:right="67"/>
              <w:jc w:val="center"/>
              <w:rPr>
                <w:sz w:val="22"/>
              </w:rPr>
            </w:pPr>
            <w:r>
              <w:rPr>
                <w:sz w:val="22"/>
              </w:rPr>
              <w:t>82</w:t>
            </w:r>
          </w:p>
        </w:tc>
        <w:tc>
          <w:tcPr>
            <w:tcW w:w="5274" w:type="dxa"/>
          </w:tcPr>
          <w:p>
            <w:pPr>
              <w:pStyle w:val="TableParagraph"/>
              <w:ind w:left="64" w:right="643"/>
              <w:rPr>
                <w:sz w:val="22"/>
              </w:rPr>
            </w:pPr>
            <w:r>
              <w:rPr>
                <w:sz w:val="22"/>
              </w:rPr>
              <w:t>Urban imaginaries: from theory to grounding in urban studies</w:t>
            </w:r>
          </w:p>
        </w:tc>
        <w:tc>
          <w:tcPr>
            <w:tcW w:w="761" w:type="dxa"/>
          </w:tcPr>
          <w:p>
            <w:pPr>
              <w:pStyle w:val="TableParagraph"/>
              <w:spacing w:before="5"/>
              <w:rPr>
                <w:b/>
                <w:sz w:val="21"/>
              </w:rPr>
            </w:pPr>
          </w:p>
          <w:p>
            <w:pPr>
              <w:pStyle w:val="TableParagraph"/>
              <w:jc w:val="center"/>
              <w:rPr>
                <w:sz w:val="22"/>
              </w:rPr>
            </w:pPr>
            <w:r>
              <w:rPr>
                <w:w w:val="100"/>
                <w:sz w:val="22"/>
              </w:rPr>
              <w:t>4</w:t>
            </w:r>
          </w:p>
        </w:tc>
        <w:tc>
          <w:tcPr>
            <w:tcW w:w="802" w:type="dxa"/>
          </w:tcPr>
          <w:p>
            <w:pPr>
              <w:pStyle w:val="TableParagraph"/>
              <w:spacing w:before="5"/>
              <w:rPr>
                <w:b/>
                <w:sz w:val="21"/>
              </w:rPr>
            </w:pPr>
          </w:p>
          <w:p>
            <w:pPr>
              <w:pStyle w:val="TableParagraph"/>
              <w:ind w:right="240"/>
              <w:jc w:val="right"/>
              <w:rPr>
                <w:sz w:val="22"/>
              </w:rPr>
            </w:pPr>
            <w:r>
              <w:rPr>
                <w:sz w:val="22"/>
              </w:rPr>
              <w:t>0.3</w:t>
            </w:r>
          </w:p>
        </w:tc>
        <w:tc>
          <w:tcPr>
            <w:tcW w:w="1438" w:type="dxa"/>
          </w:tcPr>
          <w:p>
            <w:pPr>
              <w:pStyle w:val="TableParagraph"/>
              <w:spacing w:before="5"/>
              <w:rPr>
                <w:b/>
                <w:sz w:val="21"/>
              </w:rPr>
            </w:pPr>
          </w:p>
          <w:p>
            <w:pPr>
              <w:pStyle w:val="TableParagraph"/>
              <w:ind w:left="46" w:right="46"/>
              <w:jc w:val="center"/>
              <w:rPr>
                <w:sz w:val="22"/>
              </w:rPr>
            </w:pPr>
            <w:r>
              <w:rPr>
                <w:sz w:val="22"/>
              </w:rPr>
              <w:t>20.000</w:t>
            </w:r>
          </w:p>
        </w:tc>
      </w:tr>
      <w:tr>
        <w:trPr>
          <w:trHeight w:val="314" w:hRule="exact"/>
        </w:trPr>
        <w:tc>
          <w:tcPr>
            <w:tcW w:w="552" w:type="dxa"/>
          </w:tcPr>
          <w:p>
            <w:pPr>
              <w:pStyle w:val="TableParagraph"/>
              <w:spacing w:before="47"/>
              <w:ind w:left="67" w:right="67"/>
              <w:jc w:val="center"/>
              <w:rPr>
                <w:sz w:val="22"/>
              </w:rPr>
            </w:pPr>
            <w:r>
              <w:rPr>
                <w:sz w:val="22"/>
              </w:rPr>
              <w:t>83</w:t>
            </w:r>
          </w:p>
        </w:tc>
        <w:tc>
          <w:tcPr>
            <w:tcW w:w="5274" w:type="dxa"/>
          </w:tcPr>
          <w:p>
            <w:pPr>
              <w:pStyle w:val="TableParagraph"/>
              <w:spacing w:before="47"/>
              <w:ind w:left="64" w:right="679"/>
              <w:rPr>
                <w:sz w:val="22"/>
              </w:rPr>
            </w:pPr>
            <w:r>
              <w:rPr>
                <w:sz w:val="22"/>
              </w:rPr>
              <w:t>Introduction</w:t>
            </w:r>
          </w:p>
        </w:tc>
        <w:tc>
          <w:tcPr>
            <w:tcW w:w="761" w:type="dxa"/>
          </w:tcPr>
          <w:p>
            <w:pPr>
              <w:pStyle w:val="TableParagraph"/>
              <w:spacing w:before="47"/>
              <w:jc w:val="center"/>
              <w:rPr>
                <w:sz w:val="22"/>
              </w:rPr>
            </w:pPr>
            <w:r>
              <w:rPr>
                <w:w w:val="100"/>
                <w:sz w:val="22"/>
              </w:rPr>
              <w:t>4</w:t>
            </w:r>
          </w:p>
        </w:tc>
        <w:tc>
          <w:tcPr>
            <w:tcW w:w="802" w:type="dxa"/>
          </w:tcPr>
          <w:p>
            <w:pPr>
              <w:pStyle w:val="TableParagraph"/>
              <w:spacing w:before="47"/>
              <w:ind w:right="240"/>
              <w:jc w:val="right"/>
              <w:rPr>
                <w:sz w:val="22"/>
              </w:rPr>
            </w:pPr>
            <w:r>
              <w:rPr>
                <w:sz w:val="22"/>
              </w:rPr>
              <w:t>0.3</w:t>
            </w:r>
          </w:p>
        </w:tc>
        <w:tc>
          <w:tcPr>
            <w:tcW w:w="1438" w:type="dxa"/>
          </w:tcPr>
          <w:p>
            <w:pPr>
              <w:pStyle w:val="TableParagraph"/>
              <w:spacing w:before="47"/>
              <w:ind w:left="46" w:right="46"/>
              <w:jc w:val="center"/>
              <w:rPr>
                <w:sz w:val="22"/>
              </w:rPr>
            </w:pPr>
            <w:r>
              <w:rPr>
                <w:sz w:val="22"/>
              </w:rPr>
              <w:t>19.668</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84</w:t>
            </w:r>
          </w:p>
        </w:tc>
        <w:tc>
          <w:tcPr>
            <w:tcW w:w="5274" w:type="dxa"/>
          </w:tcPr>
          <w:p>
            <w:pPr>
              <w:pStyle w:val="TableParagraph"/>
              <w:spacing w:before="26"/>
              <w:ind w:left="64" w:right="276"/>
              <w:rPr>
                <w:sz w:val="22"/>
              </w:rPr>
            </w:pPr>
            <w:r>
              <w:rPr>
                <w:sz w:val="22"/>
              </w:rPr>
              <w:t>A conversation with Nestor Garcia Canclini. What are imaginaries and how do they operate in cities?</w:t>
            </w:r>
          </w:p>
        </w:tc>
        <w:tc>
          <w:tcPr>
            <w:tcW w:w="761" w:type="dxa"/>
          </w:tcPr>
          <w:p>
            <w:pPr>
              <w:pStyle w:val="TableParagraph"/>
              <w:spacing w:before="2"/>
              <w:rPr>
                <w:b/>
                <w:sz w:val="24"/>
              </w:rPr>
            </w:pPr>
          </w:p>
          <w:p>
            <w:pPr>
              <w:pStyle w:val="TableParagraph"/>
              <w:jc w:val="center"/>
              <w:rPr>
                <w:sz w:val="22"/>
              </w:rPr>
            </w:pPr>
            <w:r>
              <w:rPr>
                <w:w w:val="100"/>
                <w:sz w:val="22"/>
              </w:rPr>
              <w:t>4</w:t>
            </w:r>
          </w:p>
        </w:tc>
        <w:tc>
          <w:tcPr>
            <w:tcW w:w="802" w:type="dxa"/>
          </w:tcPr>
          <w:p>
            <w:pPr>
              <w:pStyle w:val="TableParagraph"/>
              <w:spacing w:before="2"/>
              <w:rPr>
                <w:b/>
                <w:sz w:val="24"/>
              </w:rPr>
            </w:pPr>
          </w:p>
          <w:p>
            <w:pPr>
              <w:pStyle w:val="TableParagraph"/>
              <w:ind w:right="240"/>
              <w:jc w:val="right"/>
              <w:rPr>
                <w:sz w:val="22"/>
              </w:rPr>
            </w:pPr>
            <w:r>
              <w:rPr>
                <w:sz w:val="22"/>
              </w:rPr>
              <w:t>0.3</w:t>
            </w:r>
          </w:p>
        </w:tc>
        <w:tc>
          <w:tcPr>
            <w:tcW w:w="1438" w:type="dxa"/>
          </w:tcPr>
          <w:p>
            <w:pPr>
              <w:pStyle w:val="TableParagraph"/>
              <w:spacing w:before="2"/>
              <w:rPr>
                <w:b/>
                <w:sz w:val="24"/>
              </w:rPr>
            </w:pPr>
          </w:p>
          <w:p>
            <w:pPr>
              <w:pStyle w:val="TableParagraph"/>
              <w:ind w:left="46" w:right="46"/>
              <w:jc w:val="center"/>
              <w:rPr>
                <w:sz w:val="22"/>
              </w:rPr>
            </w:pPr>
            <w:r>
              <w:rPr>
                <w:sz w:val="22"/>
              </w:rPr>
              <w:t>19.336</w:t>
            </w:r>
          </w:p>
        </w:tc>
      </w:tr>
      <w:tr>
        <w:trPr>
          <w:trHeight w:val="547" w:hRule="exact"/>
        </w:trPr>
        <w:tc>
          <w:tcPr>
            <w:tcW w:w="552" w:type="dxa"/>
          </w:tcPr>
          <w:p>
            <w:pPr>
              <w:pStyle w:val="TableParagraph"/>
              <w:spacing w:before="2"/>
              <w:rPr>
                <w:b/>
                <w:sz w:val="24"/>
              </w:rPr>
            </w:pPr>
          </w:p>
          <w:p>
            <w:pPr>
              <w:pStyle w:val="TableParagraph"/>
              <w:ind w:left="67" w:right="67"/>
              <w:jc w:val="center"/>
              <w:rPr>
                <w:sz w:val="22"/>
              </w:rPr>
            </w:pPr>
            <w:r>
              <w:rPr>
                <w:sz w:val="22"/>
              </w:rPr>
              <w:t>85</w:t>
            </w:r>
          </w:p>
        </w:tc>
        <w:tc>
          <w:tcPr>
            <w:tcW w:w="5274" w:type="dxa"/>
          </w:tcPr>
          <w:p>
            <w:pPr>
              <w:pStyle w:val="TableParagraph"/>
              <w:spacing w:before="26"/>
              <w:ind w:left="64" w:right="227"/>
              <w:rPr>
                <w:sz w:val="22"/>
              </w:rPr>
            </w:pPr>
            <w:r>
              <w:rPr>
                <w:sz w:val="22"/>
              </w:rPr>
              <w:t>Urban imaginaries in Gran Santiago: footprints of a metamorphosis</w:t>
            </w:r>
          </w:p>
        </w:tc>
        <w:tc>
          <w:tcPr>
            <w:tcW w:w="761" w:type="dxa"/>
          </w:tcPr>
          <w:p>
            <w:pPr>
              <w:pStyle w:val="TableParagraph"/>
              <w:spacing w:before="2"/>
              <w:rPr>
                <w:b/>
                <w:sz w:val="24"/>
              </w:rPr>
            </w:pPr>
          </w:p>
          <w:p>
            <w:pPr>
              <w:pStyle w:val="TableParagraph"/>
              <w:jc w:val="center"/>
              <w:rPr>
                <w:sz w:val="22"/>
              </w:rPr>
            </w:pPr>
            <w:r>
              <w:rPr>
                <w:w w:val="100"/>
                <w:sz w:val="22"/>
              </w:rPr>
              <w:t>4</w:t>
            </w:r>
          </w:p>
        </w:tc>
        <w:tc>
          <w:tcPr>
            <w:tcW w:w="802" w:type="dxa"/>
          </w:tcPr>
          <w:p>
            <w:pPr>
              <w:pStyle w:val="TableParagraph"/>
              <w:spacing w:before="2"/>
              <w:rPr>
                <w:b/>
                <w:sz w:val="24"/>
              </w:rPr>
            </w:pPr>
          </w:p>
          <w:p>
            <w:pPr>
              <w:pStyle w:val="TableParagraph"/>
              <w:ind w:right="240"/>
              <w:jc w:val="right"/>
              <w:rPr>
                <w:sz w:val="22"/>
              </w:rPr>
            </w:pPr>
            <w:r>
              <w:rPr>
                <w:sz w:val="22"/>
              </w:rPr>
              <w:t>0.3</w:t>
            </w:r>
          </w:p>
        </w:tc>
        <w:tc>
          <w:tcPr>
            <w:tcW w:w="1438" w:type="dxa"/>
          </w:tcPr>
          <w:p>
            <w:pPr>
              <w:pStyle w:val="TableParagraph"/>
              <w:spacing w:before="2"/>
              <w:rPr>
                <w:b/>
                <w:sz w:val="24"/>
              </w:rPr>
            </w:pPr>
          </w:p>
          <w:p>
            <w:pPr>
              <w:pStyle w:val="TableParagraph"/>
              <w:ind w:left="46" w:right="46"/>
              <w:jc w:val="center"/>
              <w:rPr>
                <w:sz w:val="22"/>
              </w:rPr>
            </w:pPr>
            <w:r>
              <w:rPr>
                <w:sz w:val="22"/>
              </w:rPr>
              <w:t>19.004</w:t>
            </w:r>
          </w:p>
        </w:tc>
      </w:tr>
      <w:tr>
        <w:trPr>
          <w:trHeight w:val="516" w:hRule="exact"/>
        </w:trPr>
        <w:tc>
          <w:tcPr>
            <w:tcW w:w="552" w:type="dxa"/>
          </w:tcPr>
          <w:p>
            <w:pPr>
              <w:pStyle w:val="TableParagraph"/>
              <w:spacing w:before="5"/>
              <w:rPr>
                <w:b/>
                <w:sz w:val="21"/>
              </w:rPr>
            </w:pPr>
          </w:p>
          <w:p>
            <w:pPr>
              <w:pStyle w:val="TableParagraph"/>
              <w:ind w:left="67" w:right="67"/>
              <w:jc w:val="center"/>
              <w:rPr>
                <w:sz w:val="22"/>
              </w:rPr>
            </w:pPr>
            <w:r>
              <w:rPr>
                <w:sz w:val="22"/>
              </w:rPr>
              <w:t>86</w:t>
            </w:r>
          </w:p>
        </w:tc>
        <w:tc>
          <w:tcPr>
            <w:tcW w:w="5274" w:type="dxa"/>
          </w:tcPr>
          <w:p>
            <w:pPr>
              <w:pStyle w:val="TableParagraph"/>
              <w:ind w:left="64" w:right="56"/>
              <w:rPr>
                <w:sz w:val="22"/>
              </w:rPr>
            </w:pPr>
            <w:r>
              <w:rPr>
                <w:sz w:val="22"/>
              </w:rPr>
              <w:t>Measuring the perception of insecurity in low-income areas</w:t>
            </w:r>
          </w:p>
        </w:tc>
        <w:tc>
          <w:tcPr>
            <w:tcW w:w="761" w:type="dxa"/>
          </w:tcPr>
          <w:p>
            <w:pPr>
              <w:pStyle w:val="TableParagraph"/>
              <w:spacing w:before="5"/>
              <w:rPr>
                <w:b/>
                <w:sz w:val="21"/>
              </w:rPr>
            </w:pPr>
          </w:p>
          <w:p>
            <w:pPr>
              <w:pStyle w:val="TableParagraph"/>
              <w:jc w:val="center"/>
              <w:rPr>
                <w:sz w:val="22"/>
              </w:rPr>
            </w:pPr>
            <w:r>
              <w:rPr>
                <w:w w:val="100"/>
                <w:sz w:val="22"/>
              </w:rPr>
              <w:t>4</w:t>
            </w:r>
          </w:p>
        </w:tc>
        <w:tc>
          <w:tcPr>
            <w:tcW w:w="802" w:type="dxa"/>
          </w:tcPr>
          <w:p>
            <w:pPr>
              <w:pStyle w:val="TableParagraph"/>
              <w:spacing w:before="5"/>
              <w:rPr>
                <w:b/>
                <w:sz w:val="21"/>
              </w:rPr>
            </w:pPr>
          </w:p>
          <w:p>
            <w:pPr>
              <w:pStyle w:val="TableParagraph"/>
              <w:ind w:right="240"/>
              <w:jc w:val="right"/>
              <w:rPr>
                <w:sz w:val="22"/>
              </w:rPr>
            </w:pPr>
            <w:r>
              <w:rPr>
                <w:sz w:val="22"/>
              </w:rPr>
              <w:t>0.3</w:t>
            </w:r>
          </w:p>
        </w:tc>
        <w:tc>
          <w:tcPr>
            <w:tcW w:w="1438" w:type="dxa"/>
          </w:tcPr>
          <w:p>
            <w:pPr>
              <w:pStyle w:val="TableParagraph"/>
              <w:spacing w:before="5"/>
              <w:rPr>
                <w:b/>
                <w:sz w:val="21"/>
              </w:rPr>
            </w:pPr>
          </w:p>
          <w:p>
            <w:pPr>
              <w:pStyle w:val="TableParagraph"/>
              <w:ind w:left="46" w:right="46"/>
              <w:jc w:val="center"/>
              <w:rPr>
                <w:sz w:val="22"/>
              </w:rPr>
            </w:pPr>
            <w:r>
              <w:rPr>
                <w:sz w:val="22"/>
              </w:rPr>
              <w:t>18.672</w:t>
            </w:r>
          </w:p>
        </w:tc>
      </w:tr>
      <w:tr>
        <w:trPr>
          <w:trHeight w:val="768" w:hRule="exact"/>
        </w:trPr>
        <w:tc>
          <w:tcPr>
            <w:tcW w:w="552" w:type="dxa"/>
          </w:tcPr>
          <w:p>
            <w:pPr>
              <w:pStyle w:val="TableParagraph"/>
              <w:rPr>
                <w:b/>
                <w:sz w:val="22"/>
              </w:rPr>
            </w:pPr>
          </w:p>
          <w:p>
            <w:pPr>
              <w:pStyle w:val="TableParagraph"/>
              <w:spacing w:before="7"/>
              <w:rPr>
                <w:b/>
                <w:sz w:val="21"/>
              </w:rPr>
            </w:pPr>
          </w:p>
          <w:p>
            <w:pPr>
              <w:pStyle w:val="TableParagraph"/>
              <w:ind w:left="67" w:right="67"/>
              <w:jc w:val="center"/>
              <w:rPr>
                <w:sz w:val="22"/>
              </w:rPr>
            </w:pPr>
            <w:r>
              <w:rPr>
                <w:sz w:val="22"/>
              </w:rPr>
              <w:t>87</w:t>
            </w:r>
          </w:p>
        </w:tc>
        <w:tc>
          <w:tcPr>
            <w:tcW w:w="5274" w:type="dxa"/>
          </w:tcPr>
          <w:p>
            <w:pPr>
              <w:pStyle w:val="TableParagraph"/>
              <w:ind w:left="64" w:right="516"/>
              <w:rPr>
                <w:sz w:val="22"/>
              </w:rPr>
            </w:pPr>
            <w:r>
              <w:rPr>
                <w:sz w:val="22"/>
              </w:rPr>
              <w:t>From industrial functionalism to services functionalism: The new utopia of Mexico Valleys post-industrial metropolis?</w:t>
            </w:r>
          </w:p>
        </w:tc>
        <w:tc>
          <w:tcPr>
            <w:tcW w:w="761" w:type="dxa"/>
          </w:tcPr>
          <w:p>
            <w:pPr>
              <w:pStyle w:val="TableParagraph"/>
              <w:rPr>
                <w:b/>
                <w:sz w:val="22"/>
              </w:rPr>
            </w:pPr>
          </w:p>
          <w:p>
            <w:pPr>
              <w:pStyle w:val="TableParagraph"/>
              <w:spacing w:before="7"/>
              <w:rPr>
                <w:b/>
                <w:sz w:val="21"/>
              </w:rPr>
            </w:pPr>
          </w:p>
          <w:p>
            <w:pPr>
              <w:pStyle w:val="TableParagraph"/>
              <w:jc w:val="center"/>
              <w:rPr>
                <w:sz w:val="22"/>
              </w:rPr>
            </w:pPr>
            <w:r>
              <w:rPr>
                <w:w w:val="100"/>
                <w:sz w:val="22"/>
              </w:rPr>
              <w:t>4</w:t>
            </w:r>
          </w:p>
        </w:tc>
        <w:tc>
          <w:tcPr>
            <w:tcW w:w="802" w:type="dxa"/>
          </w:tcPr>
          <w:p>
            <w:pPr>
              <w:pStyle w:val="TableParagraph"/>
              <w:rPr>
                <w:b/>
                <w:sz w:val="22"/>
              </w:rPr>
            </w:pPr>
          </w:p>
          <w:p>
            <w:pPr>
              <w:pStyle w:val="TableParagraph"/>
              <w:spacing w:before="7"/>
              <w:rPr>
                <w:b/>
                <w:sz w:val="21"/>
              </w:rPr>
            </w:pPr>
          </w:p>
          <w:p>
            <w:pPr>
              <w:pStyle w:val="TableParagraph"/>
              <w:ind w:right="240"/>
              <w:jc w:val="right"/>
              <w:rPr>
                <w:sz w:val="22"/>
              </w:rPr>
            </w:pPr>
            <w:r>
              <w:rPr>
                <w:sz w:val="22"/>
              </w:rPr>
              <w:t>0.3</w:t>
            </w:r>
          </w:p>
        </w:tc>
        <w:tc>
          <w:tcPr>
            <w:tcW w:w="1438" w:type="dxa"/>
          </w:tcPr>
          <w:p>
            <w:pPr>
              <w:pStyle w:val="TableParagraph"/>
              <w:rPr>
                <w:b/>
                <w:sz w:val="22"/>
              </w:rPr>
            </w:pPr>
          </w:p>
          <w:p>
            <w:pPr>
              <w:pStyle w:val="TableParagraph"/>
              <w:spacing w:before="7"/>
              <w:rPr>
                <w:b/>
                <w:sz w:val="21"/>
              </w:rPr>
            </w:pPr>
          </w:p>
          <w:p>
            <w:pPr>
              <w:pStyle w:val="TableParagraph"/>
              <w:ind w:left="46" w:right="46"/>
              <w:jc w:val="center"/>
              <w:rPr>
                <w:sz w:val="22"/>
              </w:rPr>
            </w:pPr>
            <w:r>
              <w:rPr>
                <w:sz w:val="22"/>
              </w:rPr>
              <w:t>18.340</w:t>
            </w:r>
          </w:p>
        </w:tc>
      </w:tr>
    </w:tbl>
    <w:p>
      <w:pPr>
        <w:spacing w:after="0"/>
        <w:jc w:val="center"/>
        <w:rPr>
          <w:sz w:val="22"/>
        </w:rPr>
        <w:sectPr>
          <w:pgSz w:w="12240" w:h="15840"/>
          <w:pgMar w:header="0" w:footer="629" w:top="142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
        <w:gridCol w:w="5274"/>
        <w:gridCol w:w="761"/>
        <w:gridCol w:w="802"/>
        <w:gridCol w:w="1438"/>
      </w:tblGrid>
      <w:tr>
        <w:trPr>
          <w:trHeight w:val="316" w:hRule="exact"/>
        </w:trPr>
        <w:tc>
          <w:tcPr>
            <w:tcW w:w="552" w:type="dxa"/>
            <w:shd w:val="clear" w:color="auto" w:fill="938953"/>
          </w:tcPr>
          <w:p>
            <w:pPr/>
          </w:p>
        </w:tc>
        <w:tc>
          <w:tcPr>
            <w:tcW w:w="5274" w:type="dxa"/>
            <w:shd w:val="clear" w:color="auto" w:fill="938953"/>
          </w:tcPr>
          <w:p>
            <w:pPr>
              <w:pStyle w:val="TableParagraph"/>
              <w:spacing w:before="47"/>
              <w:ind w:left="2347" w:right="2350"/>
              <w:jc w:val="center"/>
              <w:rPr>
                <w:b/>
                <w:sz w:val="22"/>
              </w:rPr>
            </w:pPr>
            <w:r>
              <w:rPr>
                <w:b/>
                <w:color w:val="FFFFFF"/>
                <w:sz w:val="22"/>
              </w:rPr>
              <w:t>Total</w:t>
            </w:r>
          </w:p>
        </w:tc>
        <w:tc>
          <w:tcPr>
            <w:tcW w:w="761" w:type="dxa"/>
            <w:shd w:val="clear" w:color="auto" w:fill="938953"/>
          </w:tcPr>
          <w:p>
            <w:pPr>
              <w:pStyle w:val="TableParagraph"/>
              <w:spacing w:before="49"/>
              <w:ind w:left="105" w:right="105"/>
              <w:jc w:val="center"/>
              <w:rPr>
                <w:sz w:val="22"/>
              </w:rPr>
            </w:pPr>
            <w:r>
              <w:rPr>
                <w:color w:val="FFFFFF"/>
                <w:sz w:val="22"/>
              </w:rPr>
              <w:t>Citas</w:t>
            </w:r>
          </w:p>
        </w:tc>
        <w:tc>
          <w:tcPr>
            <w:tcW w:w="802" w:type="dxa"/>
            <w:shd w:val="clear" w:color="auto" w:fill="938953"/>
          </w:tcPr>
          <w:p>
            <w:pPr>
              <w:pStyle w:val="TableParagraph"/>
              <w:spacing w:before="49"/>
              <w:ind w:right="298"/>
              <w:jc w:val="right"/>
              <w:rPr>
                <w:sz w:val="22"/>
              </w:rPr>
            </w:pPr>
            <w:r>
              <w:rPr>
                <w:color w:val="FFFFFF"/>
                <w:w w:val="100"/>
                <w:sz w:val="22"/>
              </w:rPr>
              <w:t>%</w:t>
            </w:r>
          </w:p>
        </w:tc>
        <w:tc>
          <w:tcPr>
            <w:tcW w:w="1438" w:type="dxa"/>
            <w:shd w:val="clear" w:color="auto" w:fill="938953"/>
          </w:tcPr>
          <w:p>
            <w:pPr>
              <w:pStyle w:val="TableParagraph"/>
              <w:spacing w:before="49"/>
              <w:ind w:left="46" w:right="46"/>
              <w:jc w:val="center"/>
              <w:rPr>
                <w:sz w:val="22"/>
              </w:rPr>
            </w:pPr>
            <w:r>
              <w:rPr>
                <w:color w:val="FFFFFF"/>
                <w:sz w:val="22"/>
              </w:rPr>
              <w:t>%Acumulado</w:t>
            </w:r>
          </w:p>
        </w:tc>
      </w:tr>
      <w:tr>
        <w:trPr>
          <w:trHeight w:val="545" w:hRule="exact"/>
        </w:trPr>
        <w:tc>
          <w:tcPr>
            <w:tcW w:w="552" w:type="dxa"/>
          </w:tcPr>
          <w:p>
            <w:pPr>
              <w:pStyle w:val="TableParagraph"/>
              <w:spacing w:before="2"/>
              <w:rPr>
                <w:b/>
                <w:sz w:val="24"/>
              </w:rPr>
            </w:pPr>
          </w:p>
          <w:p>
            <w:pPr>
              <w:pStyle w:val="TableParagraph"/>
              <w:ind w:right="146"/>
              <w:jc w:val="right"/>
              <w:rPr>
                <w:sz w:val="22"/>
              </w:rPr>
            </w:pPr>
            <w:r>
              <w:rPr>
                <w:sz w:val="22"/>
              </w:rPr>
              <w:t>88</w:t>
            </w:r>
          </w:p>
        </w:tc>
        <w:tc>
          <w:tcPr>
            <w:tcW w:w="5274" w:type="dxa"/>
          </w:tcPr>
          <w:p>
            <w:pPr>
              <w:pStyle w:val="TableParagraph"/>
              <w:spacing w:before="23"/>
              <w:ind w:left="64" w:right="386"/>
              <w:rPr>
                <w:sz w:val="22"/>
              </w:rPr>
            </w:pPr>
            <w:r>
              <w:rPr>
                <w:sz w:val="22"/>
              </w:rPr>
              <w:t>Thinking, drawing, killing the city: Order, planning and competitiveness in modern urbanism</w:t>
            </w:r>
          </w:p>
        </w:tc>
        <w:tc>
          <w:tcPr>
            <w:tcW w:w="761" w:type="dxa"/>
          </w:tcPr>
          <w:p>
            <w:pPr>
              <w:pStyle w:val="TableParagraph"/>
              <w:spacing w:before="2"/>
              <w:rPr>
                <w:b/>
                <w:sz w:val="24"/>
              </w:rPr>
            </w:pPr>
          </w:p>
          <w:p>
            <w:pPr>
              <w:pStyle w:val="TableParagraph"/>
              <w:jc w:val="center"/>
              <w:rPr>
                <w:sz w:val="22"/>
              </w:rPr>
            </w:pPr>
            <w:r>
              <w:rPr>
                <w:w w:val="100"/>
                <w:sz w:val="22"/>
              </w:rPr>
              <w:t>4</w:t>
            </w:r>
          </w:p>
        </w:tc>
        <w:tc>
          <w:tcPr>
            <w:tcW w:w="802" w:type="dxa"/>
          </w:tcPr>
          <w:p>
            <w:pPr>
              <w:pStyle w:val="TableParagraph"/>
              <w:spacing w:before="2"/>
              <w:rPr>
                <w:b/>
                <w:sz w:val="24"/>
              </w:rPr>
            </w:pPr>
          </w:p>
          <w:p>
            <w:pPr>
              <w:pStyle w:val="TableParagraph"/>
              <w:ind w:right="240"/>
              <w:jc w:val="right"/>
              <w:rPr>
                <w:sz w:val="22"/>
              </w:rPr>
            </w:pPr>
            <w:r>
              <w:rPr>
                <w:sz w:val="22"/>
              </w:rPr>
              <w:t>0.3</w:t>
            </w:r>
          </w:p>
        </w:tc>
        <w:tc>
          <w:tcPr>
            <w:tcW w:w="1438" w:type="dxa"/>
          </w:tcPr>
          <w:p>
            <w:pPr>
              <w:pStyle w:val="TableParagraph"/>
              <w:spacing w:before="2"/>
              <w:rPr>
                <w:b/>
                <w:sz w:val="24"/>
              </w:rPr>
            </w:pPr>
          </w:p>
          <w:p>
            <w:pPr>
              <w:pStyle w:val="TableParagraph"/>
              <w:ind w:left="46" w:right="46"/>
              <w:jc w:val="center"/>
              <w:rPr>
                <w:sz w:val="22"/>
              </w:rPr>
            </w:pPr>
            <w:r>
              <w:rPr>
                <w:sz w:val="22"/>
              </w:rPr>
              <w:t>18.008</w:t>
            </w:r>
          </w:p>
        </w:tc>
      </w:tr>
      <w:tr>
        <w:trPr>
          <w:trHeight w:val="317" w:hRule="exact"/>
        </w:trPr>
        <w:tc>
          <w:tcPr>
            <w:tcW w:w="552" w:type="dxa"/>
          </w:tcPr>
          <w:p>
            <w:pPr>
              <w:pStyle w:val="TableParagraph"/>
              <w:spacing w:before="47"/>
              <w:ind w:right="146"/>
              <w:jc w:val="right"/>
              <w:rPr>
                <w:sz w:val="22"/>
              </w:rPr>
            </w:pPr>
            <w:r>
              <w:rPr>
                <w:sz w:val="22"/>
              </w:rPr>
              <w:t>89</w:t>
            </w:r>
          </w:p>
        </w:tc>
        <w:tc>
          <w:tcPr>
            <w:tcW w:w="5274" w:type="dxa"/>
          </w:tcPr>
          <w:p>
            <w:pPr>
              <w:pStyle w:val="TableParagraph"/>
              <w:spacing w:before="47"/>
              <w:ind w:left="64" w:right="679"/>
              <w:rPr>
                <w:sz w:val="22"/>
              </w:rPr>
            </w:pPr>
            <w:r>
              <w:rPr>
                <w:sz w:val="22"/>
              </w:rPr>
              <w:t>Residential segregation in Latin-American city</w:t>
            </w:r>
          </w:p>
        </w:tc>
        <w:tc>
          <w:tcPr>
            <w:tcW w:w="761" w:type="dxa"/>
          </w:tcPr>
          <w:p>
            <w:pPr>
              <w:pStyle w:val="TableParagraph"/>
              <w:spacing w:before="47"/>
              <w:jc w:val="center"/>
              <w:rPr>
                <w:sz w:val="22"/>
              </w:rPr>
            </w:pPr>
            <w:r>
              <w:rPr>
                <w:w w:val="100"/>
                <w:sz w:val="22"/>
              </w:rPr>
              <w:t>4</w:t>
            </w:r>
          </w:p>
        </w:tc>
        <w:tc>
          <w:tcPr>
            <w:tcW w:w="802" w:type="dxa"/>
          </w:tcPr>
          <w:p>
            <w:pPr>
              <w:pStyle w:val="TableParagraph"/>
              <w:spacing w:before="47"/>
              <w:ind w:right="240"/>
              <w:jc w:val="right"/>
              <w:rPr>
                <w:sz w:val="22"/>
              </w:rPr>
            </w:pPr>
            <w:r>
              <w:rPr>
                <w:sz w:val="22"/>
              </w:rPr>
              <w:t>0.3</w:t>
            </w:r>
          </w:p>
        </w:tc>
        <w:tc>
          <w:tcPr>
            <w:tcW w:w="1438" w:type="dxa"/>
          </w:tcPr>
          <w:p>
            <w:pPr>
              <w:pStyle w:val="TableParagraph"/>
              <w:spacing w:before="47"/>
              <w:ind w:left="46" w:right="46"/>
              <w:jc w:val="center"/>
              <w:rPr>
                <w:sz w:val="22"/>
              </w:rPr>
            </w:pPr>
            <w:r>
              <w:rPr>
                <w:sz w:val="22"/>
              </w:rPr>
              <w:t>17.676</w:t>
            </w:r>
          </w:p>
        </w:tc>
      </w:tr>
      <w:tr>
        <w:trPr>
          <w:trHeight w:val="317" w:hRule="exact"/>
        </w:trPr>
        <w:tc>
          <w:tcPr>
            <w:tcW w:w="552" w:type="dxa"/>
          </w:tcPr>
          <w:p>
            <w:pPr>
              <w:pStyle w:val="TableParagraph"/>
              <w:spacing w:before="47"/>
              <w:ind w:right="146"/>
              <w:jc w:val="right"/>
              <w:rPr>
                <w:sz w:val="22"/>
              </w:rPr>
            </w:pPr>
            <w:r>
              <w:rPr>
                <w:sz w:val="22"/>
              </w:rPr>
              <w:t>90</w:t>
            </w:r>
          </w:p>
        </w:tc>
        <w:tc>
          <w:tcPr>
            <w:tcW w:w="5274" w:type="dxa"/>
          </w:tcPr>
          <w:p>
            <w:pPr>
              <w:pStyle w:val="TableParagraph"/>
              <w:spacing w:before="47"/>
              <w:ind w:left="64" w:right="118"/>
              <w:rPr>
                <w:sz w:val="22"/>
              </w:rPr>
            </w:pPr>
            <w:r>
              <w:rPr>
                <w:sz w:val="22"/>
              </w:rPr>
              <w:t>Regions-commodities. Crisis and contagion in Chile</w:t>
            </w:r>
          </w:p>
        </w:tc>
        <w:tc>
          <w:tcPr>
            <w:tcW w:w="761" w:type="dxa"/>
          </w:tcPr>
          <w:p>
            <w:pPr>
              <w:pStyle w:val="TableParagraph"/>
              <w:spacing w:before="47"/>
              <w:jc w:val="center"/>
              <w:rPr>
                <w:sz w:val="22"/>
              </w:rPr>
            </w:pPr>
            <w:r>
              <w:rPr>
                <w:w w:val="100"/>
                <w:sz w:val="22"/>
              </w:rPr>
              <w:t>4</w:t>
            </w:r>
          </w:p>
        </w:tc>
        <w:tc>
          <w:tcPr>
            <w:tcW w:w="802" w:type="dxa"/>
          </w:tcPr>
          <w:p>
            <w:pPr>
              <w:pStyle w:val="TableParagraph"/>
              <w:spacing w:before="47"/>
              <w:ind w:right="240"/>
              <w:jc w:val="right"/>
              <w:rPr>
                <w:sz w:val="22"/>
              </w:rPr>
            </w:pPr>
            <w:r>
              <w:rPr>
                <w:sz w:val="22"/>
              </w:rPr>
              <w:t>0.3</w:t>
            </w:r>
          </w:p>
        </w:tc>
        <w:tc>
          <w:tcPr>
            <w:tcW w:w="1438" w:type="dxa"/>
          </w:tcPr>
          <w:p>
            <w:pPr>
              <w:pStyle w:val="TableParagraph"/>
              <w:spacing w:before="47"/>
              <w:ind w:left="46" w:right="46"/>
              <w:jc w:val="center"/>
              <w:rPr>
                <w:sz w:val="22"/>
              </w:rPr>
            </w:pPr>
            <w:r>
              <w:rPr>
                <w:sz w:val="22"/>
              </w:rPr>
              <w:t>17.344</w:t>
            </w:r>
          </w:p>
        </w:tc>
      </w:tr>
      <w:tr>
        <w:trPr>
          <w:trHeight w:val="314" w:hRule="exact"/>
        </w:trPr>
        <w:tc>
          <w:tcPr>
            <w:tcW w:w="552" w:type="dxa"/>
          </w:tcPr>
          <w:p>
            <w:pPr>
              <w:pStyle w:val="TableParagraph"/>
              <w:spacing w:before="47"/>
              <w:ind w:right="146"/>
              <w:jc w:val="right"/>
              <w:rPr>
                <w:sz w:val="22"/>
              </w:rPr>
            </w:pPr>
            <w:r>
              <w:rPr>
                <w:sz w:val="22"/>
              </w:rPr>
              <w:t>91</w:t>
            </w:r>
          </w:p>
        </w:tc>
        <w:tc>
          <w:tcPr>
            <w:tcW w:w="5274" w:type="dxa"/>
          </w:tcPr>
          <w:p>
            <w:pPr>
              <w:pStyle w:val="TableParagraph"/>
              <w:spacing w:before="47"/>
              <w:ind w:left="64" w:right="679"/>
              <w:rPr>
                <w:sz w:val="22"/>
              </w:rPr>
            </w:pPr>
            <w:r>
              <w:rPr>
                <w:sz w:val="22"/>
              </w:rPr>
              <w:t>Urban reform and the statute of the city</w:t>
            </w:r>
          </w:p>
        </w:tc>
        <w:tc>
          <w:tcPr>
            <w:tcW w:w="761" w:type="dxa"/>
          </w:tcPr>
          <w:p>
            <w:pPr>
              <w:pStyle w:val="TableParagraph"/>
              <w:spacing w:before="47"/>
              <w:jc w:val="center"/>
              <w:rPr>
                <w:sz w:val="22"/>
              </w:rPr>
            </w:pPr>
            <w:r>
              <w:rPr>
                <w:w w:val="100"/>
                <w:sz w:val="22"/>
              </w:rPr>
              <w:t>4</w:t>
            </w:r>
          </w:p>
        </w:tc>
        <w:tc>
          <w:tcPr>
            <w:tcW w:w="802" w:type="dxa"/>
          </w:tcPr>
          <w:p>
            <w:pPr>
              <w:pStyle w:val="TableParagraph"/>
              <w:spacing w:before="47"/>
              <w:ind w:right="240"/>
              <w:jc w:val="right"/>
              <w:rPr>
                <w:sz w:val="22"/>
              </w:rPr>
            </w:pPr>
            <w:r>
              <w:rPr>
                <w:sz w:val="22"/>
              </w:rPr>
              <w:t>0.3</w:t>
            </w:r>
          </w:p>
        </w:tc>
        <w:tc>
          <w:tcPr>
            <w:tcW w:w="1438" w:type="dxa"/>
          </w:tcPr>
          <w:p>
            <w:pPr>
              <w:pStyle w:val="TableParagraph"/>
              <w:spacing w:before="47"/>
              <w:ind w:left="46" w:right="46"/>
              <w:jc w:val="center"/>
              <w:rPr>
                <w:sz w:val="22"/>
              </w:rPr>
            </w:pPr>
            <w:r>
              <w:rPr>
                <w:sz w:val="22"/>
              </w:rPr>
              <w:t>17.012</w:t>
            </w:r>
          </w:p>
        </w:tc>
      </w:tr>
      <w:tr>
        <w:trPr>
          <w:trHeight w:val="545" w:hRule="exact"/>
        </w:trPr>
        <w:tc>
          <w:tcPr>
            <w:tcW w:w="552" w:type="dxa"/>
          </w:tcPr>
          <w:p>
            <w:pPr>
              <w:pStyle w:val="TableParagraph"/>
              <w:spacing w:before="2"/>
              <w:rPr>
                <w:b/>
                <w:sz w:val="24"/>
              </w:rPr>
            </w:pPr>
          </w:p>
          <w:p>
            <w:pPr>
              <w:pStyle w:val="TableParagraph"/>
              <w:ind w:right="146"/>
              <w:jc w:val="right"/>
              <w:rPr>
                <w:sz w:val="22"/>
              </w:rPr>
            </w:pPr>
            <w:r>
              <w:rPr>
                <w:sz w:val="22"/>
              </w:rPr>
              <w:t>92</w:t>
            </w:r>
          </w:p>
        </w:tc>
        <w:tc>
          <w:tcPr>
            <w:tcW w:w="5274" w:type="dxa"/>
          </w:tcPr>
          <w:p>
            <w:pPr>
              <w:pStyle w:val="TableParagraph"/>
              <w:spacing w:before="23"/>
              <w:ind w:left="64" w:right="398"/>
              <w:rPr>
                <w:sz w:val="22"/>
              </w:rPr>
            </w:pPr>
            <w:r>
              <w:rPr>
                <w:sz w:val="22"/>
              </w:rPr>
              <w:t>Public space in current debate: a critical reflexion about post-modern urbanism.</w:t>
            </w:r>
          </w:p>
        </w:tc>
        <w:tc>
          <w:tcPr>
            <w:tcW w:w="761" w:type="dxa"/>
          </w:tcPr>
          <w:p>
            <w:pPr>
              <w:pStyle w:val="TableParagraph"/>
              <w:spacing w:before="2"/>
              <w:rPr>
                <w:b/>
                <w:sz w:val="24"/>
              </w:rPr>
            </w:pPr>
          </w:p>
          <w:p>
            <w:pPr>
              <w:pStyle w:val="TableParagraph"/>
              <w:jc w:val="center"/>
              <w:rPr>
                <w:sz w:val="22"/>
              </w:rPr>
            </w:pPr>
            <w:r>
              <w:rPr>
                <w:w w:val="100"/>
                <w:sz w:val="22"/>
              </w:rPr>
              <w:t>4</w:t>
            </w:r>
          </w:p>
        </w:tc>
        <w:tc>
          <w:tcPr>
            <w:tcW w:w="802" w:type="dxa"/>
          </w:tcPr>
          <w:p>
            <w:pPr>
              <w:pStyle w:val="TableParagraph"/>
              <w:spacing w:before="2"/>
              <w:rPr>
                <w:b/>
                <w:sz w:val="24"/>
              </w:rPr>
            </w:pPr>
          </w:p>
          <w:p>
            <w:pPr>
              <w:pStyle w:val="TableParagraph"/>
              <w:ind w:right="240"/>
              <w:jc w:val="right"/>
              <w:rPr>
                <w:sz w:val="22"/>
              </w:rPr>
            </w:pPr>
            <w:r>
              <w:rPr>
                <w:sz w:val="22"/>
              </w:rPr>
              <w:t>0.3</w:t>
            </w:r>
          </w:p>
        </w:tc>
        <w:tc>
          <w:tcPr>
            <w:tcW w:w="1438" w:type="dxa"/>
          </w:tcPr>
          <w:p>
            <w:pPr>
              <w:pStyle w:val="TableParagraph"/>
              <w:spacing w:before="2"/>
              <w:rPr>
                <w:b/>
                <w:sz w:val="24"/>
              </w:rPr>
            </w:pPr>
          </w:p>
          <w:p>
            <w:pPr>
              <w:pStyle w:val="TableParagraph"/>
              <w:ind w:left="46" w:right="46"/>
              <w:jc w:val="center"/>
              <w:rPr>
                <w:sz w:val="22"/>
              </w:rPr>
            </w:pPr>
            <w:r>
              <w:rPr>
                <w:sz w:val="22"/>
              </w:rPr>
              <w:t>16.680</w:t>
            </w:r>
          </w:p>
        </w:tc>
      </w:tr>
      <w:tr>
        <w:trPr>
          <w:trHeight w:val="770" w:hRule="exact"/>
        </w:trPr>
        <w:tc>
          <w:tcPr>
            <w:tcW w:w="552" w:type="dxa"/>
          </w:tcPr>
          <w:p>
            <w:pPr>
              <w:pStyle w:val="TableParagraph"/>
              <w:rPr>
                <w:b/>
                <w:sz w:val="22"/>
              </w:rPr>
            </w:pPr>
          </w:p>
          <w:p>
            <w:pPr>
              <w:pStyle w:val="TableParagraph"/>
              <w:spacing w:before="6"/>
              <w:rPr>
                <w:b/>
                <w:sz w:val="21"/>
              </w:rPr>
            </w:pPr>
          </w:p>
          <w:p>
            <w:pPr>
              <w:pStyle w:val="TableParagraph"/>
              <w:ind w:right="146"/>
              <w:jc w:val="right"/>
              <w:rPr>
                <w:sz w:val="22"/>
              </w:rPr>
            </w:pPr>
            <w:r>
              <w:rPr>
                <w:sz w:val="22"/>
              </w:rPr>
              <w:t>93</w:t>
            </w:r>
          </w:p>
        </w:tc>
        <w:tc>
          <w:tcPr>
            <w:tcW w:w="5274" w:type="dxa"/>
          </w:tcPr>
          <w:p>
            <w:pPr>
              <w:pStyle w:val="TableParagraph"/>
              <w:ind w:left="64" w:right="410"/>
              <w:rPr>
                <w:sz w:val="22"/>
              </w:rPr>
            </w:pPr>
            <w:r>
              <w:rPr>
                <w:sz w:val="22"/>
              </w:rPr>
              <w:t>Urban imaginary and urban imagination. For a journey through common places of urban cultural studies</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4</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0.3</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16.349</w:t>
            </w:r>
          </w:p>
        </w:tc>
      </w:tr>
      <w:tr>
        <w:trPr>
          <w:trHeight w:val="805" w:hRule="exact"/>
        </w:trPr>
        <w:tc>
          <w:tcPr>
            <w:tcW w:w="552" w:type="dxa"/>
          </w:tcPr>
          <w:p>
            <w:pPr>
              <w:pStyle w:val="TableParagraph"/>
              <w:rPr>
                <w:b/>
                <w:sz w:val="22"/>
              </w:rPr>
            </w:pPr>
          </w:p>
          <w:p>
            <w:pPr>
              <w:pStyle w:val="TableParagraph"/>
              <w:spacing w:before="8"/>
              <w:rPr>
                <w:b/>
                <w:sz w:val="24"/>
              </w:rPr>
            </w:pPr>
          </w:p>
          <w:p>
            <w:pPr>
              <w:pStyle w:val="TableParagraph"/>
              <w:spacing w:before="1"/>
              <w:ind w:right="146"/>
              <w:jc w:val="right"/>
              <w:rPr>
                <w:sz w:val="22"/>
              </w:rPr>
            </w:pPr>
            <w:r>
              <w:rPr>
                <w:sz w:val="22"/>
              </w:rPr>
              <w:t>94</w:t>
            </w:r>
          </w:p>
        </w:tc>
        <w:tc>
          <w:tcPr>
            <w:tcW w:w="5274" w:type="dxa"/>
          </w:tcPr>
          <w:p>
            <w:pPr>
              <w:pStyle w:val="TableParagraph"/>
              <w:spacing w:before="31"/>
              <w:ind w:left="64" w:right="105"/>
              <w:rPr>
                <w:sz w:val="22"/>
              </w:rPr>
            </w:pPr>
            <w:r>
              <w:rPr>
                <w:sz w:val="22"/>
              </w:rPr>
              <w:t>Urban land reserves trajectory in Mexico: Irregularity, urban development and municipal administration after the constitutional reform of 1992</w:t>
            </w:r>
          </w:p>
        </w:tc>
        <w:tc>
          <w:tcPr>
            <w:tcW w:w="761" w:type="dxa"/>
          </w:tcPr>
          <w:p>
            <w:pPr>
              <w:pStyle w:val="TableParagraph"/>
              <w:rPr>
                <w:b/>
                <w:sz w:val="22"/>
              </w:rPr>
            </w:pPr>
          </w:p>
          <w:p>
            <w:pPr>
              <w:pStyle w:val="TableParagraph"/>
              <w:spacing w:before="8"/>
              <w:rPr>
                <w:b/>
                <w:sz w:val="24"/>
              </w:rPr>
            </w:pPr>
          </w:p>
          <w:p>
            <w:pPr>
              <w:pStyle w:val="TableParagraph"/>
              <w:spacing w:before="1"/>
              <w:jc w:val="center"/>
              <w:rPr>
                <w:sz w:val="22"/>
              </w:rPr>
            </w:pPr>
            <w:r>
              <w:rPr>
                <w:w w:val="100"/>
                <w:sz w:val="22"/>
              </w:rPr>
              <w:t>4</w:t>
            </w:r>
          </w:p>
        </w:tc>
        <w:tc>
          <w:tcPr>
            <w:tcW w:w="802" w:type="dxa"/>
          </w:tcPr>
          <w:p>
            <w:pPr>
              <w:pStyle w:val="TableParagraph"/>
              <w:rPr>
                <w:b/>
                <w:sz w:val="22"/>
              </w:rPr>
            </w:pPr>
          </w:p>
          <w:p>
            <w:pPr>
              <w:pStyle w:val="TableParagraph"/>
              <w:spacing w:before="8"/>
              <w:rPr>
                <w:b/>
                <w:sz w:val="24"/>
              </w:rPr>
            </w:pPr>
          </w:p>
          <w:p>
            <w:pPr>
              <w:pStyle w:val="TableParagraph"/>
              <w:spacing w:before="1"/>
              <w:ind w:right="240"/>
              <w:jc w:val="right"/>
              <w:rPr>
                <w:sz w:val="22"/>
              </w:rPr>
            </w:pPr>
            <w:r>
              <w:rPr>
                <w:sz w:val="22"/>
              </w:rPr>
              <w:t>0.3</w:t>
            </w:r>
          </w:p>
        </w:tc>
        <w:tc>
          <w:tcPr>
            <w:tcW w:w="1438" w:type="dxa"/>
          </w:tcPr>
          <w:p>
            <w:pPr>
              <w:pStyle w:val="TableParagraph"/>
              <w:rPr>
                <w:b/>
                <w:sz w:val="22"/>
              </w:rPr>
            </w:pPr>
          </w:p>
          <w:p>
            <w:pPr>
              <w:pStyle w:val="TableParagraph"/>
              <w:spacing w:before="8"/>
              <w:rPr>
                <w:b/>
                <w:sz w:val="24"/>
              </w:rPr>
            </w:pPr>
          </w:p>
          <w:p>
            <w:pPr>
              <w:pStyle w:val="TableParagraph"/>
              <w:spacing w:before="1"/>
              <w:ind w:left="46" w:right="46"/>
              <w:jc w:val="center"/>
              <w:rPr>
                <w:sz w:val="22"/>
              </w:rPr>
            </w:pPr>
            <w:r>
              <w:rPr>
                <w:sz w:val="22"/>
              </w:rPr>
              <w:t>16.017</w:t>
            </w:r>
          </w:p>
        </w:tc>
      </w:tr>
      <w:tr>
        <w:trPr>
          <w:trHeight w:val="545" w:hRule="exact"/>
        </w:trPr>
        <w:tc>
          <w:tcPr>
            <w:tcW w:w="552" w:type="dxa"/>
          </w:tcPr>
          <w:p>
            <w:pPr>
              <w:pStyle w:val="TableParagraph"/>
              <w:spacing w:before="2"/>
              <w:rPr>
                <w:b/>
                <w:sz w:val="24"/>
              </w:rPr>
            </w:pPr>
          </w:p>
          <w:p>
            <w:pPr>
              <w:pStyle w:val="TableParagraph"/>
              <w:ind w:right="146"/>
              <w:jc w:val="right"/>
              <w:rPr>
                <w:sz w:val="22"/>
              </w:rPr>
            </w:pPr>
            <w:r>
              <w:rPr>
                <w:sz w:val="22"/>
              </w:rPr>
              <w:t>95</w:t>
            </w:r>
          </w:p>
        </w:tc>
        <w:tc>
          <w:tcPr>
            <w:tcW w:w="5274" w:type="dxa"/>
          </w:tcPr>
          <w:p>
            <w:pPr>
              <w:pStyle w:val="TableParagraph"/>
              <w:spacing w:before="23"/>
              <w:ind w:left="64" w:right="166"/>
              <w:rPr>
                <w:sz w:val="22"/>
              </w:rPr>
            </w:pPr>
            <w:r>
              <w:rPr>
                <w:sz w:val="22"/>
              </w:rPr>
              <w:t>Industrial diversification and territorial specialization in the Buenos Aires Metropolitan Region</w:t>
            </w:r>
          </w:p>
        </w:tc>
        <w:tc>
          <w:tcPr>
            <w:tcW w:w="761" w:type="dxa"/>
          </w:tcPr>
          <w:p>
            <w:pPr>
              <w:pStyle w:val="TableParagraph"/>
              <w:spacing w:before="2"/>
              <w:rPr>
                <w:b/>
                <w:sz w:val="24"/>
              </w:rPr>
            </w:pPr>
          </w:p>
          <w:p>
            <w:pPr>
              <w:pStyle w:val="TableParagraph"/>
              <w:jc w:val="center"/>
              <w:rPr>
                <w:sz w:val="22"/>
              </w:rPr>
            </w:pPr>
            <w:r>
              <w:rPr>
                <w:w w:val="100"/>
                <w:sz w:val="22"/>
              </w:rPr>
              <w:t>4</w:t>
            </w:r>
          </w:p>
        </w:tc>
        <w:tc>
          <w:tcPr>
            <w:tcW w:w="802" w:type="dxa"/>
          </w:tcPr>
          <w:p>
            <w:pPr>
              <w:pStyle w:val="TableParagraph"/>
              <w:spacing w:before="2"/>
              <w:rPr>
                <w:b/>
                <w:sz w:val="24"/>
              </w:rPr>
            </w:pPr>
          </w:p>
          <w:p>
            <w:pPr>
              <w:pStyle w:val="TableParagraph"/>
              <w:ind w:right="240"/>
              <w:jc w:val="right"/>
              <w:rPr>
                <w:sz w:val="22"/>
              </w:rPr>
            </w:pPr>
            <w:r>
              <w:rPr>
                <w:sz w:val="22"/>
              </w:rPr>
              <w:t>0.3</w:t>
            </w:r>
          </w:p>
        </w:tc>
        <w:tc>
          <w:tcPr>
            <w:tcW w:w="1438" w:type="dxa"/>
          </w:tcPr>
          <w:p>
            <w:pPr>
              <w:pStyle w:val="TableParagraph"/>
              <w:spacing w:before="2"/>
              <w:rPr>
                <w:b/>
                <w:sz w:val="24"/>
              </w:rPr>
            </w:pPr>
          </w:p>
          <w:p>
            <w:pPr>
              <w:pStyle w:val="TableParagraph"/>
              <w:ind w:left="46" w:right="46"/>
              <w:jc w:val="center"/>
              <w:rPr>
                <w:sz w:val="22"/>
              </w:rPr>
            </w:pPr>
            <w:r>
              <w:rPr>
                <w:sz w:val="22"/>
              </w:rPr>
              <w:t>15.685</w:t>
            </w:r>
          </w:p>
        </w:tc>
      </w:tr>
      <w:tr>
        <w:trPr>
          <w:trHeight w:val="770" w:hRule="exact"/>
        </w:trPr>
        <w:tc>
          <w:tcPr>
            <w:tcW w:w="552" w:type="dxa"/>
          </w:tcPr>
          <w:p>
            <w:pPr>
              <w:pStyle w:val="TableParagraph"/>
              <w:rPr>
                <w:b/>
                <w:sz w:val="22"/>
              </w:rPr>
            </w:pPr>
          </w:p>
          <w:p>
            <w:pPr>
              <w:pStyle w:val="TableParagraph"/>
              <w:spacing w:before="6"/>
              <w:rPr>
                <w:b/>
                <w:sz w:val="21"/>
              </w:rPr>
            </w:pPr>
          </w:p>
          <w:p>
            <w:pPr>
              <w:pStyle w:val="TableParagraph"/>
              <w:ind w:right="146"/>
              <w:jc w:val="right"/>
              <w:rPr>
                <w:sz w:val="22"/>
              </w:rPr>
            </w:pPr>
            <w:r>
              <w:rPr>
                <w:sz w:val="22"/>
              </w:rPr>
              <w:t>96</w:t>
            </w:r>
          </w:p>
        </w:tc>
        <w:tc>
          <w:tcPr>
            <w:tcW w:w="5274" w:type="dxa"/>
          </w:tcPr>
          <w:p>
            <w:pPr>
              <w:pStyle w:val="TableParagraph"/>
              <w:ind w:left="64" w:right="460"/>
              <w:rPr>
                <w:sz w:val="22"/>
              </w:rPr>
            </w:pPr>
            <w:r>
              <w:rPr>
                <w:sz w:val="22"/>
              </w:rPr>
              <w:t>Territorial analysis of the growth and crisis of the construction sector in Spain and the Andalusian Autonomous Community</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3</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15.353</w:t>
            </w:r>
          </w:p>
        </w:tc>
      </w:tr>
      <w:tr>
        <w:trPr>
          <w:trHeight w:val="314" w:hRule="exact"/>
        </w:trPr>
        <w:tc>
          <w:tcPr>
            <w:tcW w:w="552" w:type="dxa"/>
          </w:tcPr>
          <w:p>
            <w:pPr>
              <w:pStyle w:val="TableParagraph"/>
              <w:spacing w:before="47"/>
              <w:ind w:right="146"/>
              <w:jc w:val="right"/>
              <w:rPr>
                <w:sz w:val="22"/>
              </w:rPr>
            </w:pPr>
            <w:r>
              <w:rPr>
                <w:sz w:val="22"/>
              </w:rPr>
              <w:t>97</w:t>
            </w:r>
          </w:p>
        </w:tc>
        <w:tc>
          <w:tcPr>
            <w:tcW w:w="5274" w:type="dxa"/>
          </w:tcPr>
          <w:p>
            <w:pPr>
              <w:pStyle w:val="TableParagraph"/>
              <w:spacing w:before="47"/>
              <w:ind w:left="64" w:right="679"/>
              <w:rPr>
                <w:sz w:val="22"/>
              </w:rPr>
            </w:pPr>
            <w:r>
              <w:rPr>
                <w:sz w:val="22"/>
              </w:rPr>
              <w:t>Anatomy of Barcelona's urban sprawl</w:t>
            </w:r>
          </w:p>
        </w:tc>
        <w:tc>
          <w:tcPr>
            <w:tcW w:w="761" w:type="dxa"/>
          </w:tcPr>
          <w:p>
            <w:pPr>
              <w:pStyle w:val="TableParagraph"/>
              <w:spacing w:before="47"/>
              <w:jc w:val="center"/>
              <w:rPr>
                <w:sz w:val="22"/>
              </w:rPr>
            </w:pPr>
            <w:r>
              <w:rPr>
                <w:w w:val="100"/>
                <w:sz w:val="22"/>
              </w:rPr>
              <w:t>3</w:t>
            </w:r>
          </w:p>
        </w:tc>
        <w:tc>
          <w:tcPr>
            <w:tcW w:w="802" w:type="dxa"/>
          </w:tcPr>
          <w:p>
            <w:pPr>
              <w:pStyle w:val="TableParagraph"/>
              <w:spacing w:before="47"/>
              <w:ind w:right="240"/>
              <w:jc w:val="right"/>
              <w:rPr>
                <w:sz w:val="22"/>
              </w:rPr>
            </w:pPr>
            <w:r>
              <w:rPr>
                <w:sz w:val="22"/>
              </w:rPr>
              <w:t>0.2</w:t>
            </w:r>
          </w:p>
        </w:tc>
        <w:tc>
          <w:tcPr>
            <w:tcW w:w="1438" w:type="dxa"/>
          </w:tcPr>
          <w:p>
            <w:pPr>
              <w:pStyle w:val="TableParagraph"/>
              <w:spacing w:before="47"/>
              <w:ind w:left="46" w:right="46"/>
              <w:jc w:val="center"/>
              <w:rPr>
                <w:sz w:val="22"/>
              </w:rPr>
            </w:pPr>
            <w:r>
              <w:rPr>
                <w:sz w:val="22"/>
              </w:rPr>
              <w:t>15.104</w:t>
            </w:r>
          </w:p>
        </w:tc>
      </w:tr>
      <w:tr>
        <w:trPr>
          <w:trHeight w:val="806" w:hRule="exact"/>
        </w:trPr>
        <w:tc>
          <w:tcPr>
            <w:tcW w:w="552" w:type="dxa"/>
          </w:tcPr>
          <w:p>
            <w:pPr>
              <w:pStyle w:val="TableParagraph"/>
              <w:rPr>
                <w:b/>
                <w:sz w:val="22"/>
              </w:rPr>
            </w:pPr>
          </w:p>
          <w:p>
            <w:pPr>
              <w:pStyle w:val="TableParagraph"/>
              <w:spacing w:before="8"/>
              <w:rPr>
                <w:b/>
                <w:sz w:val="24"/>
              </w:rPr>
            </w:pPr>
          </w:p>
          <w:p>
            <w:pPr>
              <w:pStyle w:val="TableParagraph"/>
              <w:ind w:right="146"/>
              <w:jc w:val="right"/>
              <w:rPr>
                <w:sz w:val="22"/>
              </w:rPr>
            </w:pPr>
            <w:r>
              <w:rPr>
                <w:sz w:val="22"/>
              </w:rPr>
              <w:t>98</w:t>
            </w:r>
          </w:p>
        </w:tc>
        <w:tc>
          <w:tcPr>
            <w:tcW w:w="5274" w:type="dxa"/>
          </w:tcPr>
          <w:p>
            <w:pPr>
              <w:pStyle w:val="TableParagraph"/>
              <w:spacing w:before="31"/>
              <w:ind w:left="64" w:right="227"/>
              <w:rPr>
                <w:sz w:val="22"/>
              </w:rPr>
            </w:pPr>
            <w:r>
              <w:rPr>
                <w:sz w:val="22"/>
              </w:rPr>
              <w:t>Assets and opportunities structures for mobility. An analytical approach to the study of accessibility by public transport, welfare and equity</w:t>
            </w:r>
          </w:p>
        </w:tc>
        <w:tc>
          <w:tcPr>
            <w:tcW w:w="761" w:type="dxa"/>
          </w:tcPr>
          <w:p>
            <w:pPr>
              <w:pStyle w:val="TableParagraph"/>
              <w:rPr>
                <w:b/>
                <w:sz w:val="22"/>
              </w:rPr>
            </w:pPr>
          </w:p>
          <w:p>
            <w:pPr>
              <w:pStyle w:val="TableParagraph"/>
              <w:spacing w:before="8"/>
              <w:rPr>
                <w:b/>
                <w:sz w:val="24"/>
              </w:rPr>
            </w:pPr>
          </w:p>
          <w:p>
            <w:pPr>
              <w:pStyle w:val="TableParagraph"/>
              <w:jc w:val="center"/>
              <w:rPr>
                <w:sz w:val="22"/>
              </w:rPr>
            </w:pPr>
            <w:r>
              <w:rPr>
                <w:w w:val="100"/>
                <w:sz w:val="22"/>
              </w:rPr>
              <w:t>3</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8"/>
              <w:rPr>
                <w:b/>
                <w:sz w:val="24"/>
              </w:rPr>
            </w:pPr>
          </w:p>
          <w:p>
            <w:pPr>
              <w:pStyle w:val="TableParagraph"/>
              <w:ind w:left="46" w:right="46"/>
              <w:jc w:val="center"/>
              <w:rPr>
                <w:sz w:val="22"/>
              </w:rPr>
            </w:pPr>
            <w:r>
              <w:rPr>
                <w:sz w:val="22"/>
              </w:rPr>
              <w:t>14.855</w:t>
            </w:r>
          </w:p>
        </w:tc>
      </w:tr>
      <w:tr>
        <w:trPr>
          <w:trHeight w:val="545" w:hRule="exact"/>
        </w:trPr>
        <w:tc>
          <w:tcPr>
            <w:tcW w:w="552" w:type="dxa"/>
          </w:tcPr>
          <w:p>
            <w:pPr>
              <w:pStyle w:val="TableParagraph"/>
              <w:rPr>
                <w:b/>
                <w:sz w:val="24"/>
              </w:rPr>
            </w:pPr>
          </w:p>
          <w:p>
            <w:pPr>
              <w:pStyle w:val="TableParagraph"/>
              <w:ind w:right="146"/>
              <w:jc w:val="right"/>
              <w:rPr>
                <w:sz w:val="22"/>
              </w:rPr>
            </w:pPr>
            <w:r>
              <w:rPr>
                <w:sz w:val="22"/>
              </w:rPr>
              <w:t>99</w:t>
            </w:r>
          </w:p>
        </w:tc>
        <w:tc>
          <w:tcPr>
            <w:tcW w:w="5274" w:type="dxa"/>
          </w:tcPr>
          <w:p>
            <w:pPr>
              <w:pStyle w:val="TableParagraph"/>
              <w:spacing w:before="24"/>
              <w:ind w:left="64" w:right="117"/>
              <w:rPr>
                <w:sz w:val="22"/>
              </w:rPr>
            </w:pPr>
            <w:r>
              <w:rPr>
                <w:sz w:val="22"/>
              </w:rPr>
              <w:t>Creative economy and urban development in Spain: an approach to their spatial patterns</w:t>
            </w:r>
          </w:p>
        </w:tc>
        <w:tc>
          <w:tcPr>
            <w:tcW w:w="761" w:type="dxa"/>
          </w:tcPr>
          <w:p>
            <w:pPr>
              <w:pStyle w:val="TableParagraph"/>
              <w:rPr>
                <w:b/>
                <w:sz w:val="24"/>
              </w:rPr>
            </w:pPr>
          </w:p>
          <w:p>
            <w:pPr>
              <w:pStyle w:val="TableParagraph"/>
              <w:jc w:val="center"/>
              <w:rPr>
                <w:sz w:val="22"/>
              </w:rPr>
            </w:pPr>
            <w:r>
              <w:rPr>
                <w:w w:val="100"/>
                <w:sz w:val="22"/>
              </w:rPr>
              <w:t>3</w:t>
            </w:r>
          </w:p>
        </w:tc>
        <w:tc>
          <w:tcPr>
            <w:tcW w:w="802" w:type="dxa"/>
          </w:tcPr>
          <w:p>
            <w:pPr>
              <w:pStyle w:val="TableParagraph"/>
              <w:rPr>
                <w:b/>
                <w:sz w:val="24"/>
              </w:rPr>
            </w:pPr>
          </w:p>
          <w:p>
            <w:pPr>
              <w:pStyle w:val="TableParagraph"/>
              <w:ind w:right="240"/>
              <w:jc w:val="right"/>
              <w:rPr>
                <w:sz w:val="22"/>
              </w:rPr>
            </w:pPr>
            <w:r>
              <w:rPr>
                <w:sz w:val="22"/>
              </w:rPr>
              <w:t>0.2</w:t>
            </w:r>
          </w:p>
        </w:tc>
        <w:tc>
          <w:tcPr>
            <w:tcW w:w="1438" w:type="dxa"/>
          </w:tcPr>
          <w:p>
            <w:pPr>
              <w:pStyle w:val="TableParagraph"/>
              <w:rPr>
                <w:b/>
                <w:sz w:val="24"/>
              </w:rPr>
            </w:pPr>
          </w:p>
          <w:p>
            <w:pPr>
              <w:pStyle w:val="TableParagraph"/>
              <w:ind w:left="46" w:right="46"/>
              <w:jc w:val="center"/>
              <w:rPr>
                <w:sz w:val="22"/>
              </w:rPr>
            </w:pPr>
            <w:r>
              <w:rPr>
                <w:sz w:val="22"/>
              </w:rPr>
              <w:t>14.606</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right="86"/>
              <w:jc w:val="right"/>
              <w:rPr>
                <w:sz w:val="22"/>
              </w:rPr>
            </w:pPr>
            <w:r>
              <w:rPr>
                <w:sz w:val="22"/>
              </w:rPr>
              <w:t>100</w:t>
            </w:r>
          </w:p>
        </w:tc>
        <w:tc>
          <w:tcPr>
            <w:tcW w:w="5274" w:type="dxa"/>
          </w:tcPr>
          <w:p>
            <w:pPr>
              <w:pStyle w:val="TableParagraph"/>
              <w:ind w:left="64" w:right="276"/>
              <w:rPr>
                <w:sz w:val="22"/>
              </w:rPr>
            </w:pPr>
            <w:r>
              <w:rPr>
                <w:sz w:val="22"/>
              </w:rPr>
              <w:t>Global city formation, real estate economy and the transnationalization of urban spaces. The case of Mexico City</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3</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14.357</w:t>
            </w:r>
          </w:p>
        </w:tc>
      </w:tr>
      <w:tr>
        <w:trPr>
          <w:trHeight w:val="516" w:hRule="exact"/>
        </w:trPr>
        <w:tc>
          <w:tcPr>
            <w:tcW w:w="552" w:type="dxa"/>
          </w:tcPr>
          <w:p>
            <w:pPr>
              <w:pStyle w:val="TableParagraph"/>
              <w:spacing w:before="7"/>
              <w:rPr>
                <w:b/>
                <w:sz w:val="21"/>
              </w:rPr>
            </w:pPr>
          </w:p>
          <w:p>
            <w:pPr>
              <w:pStyle w:val="TableParagraph"/>
              <w:ind w:right="86"/>
              <w:jc w:val="right"/>
              <w:rPr>
                <w:sz w:val="22"/>
              </w:rPr>
            </w:pPr>
            <w:r>
              <w:rPr>
                <w:sz w:val="22"/>
              </w:rPr>
              <w:t>101</w:t>
            </w:r>
          </w:p>
        </w:tc>
        <w:tc>
          <w:tcPr>
            <w:tcW w:w="5274" w:type="dxa"/>
          </w:tcPr>
          <w:p>
            <w:pPr>
              <w:pStyle w:val="TableParagraph"/>
              <w:spacing w:line="242" w:lineRule="auto"/>
              <w:ind w:left="64" w:right="153"/>
              <w:rPr>
                <w:sz w:val="22"/>
              </w:rPr>
            </w:pPr>
            <w:r>
              <w:rPr>
                <w:sz w:val="22"/>
              </w:rPr>
              <w:t>Socio-demographic differentiation of urban space in Mexico City</w:t>
            </w:r>
          </w:p>
        </w:tc>
        <w:tc>
          <w:tcPr>
            <w:tcW w:w="761" w:type="dxa"/>
          </w:tcPr>
          <w:p>
            <w:pPr>
              <w:pStyle w:val="TableParagraph"/>
              <w:spacing w:before="7"/>
              <w:rPr>
                <w:b/>
                <w:sz w:val="21"/>
              </w:rPr>
            </w:pPr>
          </w:p>
          <w:p>
            <w:pPr>
              <w:pStyle w:val="TableParagraph"/>
              <w:jc w:val="center"/>
              <w:rPr>
                <w:sz w:val="22"/>
              </w:rPr>
            </w:pPr>
            <w:r>
              <w:rPr>
                <w:w w:val="100"/>
                <w:sz w:val="22"/>
              </w:rPr>
              <w:t>3</w:t>
            </w:r>
          </w:p>
        </w:tc>
        <w:tc>
          <w:tcPr>
            <w:tcW w:w="802" w:type="dxa"/>
          </w:tcPr>
          <w:p>
            <w:pPr>
              <w:pStyle w:val="TableParagraph"/>
              <w:spacing w:before="7"/>
              <w:rPr>
                <w:b/>
                <w:sz w:val="21"/>
              </w:rPr>
            </w:pPr>
          </w:p>
          <w:p>
            <w:pPr>
              <w:pStyle w:val="TableParagraph"/>
              <w:ind w:right="240"/>
              <w:jc w:val="right"/>
              <w:rPr>
                <w:sz w:val="22"/>
              </w:rPr>
            </w:pPr>
            <w:r>
              <w:rPr>
                <w:sz w:val="22"/>
              </w:rPr>
              <w:t>0.2</w:t>
            </w:r>
          </w:p>
        </w:tc>
        <w:tc>
          <w:tcPr>
            <w:tcW w:w="1438" w:type="dxa"/>
          </w:tcPr>
          <w:p>
            <w:pPr>
              <w:pStyle w:val="TableParagraph"/>
              <w:spacing w:before="7"/>
              <w:rPr>
                <w:b/>
                <w:sz w:val="21"/>
              </w:rPr>
            </w:pPr>
          </w:p>
          <w:p>
            <w:pPr>
              <w:pStyle w:val="TableParagraph"/>
              <w:ind w:left="46" w:right="46"/>
              <w:jc w:val="center"/>
              <w:rPr>
                <w:sz w:val="22"/>
              </w:rPr>
            </w:pPr>
            <w:r>
              <w:rPr>
                <w:sz w:val="22"/>
              </w:rPr>
              <w:t>14.108</w:t>
            </w:r>
          </w:p>
        </w:tc>
      </w:tr>
      <w:tr>
        <w:trPr>
          <w:trHeight w:val="545" w:hRule="exact"/>
        </w:trPr>
        <w:tc>
          <w:tcPr>
            <w:tcW w:w="552" w:type="dxa"/>
          </w:tcPr>
          <w:p>
            <w:pPr>
              <w:pStyle w:val="TableParagraph"/>
              <w:spacing w:before="2"/>
              <w:rPr>
                <w:b/>
                <w:sz w:val="24"/>
              </w:rPr>
            </w:pPr>
          </w:p>
          <w:p>
            <w:pPr>
              <w:pStyle w:val="TableParagraph"/>
              <w:ind w:right="86"/>
              <w:jc w:val="right"/>
              <w:rPr>
                <w:sz w:val="22"/>
              </w:rPr>
            </w:pPr>
            <w:r>
              <w:rPr>
                <w:sz w:val="22"/>
              </w:rPr>
              <w:t>102</w:t>
            </w:r>
          </w:p>
        </w:tc>
        <w:tc>
          <w:tcPr>
            <w:tcW w:w="5274" w:type="dxa"/>
          </w:tcPr>
          <w:p>
            <w:pPr>
              <w:pStyle w:val="TableParagraph"/>
              <w:spacing w:before="23"/>
              <w:ind w:left="64" w:right="68"/>
              <w:rPr>
                <w:sz w:val="22"/>
              </w:rPr>
            </w:pPr>
            <w:r>
              <w:rPr>
                <w:sz w:val="22"/>
              </w:rPr>
              <w:t>Distribution, extent and accessibility of green spaces in Santiago de Chile</w:t>
            </w:r>
          </w:p>
        </w:tc>
        <w:tc>
          <w:tcPr>
            <w:tcW w:w="761" w:type="dxa"/>
          </w:tcPr>
          <w:p>
            <w:pPr>
              <w:pStyle w:val="TableParagraph"/>
              <w:spacing w:before="2"/>
              <w:rPr>
                <w:b/>
                <w:sz w:val="24"/>
              </w:rPr>
            </w:pPr>
          </w:p>
          <w:p>
            <w:pPr>
              <w:pStyle w:val="TableParagraph"/>
              <w:jc w:val="center"/>
              <w:rPr>
                <w:sz w:val="22"/>
              </w:rPr>
            </w:pPr>
            <w:r>
              <w:rPr>
                <w:w w:val="100"/>
                <w:sz w:val="22"/>
              </w:rPr>
              <w:t>3</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6" w:right="46"/>
              <w:jc w:val="center"/>
              <w:rPr>
                <w:sz w:val="22"/>
              </w:rPr>
            </w:pPr>
            <w:r>
              <w:rPr>
                <w:sz w:val="22"/>
              </w:rPr>
              <w:t>13.859</w:t>
            </w:r>
          </w:p>
        </w:tc>
      </w:tr>
      <w:tr>
        <w:trPr>
          <w:trHeight w:val="317" w:hRule="exact"/>
        </w:trPr>
        <w:tc>
          <w:tcPr>
            <w:tcW w:w="552" w:type="dxa"/>
          </w:tcPr>
          <w:p>
            <w:pPr>
              <w:pStyle w:val="TableParagraph"/>
              <w:spacing w:before="47"/>
              <w:ind w:right="86"/>
              <w:jc w:val="right"/>
              <w:rPr>
                <w:sz w:val="22"/>
              </w:rPr>
            </w:pPr>
            <w:r>
              <w:rPr>
                <w:sz w:val="22"/>
              </w:rPr>
              <w:t>103</w:t>
            </w:r>
          </w:p>
        </w:tc>
        <w:tc>
          <w:tcPr>
            <w:tcW w:w="5274" w:type="dxa"/>
          </w:tcPr>
          <w:p>
            <w:pPr>
              <w:pStyle w:val="TableParagraph"/>
              <w:spacing w:before="47"/>
              <w:ind w:left="64" w:right="679"/>
              <w:rPr>
                <w:sz w:val="22"/>
              </w:rPr>
            </w:pPr>
            <w:r>
              <w:rPr>
                <w:sz w:val="22"/>
              </w:rPr>
              <w:t>The great impact of the subway</w:t>
            </w:r>
          </w:p>
        </w:tc>
        <w:tc>
          <w:tcPr>
            <w:tcW w:w="761" w:type="dxa"/>
          </w:tcPr>
          <w:p>
            <w:pPr>
              <w:pStyle w:val="TableParagraph"/>
              <w:spacing w:before="47"/>
              <w:jc w:val="center"/>
              <w:rPr>
                <w:sz w:val="22"/>
              </w:rPr>
            </w:pPr>
            <w:r>
              <w:rPr>
                <w:w w:val="100"/>
                <w:sz w:val="22"/>
              </w:rPr>
              <w:t>3</w:t>
            </w:r>
          </w:p>
        </w:tc>
        <w:tc>
          <w:tcPr>
            <w:tcW w:w="802" w:type="dxa"/>
          </w:tcPr>
          <w:p>
            <w:pPr>
              <w:pStyle w:val="TableParagraph"/>
              <w:spacing w:before="47"/>
              <w:ind w:right="240"/>
              <w:jc w:val="right"/>
              <w:rPr>
                <w:sz w:val="22"/>
              </w:rPr>
            </w:pPr>
            <w:r>
              <w:rPr>
                <w:sz w:val="22"/>
              </w:rPr>
              <w:t>0.2</w:t>
            </w:r>
          </w:p>
        </w:tc>
        <w:tc>
          <w:tcPr>
            <w:tcW w:w="1438" w:type="dxa"/>
          </w:tcPr>
          <w:p>
            <w:pPr>
              <w:pStyle w:val="TableParagraph"/>
              <w:spacing w:before="47"/>
              <w:ind w:left="46" w:right="46"/>
              <w:jc w:val="center"/>
              <w:rPr>
                <w:sz w:val="22"/>
              </w:rPr>
            </w:pPr>
            <w:r>
              <w:rPr>
                <w:sz w:val="22"/>
              </w:rPr>
              <w:t>13.610</w:t>
            </w:r>
          </w:p>
        </w:tc>
      </w:tr>
      <w:tr>
        <w:trPr>
          <w:trHeight w:val="769" w:hRule="exact"/>
        </w:trPr>
        <w:tc>
          <w:tcPr>
            <w:tcW w:w="552" w:type="dxa"/>
          </w:tcPr>
          <w:p>
            <w:pPr>
              <w:pStyle w:val="TableParagraph"/>
              <w:rPr>
                <w:b/>
                <w:sz w:val="22"/>
              </w:rPr>
            </w:pPr>
          </w:p>
          <w:p>
            <w:pPr>
              <w:pStyle w:val="TableParagraph"/>
              <w:spacing w:before="7"/>
              <w:rPr>
                <w:b/>
                <w:sz w:val="21"/>
              </w:rPr>
            </w:pPr>
          </w:p>
          <w:p>
            <w:pPr>
              <w:pStyle w:val="TableParagraph"/>
              <w:ind w:right="86"/>
              <w:jc w:val="right"/>
              <w:rPr>
                <w:sz w:val="22"/>
              </w:rPr>
            </w:pPr>
            <w:r>
              <w:rPr>
                <w:sz w:val="22"/>
              </w:rPr>
              <w:t>104</w:t>
            </w:r>
          </w:p>
        </w:tc>
        <w:tc>
          <w:tcPr>
            <w:tcW w:w="5274" w:type="dxa"/>
          </w:tcPr>
          <w:p>
            <w:pPr>
              <w:pStyle w:val="TableParagraph"/>
              <w:ind w:left="64" w:right="325"/>
              <w:rPr>
                <w:sz w:val="22"/>
              </w:rPr>
            </w:pPr>
            <w:r>
              <w:rPr>
                <w:sz w:val="22"/>
              </w:rPr>
              <w:t>Daily commuting, social inequality, and residential segregation en four Latin American metropolitan areas</w:t>
            </w:r>
          </w:p>
        </w:tc>
        <w:tc>
          <w:tcPr>
            <w:tcW w:w="761" w:type="dxa"/>
          </w:tcPr>
          <w:p>
            <w:pPr>
              <w:pStyle w:val="TableParagraph"/>
              <w:rPr>
                <w:b/>
                <w:sz w:val="22"/>
              </w:rPr>
            </w:pPr>
          </w:p>
          <w:p>
            <w:pPr>
              <w:pStyle w:val="TableParagraph"/>
              <w:spacing w:before="7"/>
              <w:rPr>
                <w:b/>
                <w:sz w:val="21"/>
              </w:rPr>
            </w:pPr>
          </w:p>
          <w:p>
            <w:pPr>
              <w:pStyle w:val="TableParagraph"/>
              <w:jc w:val="center"/>
              <w:rPr>
                <w:sz w:val="22"/>
              </w:rPr>
            </w:pPr>
            <w:r>
              <w:rPr>
                <w:w w:val="100"/>
                <w:sz w:val="22"/>
              </w:rPr>
              <w:t>3</w:t>
            </w:r>
          </w:p>
        </w:tc>
        <w:tc>
          <w:tcPr>
            <w:tcW w:w="802" w:type="dxa"/>
          </w:tcPr>
          <w:p>
            <w:pPr>
              <w:pStyle w:val="TableParagraph"/>
              <w:rPr>
                <w:b/>
                <w:sz w:val="22"/>
              </w:rPr>
            </w:pPr>
          </w:p>
          <w:p>
            <w:pPr>
              <w:pStyle w:val="TableParagraph"/>
              <w:spacing w:before="7"/>
              <w:rPr>
                <w:b/>
                <w:sz w:val="21"/>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7"/>
              <w:rPr>
                <w:b/>
                <w:sz w:val="21"/>
              </w:rPr>
            </w:pPr>
          </w:p>
          <w:p>
            <w:pPr>
              <w:pStyle w:val="TableParagraph"/>
              <w:ind w:left="46" w:right="46"/>
              <w:jc w:val="center"/>
              <w:rPr>
                <w:sz w:val="22"/>
              </w:rPr>
            </w:pPr>
            <w:r>
              <w:rPr>
                <w:sz w:val="22"/>
              </w:rPr>
              <w:t>13.361</w:t>
            </w:r>
          </w:p>
        </w:tc>
      </w:tr>
      <w:tr>
        <w:trPr>
          <w:trHeight w:val="545" w:hRule="exact"/>
        </w:trPr>
        <w:tc>
          <w:tcPr>
            <w:tcW w:w="552" w:type="dxa"/>
          </w:tcPr>
          <w:p>
            <w:pPr>
              <w:pStyle w:val="TableParagraph"/>
              <w:spacing w:before="2"/>
              <w:rPr>
                <w:b/>
                <w:sz w:val="24"/>
              </w:rPr>
            </w:pPr>
          </w:p>
          <w:p>
            <w:pPr>
              <w:pStyle w:val="TableParagraph"/>
              <w:ind w:right="86"/>
              <w:jc w:val="right"/>
              <w:rPr>
                <w:sz w:val="22"/>
              </w:rPr>
            </w:pPr>
            <w:r>
              <w:rPr>
                <w:sz w:val="22"/>
              </w:rPr>
              <w:t>105</w:t>
            </w:r>
          </w:p>
        </w:tc>
        <w:tc>
          <w:tcPr>
            <w:tcW w:w="5274" w:type="dxa"/>
          </w:tcPr>
          <w:p>
            <w:pPr>
              <w:pStyle w:val="TableParagraph"/>
              <w:spacing w:before="23"/>
              <w:ind w:left="64" w:right="301"/>
              <w:rPr>
                <w:sz w:val="22"/>
              </w:rPr>
            </w:pPr>
            <w:r>
              <w:rPr>
                <w:sz w:val="22"/>
              </w:rPr>
              <w:t>General comments on the public policies for the regulation of informal settlements in Latin America</w:t>
            </w:r>
          </w:p>
        </w:tc>
        <w:tc>
          <w:tcPr>
            <w:tcW w:w="761" w:type="dxa"/>
          </w:tcPr>
          <w:p>
            <w:pPr>
              <w:pStyle w:val="TableParagraph"/>
              <w:spacing w:before="2"/>
              <w:rPr>
                <w:b/>
                <w:sz w:val="24"/>
              </w:rPr>
            </w:pPr>
          </w:p>
          <w:p>
            <w:pPr>
              <w:pStyle w:val="TableParagraph"/>
              <w:jc w:val="center"/>
              <w:rPr>
                <w:sz w:val="22"/>
              </w:rPr>
            </w:pPr>
            <w:r>
              <w:rPr>
                <w:w w:val="100"/>
                <w:sz w:val="22"/>
              </w:rPr>
              <w:t>3</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6" w:right="46"/>
              <w:jc w:val="center"/>
              <w:rPr>
                <w:sz w:val="22"/>
              </w:rPr>
            </w:pPr>
            <w:r>
              <w:rPr>
                <w:sz w:val="22"/>
              </w:rPr>
              <w:t>13.112</w:t>
            </w:r>
          </w:p>
        </w:tc>
      </w:tr>
      <w:tr>
        <w:trPr>
          <w:trHeight w:val="545" w:hRule="exact"/>
        </w:trPr>
        <w:tc>
          <w:tcPr>
            <w:tcW w:w="552" w:type="dxa"/>
          </w:tcPr>
          <w:p>
            <w:pPr>
              <w:pStyle w:val="TableParagraph"/>
              <w:spacing w:before="2"/>
              <w:rPr>
                <w:b/>
                <w:sz w:val="24"/>
              </w:rPr>
            </w:pPr>
          </w:p>
          <w:p>
            <w:pPr>
              <w:pStyle w:val="TableParagraph"/>
              <w:ind w:right="86"/>
              <w:jc w:val="right"/>
              <w:rPr>
                <w:sz w:val="22"/>
              </w:rPr>
            </w:pPr>
            <w:r>
              <w:rPr>
                <w:sz w:val="22"/>
              </w:rPr>
              <w:t>106</w:t>
            </w:r>
          </w:p>
        </w:tc>
        <w:tc>
          <w:tcPr>
            <w:tcW w:w="5274" w:type="dxa"/>
          </w:tcPr>
          <w:p>
            <w:pPr>
              <w:pStyle w:val="TableParagraph"/>
              <w:spacing w:before="26"/>
              <w:ind w:left="64" w:right="227"/>
              <w:rPr>
                <w:sz w:val="22"/>
              </w:rPr>
            </w:pPr>
            <w:r>
              <w:rPr>
                <w:sz w:val="22"/>
              </w:rPr>
              <w:t>Regional development in Argentina: The centenary force of an asymmetric territorial pattern</w:t>
            </w:r>
          </w:p>
        </w:tc>
        <w:tc>
          <w:tcPr>
            <w:tcW w:w="761" w:type="dxa"/>
          </w:tcPr>
          <w:p>
            <w:pPr>
              <w:pStyle w:val="TableParagraph"/>
              <w:spacing w:before="2"/>
              <w:rPr>
                <w:b/>
                <w:sz w:val="24"/>
              </w:rPr>
            </w:pPr>
          </w:p>
          <w:p>
            <w:pPr>
              <w:pStyle w:val="TableParagraph"/>
              <w:jc w:val="center"/>
              <w:rPr>
                <w:sz w:val="22"/>
              </w:rPr>
            </w:pPr>
            <w:r>
              <w:rPr>
                <w:w w:val="100"/>
                <w:sz w:val="22"/>
              </w:rPr>
              <w:t>3</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6" w:right="46"/>
              <w:jc w:val="center"/>
              <w:rPr>
                <w:sz w:val="22"/>
              </w:rPr>
            </w:pPr>
            <w:r>
              <w:rPr>
                <w:sz w:val="22"/>
              </w:rPr>
              <w:t>12.863</w:t>
            </w:r>
          </w:p>
        </w:tc>
      </w:tr>
      <w:tr>
        <w:trPr>
          <w:trHeight w:val="317" w:hRule="exact"/>
        </w:trPr>
        <w:tc>
          <w:tcPr>
            <w:tcW w:w="552" w:type="dxa"/>
          </w:tcPr>
          <w:p>
            <w:pPr>
              <w:pStyle w:val="TableParagraph"/>
              <w:spacing w:before="50"/>
              <w:ind w:right="86"/>
              <w:jc w:val="right"/>
              <w:rPr>
                <w:sz w:val="22"/>
              </w:rPr>
            </w:pPr>
            <w:r>
              <w:rPr>
                <w:sz w:val="22"/>
              </w:rPr>
              <w:t>107</w:t>
            </w:r>
          </w:p>
        </w:tc>
        <w:tc>
          <w:tcPr>
            <w:tcW w:w="5274" w:type="dxa"/>
          </w:tcPr>
          <w:p>
            <w:pPr>
              <w:pStyle w:val="TableParagraph"/>
              <w:spacing w:before="50"/>
              <w:ind w:left="64" w:right="178"/>
              <w:rPr>
                <w:sz w:val="22"/>
              </w:rPr>
            </w:pPr>
            <w:r>
              <w:rPr>
                <w:sz w:val="22"/>
              </w:rPr>
              <w:t>Financial concentration in Mexico City (1960-2001)</w:t>
            </w:r>
          </w:p>
        </w:tc>
        <w:tc>
          <w:tcPr>
            <w:tcW w:w="761" w:type="dxa"/>
          </w:tcPr>
          <w:p>
            <w:pPr>
              <w:pStyle w:val="TableParagraph"/>
              <w:spacing w:before="50"/>
              <w:jc w:val="center"/>
              <w:rPr>
                <w:sz w:val="22"/>
              </w:rPr>
            </w:pPr>
            <w:r>
              <w:rPr>
                <w:w w:val="100"/>
                <w:sz w:val="22"/>
              </w:rPr>
              <w:t>3</w:t>
            </w:r>
          </w:p>
        </w:tc>
        <w:tc>
          <w:tcPr>
            <w:tcW w:w="802" w:type="dxa"/>
          </w:tcPr>
          <w:p>
            <w:pPr>
              <w:pStyle w:val="TableParagraph"/>
              <w:spacing w:before="50"/>
              <w:ind w:right="240"/>
              <w:jc w:val="right"/>
              <w:rPr>
                <w:sz w:val="22"/>
              </w:rPr>
            </w:pPr>
            <w:r>
              <w:rPr>
                <w:sz w:val="22"/>
              </w:rPr>
              <w:t>0.2</w:t>
            </w:r>
          </w:p>
        </w:tc>
        <w:tc>
          <w:tcPr>
            <w:tcW w:w="1438" w:type="dxa"/>
          </w:tcPr>
          <w:p>
            <w:pPr>
              <w:pStyle w:val="TableParagraph"/>
              <w:spacing w:before="50"/>
              <w:ind w:left="46" w:right="46"/>
              <w:jc w:val="center"/>
              <w:rPr>
                <w:sz w:val="22"/>
              </w:rPr>
            </w:pPr>
            <w:r>
              <w:rPr>
                <w:sz w:val="22"/>
              </w:rPr>
              <w:t>12.614</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right="86"/>
              <w:jc w:val="right"/>
              <w:rPr>
                <w:sz w:val="22"/>
              </w:rPr>
            </w:pPr>
            <w:r>
              <w:rPr>
                <w:sz w:val="22"/>
              </w:rPr>
              <w:t>108</w:t>
            </w:r>
          </w:p>
        </w:tc>
        <w:tc>
          <w:tcPr>
            <w:tcW w:w="5274" w:type="dxa"/>
          </w:tcPr>
          <w:p>
            <w:pPr>
              <w:pStyle w:val="TableParagraph"/>
              <w:ind w:left="64" w:right="117"/>
              <w:rPr>
                <w:sz w:val="22"/>
              </w:rPr>
            </w:pPr>
            <w:r>
              <w:rPr>
                <w:sz w:val="22"/>
              </w:rPr>
              <w:t>The place of the industry. Industrial parks in Buenos Aires' Metropolitan Region productive and territorial restructuration</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3</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12.365</w:t>
            </w:r>
          </w:p>
        </w:tc>
      </w:tr>
      <w:tr>
        <w:trPr>
          <w:trHeight w:val="547" w:hRule="exact"/>
        </w:trPr>
        <w:tc>
          <w:tcPr>
            <w:tcW w:w="552" w:type="dxa"/>
          </w:tcPr>
          <w:p>
            <w:pPr>
              <w:pStyle w:val="TableParagraph"/>
              <w:spacing w:before="1"/>
              <w:rPr>
                <w:b/>
                <w:sz w:val="24"/>
              </w:rPr>
            </w:pPr>
          </w:p>
          <w:p>
            <w:pPr>
              <w:pStyle w:val="TableParagraph"/>
              <w:spacing w:before="1"/>
              <w:ind w:right="86"/>
              <w:jc w:val="right"/>
              <w:rPr>
                <w:sz w:val="22"/>
              </w:rPr>
            </w:pPr>
            <w:r>
              <w:rPr>
                <w:sz w:val="22"/>
              </w:rPr>
              <w:t>109</w:t>
            </w:r>
          </w:p>
        </w:tc>
        <w:tc>
          <w:tcPr>
            <w:tcW w:w="5274" w:type="dxa"/>
          </w:tcPr>
          <w:p>
            <w:pPr>
              <w:pStyle w:val="TableParagraph"/>
              <w:spacing w:before="26"/>
              <w:ind w:left="64" w:right="68"/>
              <w:rPr>
                <w:sz w:val="22"/>
              </w:rPr>
            </w:pPr>
            <w:r>
              <w:rPr>
                <w:sz w:val="22"/>
              </w:rPr>
              <w:t>Disciplinning society through the city: The genesis of city planning in Brazil and Argentina (1894-1945)</w:t>
            </w:r>
          </w:p>
        </w:tc>
        <w:tc>
          <w:tcPr>
            <w:tcW w:w="761" w:type="dxa"/>
          </w:tcPr>
          <w:p>
            <w:pPr>
              <w:pStyle w:val="TableParagraph"/>
              <w:spacing w:before="1"/>
              <w:rPr>
                <w:b/>
                <w:sz w:val="24"/>
              </w:rPr>
            </w:pPr>
          </w:p>
          <w:p>
            <w:pPr>
              <w:pStyle w:val="TableParagraph"/>
              <w:spacing w:before="1"/>
              <w:jc w:val="center"/>
              <w:rPr>
                <w:sz w:val="22"/>
              </w:rPr>
            </w:pPr>
            <w:r>
              <w:rPr>
                <w:w w:val="100"/>
                <w:sz w:val="22"/>
              </w:rPr>
              <w:t>3</w:t>
            </w:r>
          </w:p>
        </w:tc>
        <w:tc>
          <w:tcPr>
            <w:tcW w:w="802" w:type="dxa"/>
          </w:tcPr>
          <w:p>
            <w:pPr>
              <w:pStyle w:val="TableParagraph"/>
              <w:spacing w:before="1"/>
              <w:rPr>
                <w:b/>
                <w:sz w:val="24"/>
              </w:rPr>
            </w:pPr>
          </w:p>
          <w:p>
            <w:pPr>
              <w:pStyle w:val="TableParagraph"/>
              <w:spacing w:before="1"/>
              <w:ind w:right="240"/>
              <w:jc w:val="right"/>
              <w:rPr>
                <w:sz w:val="22"/>
              </w:rPr>
            </w:pPr>
            <w:r>
              <w:rPr>
                <w:sz w:val="22"/>
              </w:rPr>
              <w:t>0.2</w:t>
            </w:r>
          </w:p>
        </w:tc>
        <w:tc>
          <w:tcPr>
            <w:tcW w:w="1438" w:type="dxa"/>
          </w:tcPr>
          <w:p>
            <w:pPr>
              <w:pStyle w:val="TableParagraph"/>
              <w:spacing w:before="1"/>
              <w:rPr>
                <w:b/>
                <w:sz w:val="24"/>
              </w:rPr>
            </w:pPr>
          </w:p>
          <w:p>
            <w:pPr>
              <w:pStyle w:val="TableParagraph"/>
              <w:spacing w:before="1"/>
              <w:ind w:left="46" w:right="46"/>
              <w:jc w:val="center"/>
              <w:rPr>
                <w:sz w:val="22"/>
              </w:rPr>
            </w:pPr>
            <w:r>
              <w:rPr>
                <w:sz w:val="22"/>
              </w:rPr>
              <w:t>12.116</w:t>
            </w:r>
          </w:p>
        </w:tc>
      </w:tr>
      <w:tr>
        <w:trPr>
          <w:trHeight w:val="315" w:hRule="exact"/>
        </w:trPr>
        <w:tc>
          <w:tcPr>
            <w:tcW w:w="552" w:type="dxa"/>
          </w:tcPr>
          <w:p>
            <w:pPr>
              <w:pStyle w:val="TableParagraph"/>
              <w:spacing w:before="48"/>
              <w:ind w:right="86"/>
              <w:jc w:val="right"/>
              <w:rPr>
                <w:sz w:val="22"/>
              </w:rPr>
            </w:pPr>
            <w:r>
              <w:rPr>
                <w:sz w:val="22"/>
              </w:rPr>
              <w:t>110</w:t>
            </w:r>
          </w:p>
        </w:tc>
        <w:tc>
          <w:tcPr>
            <w:tcW w:w="5274" w:type="dxa"/>
          </w:tcPr>
          <w:p>
            <w:pPr>
              <w:pStyle w:val="TableParagraph"/>
              <w:spacing w:before="48"/>
              <w:ind w:left="64" w:right="679"/>
              <w:rPr>
                <w:sz w:val="22"/>
              </w:rPr>
            </w:pPr>
            <w:r>
              <w:rPr>
                <w:sz w:val="22"/>
              </w:rPr>
              <w:t>Building unsafe cities: Fear and violence in</w:t>
            </w:r>
          </w:p>
        </w:tc>
        <w:tc>
          <w:tcPr>
            <w:tcW w:w="761" w:type="dxa"/>
          </w:tcPr>
          <w:p>
            <w:pPr>
              <w:pStyle w:val="TableParagraph"/>
              <w:spacing w:before="48"/>
              <w:jc w:val="center"/>
              <w:rPr>
                <w:sz w:val="22"/>
              </w:rPr>
            </w:pPr>
            <w:r>
              <w:rPr>
                <w:w w:val="100"/>
                <w:sz w:val="22"/>
              </w:rPr>
              <w:t>3</w:t>
            </w:r>
          </w:p>
        </w:tc>
        <w:tc>
          <w:tcPr>
            <w:tcW w:w="802" w:type="dxa"/>
          </w:tcPr>
          <w:p>
            <w:pPr>
              <w:pStyle w:val="TableParagraph"/>
              <w:spacing w:before="48"/>
              <w:ind w:right="240"/>
              <w:jc w:val="right"/>
              <w:rPr>
                <w:sz w:val="22"/>
              </w:rPr>
            </w:pPr>
            <w:r>
              <w:rPr>
                <w:sz w:val="22"/>
              </w:rPr>
              <w:t>0.2</w:t>
            </w:r>
          </w:p>
        </w:tc>
        <w:tc>
          <w:tcPr>
            <w:tcW w:w="1438" w:type="dxa"/>
          </w:tcPr>
          <w:p>
            <w:pPr>
              <w:pStyle w:val="TableParagraph"/>
              <w:spacing w:before="48"/>
              <w:ind w:left="46" w:right="46"/>
              <w:jc w:val="center"/>
              <w:rPr>
                <w:sz w:val="22"/>
              </w:rPr>
            </w:pPr>
            <w:r>
              <w:rPr>
                <w:sz w:val="22"/>
              </w:rPr>
              <w:t>11.867</w:t>
            </w:r>
          </w:p>
        </w:tc>
      </w:tr>
    </w:tbl>
    <w:p>
      <w:pPr>
        <w:spacing w:after="0"/>
        <w:jc w:val="center"/>
        <w:rPr>
          <w:sz w:val="22"/>
        </w:rPr>
        <w:sectPr>
          <w:pgSz w:w="12240" w:h="15840"/>
          <w:pgMar w:header="0" w:footer="629" w:top="142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
        <w:gridCol w:w="5274"/>
        <w:gridCol w:w="761"/>
        <w:gridCol w:w="802"/>
        <w:gridCol w:w="1438"/>
      </w:tblGrid>
      <w:tr>
        <w:trPr>
          <w:trHeight w:val="316" w:hRule="exact"/>
        </w:trPr>
        <w:tc>
          <w:tcPr>
            <w:tcW w:w="552" w:type="dxa"/>
            <w:shd w:val="clear" w:color="auto" w:fill="938953"/>
          </w:tcPr>
          <w:p>
            <w:pPr/>
          </w:p>
        </w:tc>
        <w:tc>
          <w:tcPr>
            <w:tcW w:w="5274" w:type="dxa"/>
            <w:shd w:val="clear" w:color="auto" w:fill="938953"/>
          </w:tcPr>
          <w:p>
            <w:pPr>
              <w:pStyle w:val="TableParagraph"/>
              <w:spacing w:before="47"/>
              <w:ind w:left="2347" w:right="2350"/>
              <w:jc w:val="center"/>
              <w:rPr>
                <w:b/>
                <w:sz w:val="22"/>
              </w:rPr>
            </w:pPr>
            <w:r>
              <w:rPr>
                <w:b/>
                <w:color w:val="FFFFFF"/>
                <w:sz w:val="22"/>
              </w:rPr>
              <w:t>Total</w:t>
            </w:r>
          </w:p>
        </w:tc>
        <w:tc>
          <w:tcPr>
            <w:tcW w:w="761" w:type="dxa"/>
            <w:shd w:val="clear" w:color="auto" w:fill="938953"/>
          </w:tcPr>
          <w:p>
            <w:pPr>
              <w:pStyle w:val="TableParagraph"/>
              <w:spacing w:before="49"/>
              <w:ind w:left="105" w:right="105"/>
              <w:jc w:val="center"/>
              <w:rPr>
                <w:sz w:val="22"/>
              </w:rPr>
            </w:pPr>
            <w:r>
              <w:rPr>
                <w:color w:val="FFFFFF"/>
                <w:sz w:val="22"/>
              </w:rPr>
              <w:t>Citas</w:t>
            </w:r>
          </w:p>
        </w:tc>
        <w:tc>
          <w:tcPr>
            <w:tcW w:w="802" w:type="dxa"/>
            <w:shd w:val="clear" w:color="auto" w:fill="938953"/>
          </w:tcPr>
          <w:p>
            <w:pPr>
              <w:pStyle w:val="TableParagraph"/>
              <w:spacing w:before="49"/>
              <w:ind w:right="298"/>
              <w:jc w:val="right"/>
              <w:rPr>
                <w:sz w:val="22"/>
              </w:rPr>
            </w:pPr>
            <w:r>
              <w:rPr>
                <w:color w:val="FFFFFF"/>
                <w:w w:val="100"/>
                <w:sz w:val="22"/>
              </w:rPr>
              <w:t>%</w:t>
            </w:r>
          </w:p>
        </w:tc>
        <w:tc>
          <w:tcPr>
            <w:tcW w:w="1438" w:type="dxa"/>
            <w:shd w:val="clear" w:color="auto" w:fill="938953"/>
          </w:tcPr>
          <w:p>
            <w:pPr>
              <w:pStyle w:val="TableParagraph"/>
              <w:spacing w:before="49"/>
              <w:ind w:left="46" w:right="46"/>
              <w:jc w:val="center"/>
              <w:rPr>
                <w:sz w:val="22"/>
              </w:rPr>
            </w:pPr>
            <w:r>
              <w:rPr>
                <w:color w:val="FFFFFF"/>
                <w:sz w:val="22"/>
              </w:rPr>
              <w:t>%Acumulado</w:t>
            </w:r>
          </w:p>
        </w:tc>
      </w:tr>
      <w:tr>
        <w:trPr>
          <w:trHeight w:val="317" w:hRule="exact"/>
        </w:trPr>
        <w:tc>
          <w:tcPr>
            <w:tcW w:w="552" w:type="dxa"/>
          </w:tcPr>
          <w:p>
            <w:pPr/>
          </w:p>
        </w:tc>
        <w:tc>
          <w:tcPr>
            <w:tcW w:w="5274" w:type="dxa"/>
          </w:tcPr>
          <w:p>
            <w:pPr>
              <w:pStyle w:val="TableParagraph"/>
              <w:spacing w:line="248" w:lineRule="exact"/>
              <w:ind w:left="64" w:right="679"/>
              <w:rPr>
                <w:sz w:val="22"/>
              </w:rPr>
            </w:pPr>
            <w:r>
              <w:rPr>
                <w:sz w:val="22"/>
              </w:rPr>
              <w:t>Argentina</w:t>
            </w:r>
          </w:p>
        </w:tc>
        <w:tc>
          <w:tcPr>
            <w:tcW w:w="761" w:type="dxa"/>
          </w:tcPr>
          <w:p>
            <w:pPr/>
          </w:p>
        </w:tc>
        <w:tc>
          <w:tcPr>
            <w:tcW w:w="802" w:type="dxa"/>
          </w:tcPr>
          <w:p>
            <w:pPr/>
          </w:p>
        </w:tc>
        <w:tc>
          <w:tcPr>
            <w:tcW w:w="1438" w:type="dxa"/>
          </w:tcPr>
          <w:p>
            <w:pP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111</w:t>
            </w:r>
          </w:p>
        </w:tc>
        <w:tc>
          <w:tcPr>
            <w:tcW w:w="5274" w:type="dxa"/>
          </w:tcPr>
          <w:p>
            <w:pPr>
              <w:pStyle w:val="TableParagraph"/>
              <w:ind w:left="64" w:right="326"/>
              <w:rPr>
                <w:sz w:val="22"/>
              </w:rPr>
            </w:pPr>
            <w:r>
              <w:rPr>
                <w:sz w:val="22"/>
              </w:rPr>
              <w:t>The pobladores movement and La Victoria settlement (Chile): exemplarity, social movements and the right to the city</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2</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6"/>
              <w:rPr>
                <w:b/>
                <w:sz w:val="21"/>
              </w:rPr>
            </w:pPr>
          </w:p>
          <w:p>
            <w:pPr>
              <w:pStyle w:val="TableParagraph"/>
              <w:ind w:left="46" w:right="46"/>
              <w:jc w:val="center"/>
              <w:rPr>
                <w:sz w:val="22"/>
              </w:rPr>
            </w:pPr>
            <w:r>
              <w:rPr>
                <w:sz w:val="22"/>
              </w:rPr>
              <w:t>11.618</w:t>
            </w:r>
          </w:p>
        </w:tc>
      </w:tr>
      <w:tr>
        <w:trPr>
          <w:trHeight w:val="806" w:hRule="exact"/>
        </w:trPr>
        <w:tc>
          <w:tcPr>
            <w:tcW w:w="552" w:type="dxa"/>
          </w:tcPr>
          <w:p>
            <w:pPr>
              <w:pStyle w:val="TableParagraph"/>
              <w:rPr>
                <w:b/>
                <w:sz w:val="22"/>
              </w:rPr>
            </w:pPr>
          </w:p>
          <w:p>
            <w:pPr>
              <w:pStyle w:val="TableParagraph"/>
              <w:spacing w:before="8"/>
              <w:rPr>
                <w:b/>
                <w:sz w:val="24"/>
              </w:rPr>
            </w:pPr>
          </w:p>
          <w:p>
            <w:pPr>
              <w:pStyle w:val="TableParagraph"/>
              <w:ind w:left="67" w:right="67"/>
              <w:jc w:val="center"/>
              <w:rPr>
                <w:sz w:val="22"/>
              </w:rPr>
            </w:pPr>
            <w:r>
              <w:rPr>
                <w:sz w:val="22"/>
              </w:rPr>
              <w:t>112</w:t>
            </w:r>
          </w:p>
        </w:tc>
        <w:tc>
          <w:tcPr>
            <w:tcW w:w="5274" w:type="dxa"/>
          </w:tcPr>
          <w:p>
            <w:pPr>
              <w:pStyle w:val="TableParagraph"/>
              <w:spacing w:before="31"/>
              <w:ind w:left="64" w:right="349"/>
              <w:rPr>
                <w:sz w:val="22"/>
              </w:rPr>
            </w:pPr>
            <w:r>
              <w:rPr>
                <w:sz w:val="22"/>
              </w:rPr>
              <w:t>Urban changes and environmental claims. On the social productivity of conflict related to the construction of buildings in Buenos Aires City</w:t>
            </w:r>
          </w:p>
        </w:tc>
        <w:tc>
          <w:tcPr>
            <w:tcW w:w="761" w:type="dxa"/>
          </w:tcPr>
          <w:p>
            <w:pPr>
              <w:pStyle w:val="TableParagraph"/>
              <w:rPr>
                <w:b/>
                <w:sz w:val="22"/>
              </w:rPr>
            </w:pPr>
          </w:p>
          <w:p>
            <w:pPr>
              <w:pStyle w:val="TableParagraph"/>
              <w:spacing w:before="8"/>
              <w:rPr>
                <w:b/>
                <w:sz w:val="24"/>
              </w:rPr>
            </w:pPr>
          </w:p>
          <w:p>
            <w:pPr>
              <w:pStyle w:val="TableParagraph"/>
              <w:jc w:val="center"/>
              <w:rPr>
                <w:sz w:val="22"/>
              </w:rPr>
            </w:pPr>
            <w:r>
              <w:rPr>
                <w:w w:val="100"/>
                <w:sz w:val="22"/>
              </w:rPr>
              <w:t>2</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8"/>
              <w:rPr>
                <w:b/>
                <w:sz w:val="24"/>
              </w:rPr>
            </w:pPr>
          </w:p>
          <w:p>
            <w:pPr>
              <w:pStyle w:val="TableParagraph"/>
              <w:ind w:left="46" w:right="46"/>
              <w:jc w:val="center"/>
              <w:rPr>
                <w:sz w:val="22"/>
              </w:rPr>
            </w:pPr>
            <w:r>
              <w:rPr>
                <w:sz w:val="22"/>
              </w:rPr>
              <w:t>11.452</w:t>
            </w:r>
          </w:p>
        </w:tc>
      </w:tr>
      <w:tr>
        <w:trPr>
          <w:trHeight w:val="314" w:hRule="exact"/>
        </w:trPr>
        <w:tc>
          <w:tcPr>
            <w:tcW w:w="552" w:type="dxa"/>
          </w:tcPr>
          <w:p>
            <w:pPr>
              <w:pStyle w:val="TableParagraph"/>
              <w:spacing w:before="47"/>
              <w:ind w:left="67" w:right="67"/>
              <w:jc w:val="center"/>
              <w:rPr>
                <w:sz w:val="22"/>
              </w:rPr>
            </w:pPr>
            <w:r>
              <w:rPr>
                <w:sz w:val="22"/>
              </w:rPr>
              <w:t>113</w:t>
            </w:r>
          </w:p>
        </w:tc>
        <w:tc>
          <w:tcPr>
            <w:tcW w:w="5274" w:type="dxa"/>
          </w:tcPr>
          <w:p>
            <w:pPr>
              <w:pStyle w:val="TableParagraph"/>
              <w:spacing w:before="47"/>
              <w:ind w:left="64" w:right="679"/>
              <w:rPr>
                <w:sz w:val="22"/>
              </w:rPr>
            </w:pPr>
            <w:r>
              <w:rPr>
                <w:sz w:val="22"/>
              </w:rPr>
              <w:t>The real estate sector and economic crisis</w:t>
            </w:r>
          </w:p>
        </w:tc>
        <w:tc>
          <w:tcPr>
            <w:tcW w:w="761" w:type="dxa"/>
          </w:tcPr>
          <w:p>
            <w:pPr>
              <w:pStyle w:val="TableParagraph"/>
              <w:spacing w:before="47"/>
              <w:jc w:val="center"/>
              <w:rPr>
                <w:sz w:val="22"/>
              </w:rPr>
            </w:pPr>
            <w:r>
              <w:rPr>
                <w:w w:val="100"/>
                <w:sz w:val="22"/>
              </w:rPr>
              <w:t>2</w:t>
            </w:r>
          </w:p>
        </w:tc>
        <w:tc>
          <w:tcPr>
            <w:tcW w:w="802" w:type="dxa"/>
          </w:tcPr>
          <w:p>
            <w:pPr>
              <w:pStyle w:val="TableParagraph"/>
              <w:spacing w:before="47"/>
              <w:ind w:right="240"/>
              <w:jc w:val="right"/>
              <w:rPr>
                <w:sz w:val="22"/>
              </w:rPr>
            </w:pPr>
            <w:r>
              <w:rPr>
                <w:sz w:val="22"/>
              </w:rPr>
              <w:t>0.2</w:t>
            </w:r>
          </w:p>
        </w:tc>
        <w:tc>
          <w:tcPr>
            <w:tcW w:w="1438" w:type="dxa"/>
          </w:tcPr>
          <w:p>
            <w:pPr>
              <w:pStyle w:val="TableParagraph"/>
              <w:spacing w:before="47"/>
              <w:ind w:left="46" w:right="46"/>
              <w:jc w:val="center"/>
              <w:rPr>
                <w:sz w:val="22"/>
              </w:rPr>
            </w:pPr>
            <w:r>
              <w:rPr>
                <w:sz w:val="22"/>
              </w:rPr>
              <w:t>11.286</w:t>
            </w:r>
          </w:p>
        </w:tc>
      </w:tr>
      <w:tr>
        <w:trPr>
          <w:trHeight w:val="516" w:hRule="exact"/>
        </w:trPr>
        <w:tc>
          <w:tcPr>
            <w:tcW w:w="552" w:type="dxa"/>
          </w:tcPr>
          <w:p>
            <w:pPr>
              <w:pStyle w:val="TableParagraph"/>
              <w:spacing w:before="7"/>
              <w:rPr>
                <w:b/>
                <w:sz w:val="21"/>
              </w:rPr>
            </w:pPr>
          </w:p>
          <w:p>
            <w:pPr>
              <w:pStyle w:val="TableParagraph"/>
              <w:ind w:left="67" w:right="67"/>
              <w:jc w:val="center"/>
              <w:rPr>
                <w:sz w:val="22"/>
              </w:rPr>
            </w:pPr>
            <w:r>
              <w:rPr>
                <w:sz w:val="22"/>
              </w:rPr>
              <w:t>114</w:t>
            </w:r>
          </w:p>
        </w:tc>
        <w:tc>
          <w:tcPr>
            <w:tcW w:w="5274" w:type="dxa"/>
          </w:tcPr>
          <w:p>
            <w:pPr>
              <w:pStyle w:val="TableParagraph"/>
              <w:spacing w:line="242" w:lineRule="auto"/>
              <w:ind w:left="64" w:right="202"/>
              <w:rPr>
                <w:sz w:val="22"/>
              </w:rPr>
            </w:pPr>
            <w:r>
              <w:rPr>
                <w:sz w:val="22"/>
              </w:rPr>
              <w:t>Residential segregation and employment in the city of Cordoba</w:t>
            </w:r>
          </w:p>
        </w:tc>
        <w:tc>
          <w:tcPr>
            <w:tcW w:w="761" w:type="dxa"/>
          </w:tcPr>
          <w:p>
            <w:pPr>
              <w:pStyle w:val="TableParagraph"/>
              <w:spacing w:before="7"/>
              <w:rPr>
                <w:b/>
                <w:sz w:val="21"/>
              </w:rPr>
            </w:pPr>
          </w:p>
          <w:p>
            <w:pPr>
              <w:pStyle w:val="TableParagraph"/>
              <w:jc w:val="center"/>
              <w:rPr>
                <w:sz w:val="22"/>
              </w:rPr>
            </w:pPr>
            <w:r>
              <w:rPr>
                <w:w w:val="100"/>
                <w:sz w:val="22"/>
              </w:rPr>
              <w:t>2</w:t>
            </w:r>
          </w:p>
        </w:tc>
        <w:tc>
          <w:tcPr>
            <w:tcW w:w="802" w:type="dxa"/>
          </w:tcPr>
          <w:p>
            <w:pPr>
              <w:pStyle w:val="TableParagraph"/>
              <w:spacing w:before="7"/>
              <w:rPr>
                <w:b/>
                <w:sz w:val="21"/>
              </w:rPr>
            </w:pPr>
          </w:p>
          <w:p>
            <w:pPr>
              <w:pStyle w:val="TableParagraph"/>
              <w:ind w:right="240"/>
              <w:jc w:val="right"/>
              <w:rPr>
                <w:sz w:val="22"/>
              </w:rPr>
            </w:pPr>
            <w:r>
              <w:rPr>
                <w:sz w:val="22"/>
              </w:rPr>
              <w:t>0.2</w:t>
            </w:r>
          </w:p>
        </w:tc>
        <w:tc>
          <w:tcPr>
            <w:tcW w:w="1438" w:type="dxa"/>
          </w:tcPr>
          <w:p>
            <w:pPr>
              <w:pStyle w:val="TableParagraph"/>
              <w:spacing w:before="7"/>
              <w:rPr>
                <w:b/>
                <w:sz w:val="21"/>
              </w:rPr>
            </w:pPr>
          </w:p>
          <w:p>
            <w:pPr>
              <w:pStyle w:val="TableParagraph"/>
              <w:ind w:left="46" w:right="46"/>
              <w:jc w:val="center"/>
              <w:rPr>
                <w:sz w:val="22"/>
              </w:rPr>
            </w:pPr>
            <w:r>
              <w:rPr>
                <w:sz w:val="22"/>
              </w:rPr>
              <w:t>11.120</w:t>
            </w:r>
          </w:p>
        </w:tc>
      </w:tr>
      <w:tr>
        <w:trPr>
          <w:trHeight w:val="517" w:hRule="exact"/>
        </w:trPr>
        <w:tc>
          <w:tcPr>
            <w:tcW w:w="552" w:type="dxa"/>
          </w:tcPr>
          <w:p>
            <w:pPr>
              <w:pStyle w:val="TableParagraph"/>
              <w:spacing w:before="8"/>
              <w:rPr>
                <w:b/>
                <w:sz w:val="21"/>
              </w:rPr>
            </w:pPr>
          </w:p>
          <w:p>
            <w:pPr>
              <w:pStyle w:val="TableParagraph"/>
              <w:ind w:left="67" w:right="67"/>
              <w:jc w:val="center"/>
              <w:rPr>
                <w:sz w:val="22"/>
              </w:rPr>
            </w:pPr>
            <w:r>
              <w:rPr>
                <w:sz w:val="22"/>
              </w:rPr>
              <w:t>115</w:t>
            </w:r>
          </w:p>
        </w:tc>
        <w:tc>
          <w:tcPr>
            <w:tcW w:w="5274" w:type="dxa"/>
          </w:tcPr>
          <w:p>
            <w:pPr>
              <w:pStyle w:val="TableParagraph"/>
              <w:spacing w:line="242" w:lineRule="auto"/>
              <w:ind w:left="64" w:right="582"/>
              <w:rPr>
                <w:sz w:val="22"/>
              </w:rPr>
            </w:pPr>
            <w:r>
              <w:rPr>
                <w:sz w:val="22"/>
              </w:rPr>
              <w:t>Mobility surveys and environmental referents in transportation</w:t>
            </w:r>
          </w:p>
        </w:tc>
        <w:tc>
          <w:tcPr>
            <w:tcW w:w="761" w:type="dxa"/>
          </w:tcPr>
          <w:p>
            <w:pPr>
              <w:pStyle w:val="TableParagraph"/>
              <w:spacing w:before="8"/>
              <w:rPr>
                <w:b/>
                <w:sz w:val="21"/>
              </w:rPr>
            </w:pPr>
          </w:p>
          <w:p>
            <w:pPr>
              <w:pStyle w:val="TableParagraph"/>
              <w:jc w:val="center"/>
              <w:rPr>
                <w:sz w:val="22"/>
              </w:rPr>
            </w:pPr>
            <w:r>
              <w:rPr>
                <w:w w:val="100"/>
                <w:sz w:val="22"/>
              </w:rPr>
              <w:t>2</w:t>
            </w:r>
          </w:p>
        </w:tc>
        <w:tc>
          <w:tcPr>
            <w:tcW w:w="802" w:type="dxa"/>
          </w:tcPr>
          <w:p>
            <w:pPr>
              <w:pStyle w:val="TableParagraph"/>
              <w:spacing w:before="8"/>
              <w:rPr>
                <w:b/>
                <w:sz w:val="21"/>
              </w:rPr>
            </w:pPr>
          </w:p>
          <w:p>
            <w:pPr>
              <w:pStyle w:val="TableParagraph"/>
              <w:ind w:right="240"/>
              <w:jc w:val="right"/>
              <w:rPr>
                <w:sz w:val="22"/>
              </w:rPr>
            </w:pPr>
            <w:r>
              <w:rPr>
                <w:sz w:val="22"/>
              </w:rPr>
              <w:t>0.2</w:t>
            </w:r>
          </w:p>
        </w:tc>
        <w:tc>
          <w:tcPr>
            <w:tcW w:w="1438" w:type="dxa"/>
          </w:tcPr>
          <w:p>
            <w:pPr>
              <w:pStyle w:val="TableParagraph"/>
              <w:spacing w:before="8"/>
              <w:rPr>
                <w:b/>
                <w:sz w:val="21"/>
              </w:rPr>
            </w:pPr>
          </w:p>
          <w:p>
            <w:pPr>
              <w:pStyle w:val="TableParagraph"/>
              <w:ind w:left="46" w:right="46"/>
              <w:jc w:val="center"/>
              <w:rPr>
                <w:sz w:val="22"/>
              </w:rPr>
            </w:pPr>
            <w:r>
              <w:rPr>
                <w:sz w:val="22"/>
              </w:rPr>
              <w:t>10.954</w:t>
            </w:r>
          </w:p>
        </w:tc>
      </w:tr>
      <w:tr>
        <w:trPr>
          <w:trHeight w:val="806" w:hRule="exact"/>
        </w:trPr>
        <w:tc>
          <w:tcPr>
            <w:tcW w:w="552" w:type="dxa"/>
          </w:tcPr>
          <w:p>
            <w:pPr>
              <w:pStyle w:val="TableParagraph"/>
              <w:rPr>
                <w:b/>
                <w:sz w:val="22"/>
              </w:rPr>
            </w:pPr>
          </w:p>
          <w:p>
            <w:pPr>
              <w:pStyle w:val="TableParagraph"/>
              <w:spacing w:before="8"/>
              <w:rPr>
                <w:b/>
                <w:sz w:val="24"/>
              </w:rPr>
            </w:pPr>
          </w:p>
          <w:p>
            <w:pPr>
              <w:pStyle w:val="TableParagraph"/>
              <w:ind w:left="67" w:right="67"/>
              <w:jc w:val="center"/>
              <w:rPr>
                <w:sz w:val="22"/>
              </w:rPr>
            </w:pPr>
            <w:r>
              <w:rPr>
                <w:sz w:val="22"/>
              </w:rPr>
              <w:t>116</w:t>
            </w:r>
          </w:p>
        </w:tc>
        <w:tc>
          <w:tcPr>
            <w:tcW w:w="5274" w:type="dxa"/>
          </w:tcPr>
          <w:p>
            <w:pPr>
              <w:pStyle w:val="TableParagraph"/>
              <w:spacing w:before="31"/>
              <w:ind w:left="64" w:right="264"/>
              <w:rPr>
                <w:sz w:val="22"/>
              </w:rPr>
            </w:pPr>
            <w:r>
              <w:rPr>
                <w:sz w:val="22"/>
              </w:rPr>
              <w:t>Is residential integration possible in Chilean cities? High and middle groups disposition towards integration with popular groups</w:t>
            </w:r>
          </w:p>
        </w:tc>
        <w:tc>
          <w:tcPr>
            <w:tcW w:w="761" w:type="dxa"/>
          </w:tcPr>
          <w:p>
            <w:pPr>
              <w:pStyle w:val="TableParagraph"/>
              <w:rPr>
                <w:b/>
                <w:sz w:val="22"/>
              </w:rPr>
            </w:pPr>
          </w:p>
          <w:p>
            <w:pPr>
              <w:pStyle w:val="TableParagraph"/>
              <w:spacing w:before="8"/>
              <w:rPr>
                <w:b/>
                <w:sz w:val="24"/>
              </w:rPr>
            </w:pPr>
          </w:p>
          <w:p>
            <w:pPr>
              <w:pStyle w:val="TableParagraph"/>
              <w:jc w:val="center"/>
              <w:rPr>
                <w:sz w:val="22"/>
              </w:rPr>
            </w:pPr>
            <w:r>
              <w:rPr>
                <w:w w:val="100"/>
                <w:sz w:val="22"/>
              </w:rPr>
              <w:t>2</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8"/>
              <w:rPr>
                <w:b/>
                <w:sz w:val="24"/>
              </w:rPr>
            </w:pPr>
          </w:p>
          <w:p>
            <w:pPr>
              <w:pStyle w:val="TableParagraph"/>
              <w:ind w:left="46" w:right="46"/>
              <w:jc w:val="center"/>
              <w:rPr>
                <w:sz w:val="22"/>
              </w:rPr>
            </w:pPr>
            <w:r>
              <w:rPr>
                <w:sz w:val="22"/>
              </w:rPr>
              <w:t>10.788</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117</w:t>
            </w:r>
          </w:p>
        </w:tc>
        <w:tc>
          <w:tcPr>
            <w:tcW w:w="5274" w:type="dxa"/>
          </w:tcPr>
          <w:p>
            <w:pPr>
              <w:pStyle w:val="TableParagraph"/>
              <w:spacing w:before="23"/>
              <w:ind w:left="64" w:right="777"/>
              <w:rPr>
                <w:sz w:val="22"/>
              </w:rPr>
            </w:pPr>
            <w:r>
              <w:rPr>
                <w:sz w:val="22"/>
              </w:rPr>
              <w:t>Federalism and environmental policies in the Buenos Aires Metropolitan Region, Argentina</w:t>
            </w:r>
          </w:p>
        </w:tc>
        <w:tc>
          <w:tcPr>
            <w:tcW w:w="761" w:type="dxa"/>
          </w:tcPr>
          <w:p>
            <w:pPr>
              <w:pStyle w:val="TableParagraph"/>
              <w:spacing w:before="11"/>
              <w:rPr>
                <w:b/>
                <w:sz w:val="23"/>
              </w:rPr>
            </w:pPr>
          </w:p>
          <w:p>
            <w:pPr>
              <w:pStyle w:val="TableParagraph"/>
              <w:jc w:val="center"/>
              <w:rPr>
                <w:sz w:val="22"/>
              </w:rPr>
            </w:pPr>
            <w:r>
              <w:rPr>
                <w:w w:val="100"/>
                <w:sz w:val="22"/>
              </w:rPr>
              <w:t>2</w:t>
            </w:r>
          </w:p>
        </w:tc>
        <w:tc>
          <w:tcPr>
            <w:tcW w:w="802" w:type="dxa"/>
          </w:tcPr>
          <w:p>
            <w:pPr>
              <w:pStyle w:val="TableParagraph"/>
              <w:spacing w:before="11"/>
              <w:rPr>
                <w:b/>
                <w:sz w:val="23"/>
              </w:rPr>
            </w:pPr>
          </w:p>
          <w:p>
            <w:pPr>
              <w:pStyle w:val="TableParagraph"/>
              <w:ind w:right="240"/>
              <w:jc w:val="right"/>
              <w:rPr>
                <w:sz w:val="22"/>
              </w:rPr>
            </w:pPr>
            <w:r>
              <w:rPr>
                <w:sz w:val="22"/>
              </w:rPr>
              <w:t>0.2</w:t>
            </w:r>
          </w:p>
        </w:tc>
        <w:tc>
          <w:tcPr>
            <w:tcW w:w="1438" w:type="dxa"/>
          </w:tcPr>
          <w:p>
            <w:pPr>
              <w:pStyle w:val="TableParagraph"/>
              <w:spacing w:before="11"/>
              <w:rPr>
                <w:b/>
                <w:sz w:val="23"/>
              </w:rPr>
            </w:pPr>
          </w:p>
          <w:p>
            <w:pPr>
              <w:pStyle w:val="TableParagraph"/>
              <w:ind w:left="46" w:right="46"/>
              <w:jc w:val="center"/>
              <w:rPr>
                <w:sz w:val="22"/>
              </w:rPr>
            </w:pPr>
            <w:r>
              <w:rPr>
                <w:sz w:val="22"/>
              </w:rPr>
              <w:t>10.622</w:t>
            </w:r>
          </w:p>
        </w:tc>
      </w:tr>
      <w:tr>
        <w:trPr>
          <w:trHeight w:val="804" w:hRule="exact"/>
        </w:trPr>
        <w:tc>
          <w:tcPr>
            <w:tcW w:w="552" w:type="dxa"/>
          </w:tcPr>
          <w:p>
            <w:pPr>
              <w:pStyle w:val="TableParagraph"/>
              <w:rPr>
                <w:b/>
                <w:sz w:val="22"/>
              </w:rPr>
            </w:pPr>
          </w:p>
          <w:p>
            <w:pPr>
              <w:pStyle w:val="TableParagraph"/>
              <w:spacing w:before="8"/>
              <w:rPr>
                <w:b/>
                <w:sz w:val="24"/>
              </w:rPr>
            </w:pPr>
          </w:p>
          <w:p>
            <w:pPr>
              <w:pStyle w:val="TableParagraph"/>
              <w:ind w:left="67" w:right="67"/>
              <w:jc w:val="center"/>
              <w:rPr>
                <w:sz w:val="22"/>
              </w:rPr>
            </w:pPr>
            <w:r>
              <w:rPr>
                <w:sz w:val="22"/>
              </w:rPr>
              <w:t>118</w:t>
            </w:r>
          </w:p>
        </w:tc>
        <w:tc>
          <w:tcPr>
            <w:tcW w:w="5274" w:type="dxa"/>
          </w:tcPr>
          <w:p>
            <w:pPr>
              <w:pStyle w:val="TableParagraph"/>
              <w:spacing w:before="31"/>
              <w:ind w:left="64" w:right="178"/>
              <w:rPr>
                <w:sz w:val="22"/>
              </w:rPr>
            </w:pPr>
            <w:r>
              <w:rPr>
                <w:sz w:val="22"/>
              </w:rPr>
              <w:t>Towards a polycentric city or the emergence of a wider center in the Metropolitan Area of Greater Santiago? New findings from the 2009 NSC Survey</w:t>
            </w:r>
          </w:p>
        </w:tc>
        <w:tc>
          <w:tcPr>
            <w:tcW w:w="761" w:type="dxa"/>
          </w:tcPr>
          <w:p>
            <w:pPr>
              <w:pStyle w:val="TableParagraph"/>
              <w:rPr>
                <w:b/>
                <w:sz w:val="22"/>
              </w:rPr>
            </w:pPr>
          </w:p>
          <w:p>
            <w:pPr>
              <w:pStyle w:val="TableParagraph"/>
              <w:spacing w:before="8"/>
              <w:rPr>
                <w:b/>
                <w:sz w:val="24"/>
              </w:rPr>
            </w:pPr>
          </w:p>
          <w:p>
            <w:pPr>
              <w:pStyle w:val="TableParagraph"/>
              <w:jc w:val="center"/>
              <w:rPr>
                <w:sz w:val="22"/>
              </w:rPr>
            </w:pPr>
            <w:r>
              <w:rPr>
                <w:w w:val="100"/>
                <w:sz w:val="22"/>
              </w:rPr>
              <w:t>2</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8"/>
              <w:rPr>
                <w:b/>
                <w:sz w:val="24"/>
              </w:rPr>
            </w:pPr>
          </w:p>
          <w:p>
            <w:pPr>
              <w:pStyle w:val="TableParagraph"/>
              <w:ind w:left="46" w:right="46"/>
              <w:jc w:val="center"/>
              <w:rPr>
                <w:sz w:val="22"/>
              </w:rPr>
            </w:pPr>
            <w:r>
              <w:rPr>
                <w:sz w:val="22"/>
              </w:rPr>
              <w:t>10.456</w:t>
            </w:r>
          </w:p>
        </w:tc>
      </w:tr>
      <w:tr>
        <w:trPr>
          <w:trHeight w:val="516" w:hRule="exact"/>
        </w:trPr>
        <w:tc>
          <w:tcPr>
            <w:tcW w:w="552" w:type="dxa"/>
          </w:tcPr>
          <w:p>
            <w:pPr>
              <w:pStyle w:val="TableParagraph"/>
              <w:spacing w:before="7"/>
              <w:rPr>
                <w:b/>
                <w:sz w:val="21"/>
              </w:rPr>
            </w:pPr>
          </w:p>
          <w:p>
            <w:pPr>
              <w:pStyle w:val="TableParagraph"/>
              <w:ind w:left="67" w:right="67"/>
              <w:jc w:val="center"/>
              <w:rPr>
                <w:sz w:val="22"/>
              </w:rPr>
            </w:pPr>
            <w:r>
              <w:rPr>
                <w:sz w:val="22"/>
              </w:rPr>
              <w:t>119</w:t>
            </w:r>
          </w:p>
        </w:tc>
        <w:tc>
          <w:tcPr>
            <w:tcW w:w="5274" w:type="dxa"/>
          </w:tcPr>
          <w:p>
            <w:pPr>
              <w:pStyle w:val="TableParagraph"/>
              <w:spacing w:line="242" w:lineRule="auto"/>
              <w:ind w:left="64" w:right="471"/>
              <w:rPr>
                <w:sz w:val="22"/>
              </w:rPr>
            </w:pPr>
            <w:r>
              <w:rPr>
                <w:sz w:val="22"/>
              </w:rPr>
              <w:t>Metropolitan expansion and mobility: the case of Caracas</w:t>
            </w:r>
          </w:p>
        </w:tc>
        <w:tc>
          <w:tcPr>
            <w:tcW w:w="761" w:type="dxa"/>
          </w:tcPr>
          <w:p>
            <w:pPr>
              <w:pStyle w:val="TableParagraph"/>
              <w:spacing w:before="7"/>
              <w:rPr>
                <w:b/>
                <w:sz w:val="21"/>
              </w:rPr>
            </w:pPr>
          </w:p>
          <w:p>
            <w:pPr>
              <w:pStyle w:val="TableParagraph"/>
              <w:jc w:val="center"/>
              <w:rPr>
                <w:sz w:val="22"/>
              </w:rPr>
            </w:pPr>
            <w:r>
              <w:rPr>
                <w:w w:val="100"/>
                <w:sz w:val="22"/>
              </w:rPr>
              <w:t>2</w:t>
            </w:r>
          </w:p>
        </w:tc>
        <w:tc>
          <w:tcPr>
            <w:tcW w:w="802" w:type="dxa"/>
          </w:tcPr>
          <w:p>
            <w:pPr>
              <w:pStyle w:val="TableParagraph"/>
              <w:spacing w:before="7"/>
              <w:rPr>
                <w:b/>
                <w:sz w:val="21"/>
              </w:rPr>
            </w:pPr>
          </w:p>
          <w:p>
            <w:pPr>
              <w:pStyle w:val="TableParagraph"/>
              <w:ind w:right="240"/>
              <w:jc w:val="right"/>
              <w:rPr>
                <w:sz w:val="22"/>
              </w:rPr>
            </w:pPr>
            <w:r>
              <w:rPr>
                <w:sz w:val="22"/>
              </w:rPr>
              <w:t>0.2</w:t>
            </w:r>
          </w:p>
        </w:tc>
        <w:tc>
          <w:tcPr>
            <w:tcW w:w="1438" w:type="dxa"/>
          </w:tcPr>
          <w:p>
            <w:pPr>
              <w:pStyle w:val="TableParagraph"/>
              <w:spacing w:before="7"/>
              <w:rPr>
                <w:b/>
                <w:sz w:val="21"/>
              </w:rPr>
            </w:pPr>
          </w:p>
          <w:p>
            <w:pPr>
              <w:pStyle w:val="TableParagraph"/>
              <w:ind w:left="46" w:right="46"/>
              <w:jc w:val="center"/>
              <w:rPr>
                <w:sz w:val="22"/>
              </w:rPr>
            </w:pPr>
            <w:r>
              <w:rPr>
                <w:sz w:val="22"/>
              </w:rPr>
              <w:t>10.290</w:t>
            </w:r>
          </w:p>
        </w:tc>
      </w:tr>
      <w:tr>
        <w:trPr>
          <w:trHeight w:val="768" w:hRule="exact"/>
        </w:trPr>
        <w:tc>
          <w:tcPr>
            <w:tcW w:w="552" w:type="dxa"/>
          </w:tcPr>
          <w:p>
            <w:pPr>
              <w:pStyle w:val="TableParagraph"/>
              <w:rPr>
                <w:b/>
                <w:sz w:val="22"/>
              </w:rPr>
            </w:pPr>
          </w:p>
          <w:p>
            <w:pPr>
              <w:pStyle w:val="TableParagraph"/>
              <w:spacing w:before="7"/>
              <w:rPr>
                <w:b/>
                <w:sz w:val="21"/>
              </w:rPr>
            </w:pPr>
          </w:p>
          <w:p>
            <w:pPr>
              <w:pStyle w:val="TableParagraph"/>
              <w:ind w:left="67" w:right="67"/>
              <w:jc w:val="center"/>
              <w:rPr>
                <w:sz w:val="22"/>
              </w:rPr>
            </w:pPr>
            <w:r>
              <w:rPr>
                <w:sz w:val="22"/>
              </w:rPr>
              <w:t>120</w:t>
            </w:r>
          </w:p>
        </w:tc>
        <w:tc>
          <w:tcPr>
            <w:tcW w:w="5274" w:type="dxa"/>
          </w:tcPr>
          <w:p>
            <w:pPr>
              <w:pStyle w:val="TableParagraph"/>
              <w:ind w:left="64" w:right="390"/>
              <w:jc w:val="both"/>
              <w:rPr>
                <w:sz w:val="22"/>
              </w:rPr>
            </w:pPr>
            <w:r>
              <w:rPr>
                <w:sz w:val="22"/>
              </w:rPr>
              <w:t>The proposal to modify the Santiago Metropolitan Regulatory Plan PRMS 100 requires a more solid justification</w:t>
            </w:r>
          </w:p>
        </w:tc>
        <w:tc>
          <w:tcPr>
            <w:tcW w:w="761" w:type="dxa"/>
          </w:tcPr>
          <w:p>
            <w:pPr>
              <w:pStyle w:val="TableParagraph"/>
              <w:rPr>
                <w:b/>
                <w:sz w:val="22"/>
              </w:rPr>
            </w:pPr>
          </w:p>
          <w:p>
            <w:pPr>
              <w:pStyle w:val="TableParagraph"/>
              <w:spacing w:before="7"/>
              <w:rPr>
                <w:b/>
                <w:sz w:val="21"/>
              </w:rPr>
            </w:pPr>
          </w:p>
          <w:p>
            <w:pPr>
              <w:pStyle w:val="TableParagraph"/>
              <w:jc w:val="center"/>
              <w:rPr>
                <w:sz w:val="22"/>
              </w:rPr>
            </w:pPr>
            <w:r>
              <w:rPr>
                <w:w w:val="100"/>
                <w:sz w:val="22"/>
              </w:rPr>
              <w:t>2</w:t>
            </w:r>
          </w:p>
        </w:tc>
        <w:tc>
          <w:tcPr>
            <w:tcW w:w="802" w:type="dxa"/>
          </w:tcPr>
          <w:p>
            <w:pPr>
              <w:pStyle w:val="TableParagraph"/>
              <w:rPr>
                <w:b/>
                <w:sz w:val="22"/>
              </w:rPr>
            </w:pPr>
          </w:p>
          <w:p>
            <w:pPr>
              <w:pStyle w:val="TableParagraph"/>
              <w:spacing w:before="7"/>
              <w:rPr>
                <w:b/>
                <w:sz w:val="21"/>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7"/>
              <w:rPr>
                <w:b/>
                <w:sz w:val="21"/>
              </w:rPr>
            </w:pPr>
          </w:p>
          <w:p>
            <w:pPr>
              <w:pStyle w:val="TableParagraph"/>
              <w:ind w:left="46" w:right="46"/>
              <w:jc w:val="center"/>
              <w:rPr>
                <w:sz w:val="22"/>
              </w:rPr>
            </w:pPr>
            <w:r>
              <w:rPr>
                <w:sz w:val="22"/>
              </w:rPr>
              <w:t>10.124</w:t>
            </w:r>
          </w:p>
        </w:tc>
      </w:tr>
      <w:tr>
        <w:trPr>
          <w:trHeight w:val="317" w:hRule="exact"/>
        </w:trPr>
        <w:tc>
          <w:tcPr>
            <w:tcW w:w="552" w:type="dxa"/>
          </w:tcPr>
          <w:p>
            <w:pPr>
              <w:pStyle w:val="TableParagraph"/>
              <w:spacing w:before="50"/>
              <w:ind w:left="67" w:right="67"/>
              <w:jc w:val="center"/>
              <w:rPr>
                <w:sz w:val="22"/>
              </w:rPr>
            </w:pPr>
            <w:r>
              <w:rPr>
                <w:sz w:val="22"/>
              </w:rPr>
              <w:t>121</w:t>
            </w:r>
          </w:p>
        </w:tc>
        <w:tc>
          <w:tcPr>
            <w:tcW w:w="5274" w:type="dxa"/>
          </w:tcPr>
          <w:p>
            <w:pPr>
              <w:pStyle w:val="TableParagraph"/>
              <w:spacing w:before="50"/>
              <w:ind w:left="64" w:right="679"/>
              <w:rPr>
                <w:sz w:val="22"/>
              </w:rPr>
            </w:pPr>
            <w:r>
              <w:rPr>
                <w:sz w:val="22"/>
              </w:rPr>
              <w:t>Transport and the city</w:t>
            </w:r>
          </w:p>
        </w:tc>
        <w:tc>
          <w:tcPr>
            <w:tcW w:w="761" w:type="dxa"/>
          </w:tcPr>
          <w:p>
            <w:pPr>
              <w:pStyle w:val="TableParagraph"/>
              <w:spacing w:before="50"/>
              <w:jc w:val="center"/>
              <w:rPr>
                <w:sz w:val="22"/>
              </w:rPr>
            </w:pPr>
            <w:r>
              <w:rPr>
                <w:w w:val="100"/>
                <w:sz w:val="22"/>
              </w:rPr>
              <w:t>2</w:t>
            </w:r>
          </w:p>
        </w:tc>
        <w:tc>
          <w:tcPr>
            <w:tcW w:w="802" w:type="dxa"/>
          </w:tcPr>
          <w:p>
            <w:pPr>
              <w:pStyle w:val="TableParagraph"/>
              <w:spacing w:before="50"/>
              <w:ind w:right="240"/>
              <w:jc w:val="right"/>
              <w:rPr>
                <w:sz w:val="22"/>
              </w:rPr>
            </w:pPr>
            <w:r>
              <w:rPr>
                <w:sz w:val="22"/>
              </w:rPr>
              <w:t>0.2</w:t>
            </w:r>
          </w:p>
        </w:tc>
        <w:tc>
          <w:tcPr>
            <w:tcW w:w="1438" w:type="dxa"/>
          </w:tcPr>
          <w:p>
            <w:pPr>
              <w:pStyle w:val="TableParagraph"/>
              <w:spacing w:before="50"/>
              <w:ind w:left="45" w:right="46"/>
              <w:jc w:val="center"/>
              <w:rPr>
                <w:sz w:val="22"/>
              </w:rPr>
            </w:pPr>
            <w:r>
              <w:rPr>
                <w:sz w:val="22"/>
              </w:rPr>
              <w:t>9.959</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122</w:t>
            </w:r>
          </w:p>
        </w:tc>
        <w:tc>
          <w:tcPr>
            <w:tcW w:w="5274" w:type="dxa"/>
          </w:tcPr>
          <w:p>
            <w:pPr>
              <w:pStyle w:val="TableParagraph"/>
              <w:spacing w:before="23"/>
              <w:ind w:left="64" w:right="276"/>
              <w:rPr>
                <w:sz w:val="22"/>
              </w:rPr>
            </w:pPr>
            <w:r>
              <w:rPr>
                <w:sz w:val="22"/>
              </w:rPr>
              <w:t>Territorial development in the Argentinean north: a critical perspective</w:t>
            </w:r>
          </w:p>
        </w:tc>
        <w:tc>
          <w:tcPr>
            <w:tcW w:w="761" w:type="dxa"/>
          </w:tcPr>
          <w:p>
            <w:pPr>
              <w:pStyle w:val="TableParagraph"/>
              <w:spacing w:before="2"/>
              <w:rPr>
                <w:b/>
                <w:sz w:val="24"/>
              </w:rPr>
            </w:pPr>
          </w:p>
          <w:p>
            <w:pPr>
              <w:pStyle w:val="TableParagraph"/>
              <w:jc w:val="center"/>
              <w:rPr>
                <w:sz w:val="22"/>
              </w:rPr>
            </w:pPr>
            <w:r>
              <w:rPr>
                <w:w w:val="100"/>
                <w:sz w:val="22"/>
              </w:rPr>
              <w:t>2</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5" w:right="46"/>
              <w:jc w:val="center"/>
              <w:rPr>
                <w:sz w:val="22"/>
              </w:rPr>
            </w:pPr>
            <w:r>
              <w:rPr>
                <w:sz w:val="22"/>
              </w:rPr>
              <w:t>9.793</w:t>
            </w:r>
          </w:p>
        </w:tc>
      </w:tr>
      <w:tr>
        <w:trPr>
          <w:trHeight w:val="770"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123</w:t>
            </w:r>
          </w:p>
        </w:tc>
        <w:tc>
          <w:tcPr>
            <w:tcW w:w="5274" w:type="dxa"/>
          </w:tcPr>
          <w:p>
            <w:pPr>
              <w:pStyle w:val="TableParagraph"/>
              <w:ind w:left="64" w:right="156"/>
              <w:rPr>
                <w:sz w:val="22"/>
              </w:rPr>
            </w:pPr>
            <w:r>
              <w:rPr>
                <w:sz w:val="22"/>
              </w:rPr>
              <w:t>The history of the emergence of universal access to drinking water and sewage networks in Santiago, Chile-1970-1995</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2</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9.627</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124</w:t>
            </w:r>
          </w:p>
        </w:tc>
        <w:tc>
          <w:tcPr>
            <w:tcW w:w="5274" w:type="dxa"/>
          </w:tcPr>
          <w:p>
            <w:pPr>
              <w:pStyle w:val="TableParagraph"/>
              <w:spacing w:before="23"/>
              <w:ind w:left="64" w:right="312"/>
              <w:rPr>
                <w:sz w:val="22"/>
              </w:rPr>
            </w:pPr>
            <w:r>
              <w:rPr>
                <w:sz w:val="22"/>
              </w:rPr>
              <w:t>Decentralization: a definition and evaluation of the chilean legislation (1990-2008)</w:t>
            </w:r>
          </w:p>
        </w:tc>
        <w:tc>
          <w:tcPr>
            <w:tcW w:w="761" w:type="dxa"/>
          </w:tcPr>
          <w:p>
            <w:pPr>
              <w:pStyle w:val="TableParagraph"/>
              <w:spacing w:before="11"/>
              <w:rPr>
                <w:b/>
                <w:sz w:val="23"/>
              </w:rPr>
            </w:pPr>
          </w:p>
          <w:p>
            <w:pPr>
              <w:pStyle w:val="TableParagraph"/>
              <w:jc w:val="center"/>
              <w:rPr>
                <w:sz w:val="22"/>
              </w:rPr>
            </w:pPr>
            <w:r>
              <w:rPr>
                <w:w w:val="100"/>
                <w:sz w:val="22"/>
              </w:rPr>
              <w:t>2</w:t>
            </w:r>
          </w:p>
        </w:tc>
        <w:tc>
          <w:tcPr>
            <w:tcW w:w="802" w:type="dxa"/>
          </w:tcPr>
          <w:p>
            <w:pPr>
              <w:pStyle w:val="TableParagraph"/>
              <w:spacing w:before="11"/>
              <w:rPr>
                <w:b/>
                <w:sz w:val="23"/>
              </w:rPr>
            </w:pPr>
          </w:p>
          <w:p>
            <w:pPr>
              <w:pStyle w:val="TableParagraph"/>
              <w:ind w:right="240"/>
              <w:jc w:val="right"/>
              <w:rPr>
                <w:sz w:val="22"/>
              </w:rPr>
            </w:pPr>
            <w:r>
              <w:rPr>
                <w:sz w:val="22"/>
              </w:rPr>
              <w:t>0.2</w:t>
            </w:r>
          </w:p>
        </w:tc>
        <w:tc>
          <w:tcPr>
            <w:tcW w:w="1438" w:type="dxa"/>
          </w:tcPr>
          <w:p>
            <w:pPr>
              <w:pStyle w:val="TableParagraph"/>
              <w:spacing w:before="11"/>
              <w:rPr>
                <w:b/>
                <w:sz w:val="23"/>
              </w:rPr>
            </w:pPr>
          </w:p>
          <w:p>
            <w:pPr>
              <w:pStyle w:val="TableParagraph"/>
              <w:ind w:left="45" w:right="46"/>
              <w:jc w:val="center"/>
              <w:rPr>
                <w:sz w:val="22"/>
              </w:rPr>
            </w:pPr>
            <w:r>
              <w:rPr>
                <w:sz w:val="22"/>
              </w:rPr>
              <w:t>9.461</w:t>
            </w:r>
          </w:p>
        </w:tc>
      </w:tr>
      <w:tr>
        <w:trPr>
          <w:trHeight w:val="545" w:hRule="exact"/>
        </w:trPr>
        <w:tc>
          <w:tcPr>
            <w:tcW w:w="552" w:type="dxa"/>
          </w:tcPr>
          <w:p>
            <w:pPr>
              <w:pStyle w:val="TableParagraph"/>
              <w:rPr>
                <w:b/>
                <w:sz w:val="24"/>
              </w:rPr>
            </w:pPr>
          </w:p>
          <w:p>
            <w:pPr>
              <w:pStyle w:val="TableParagraph"/>
              <w:ind w:left="67" w:right="67"/>
              <w:jc w:val="center"/>
              <w:rPr>
                <w:sz w:val="22"/>
              </w:rPr>
            </w:pPr>
            <w:r>
              <w:rPr>
                <w:sz w:val="22"/>
              </w:rPr>
              <w:t>125</w:t>
            </w:r>
          </w:p>
        </w:tc>
        <w:tc>
          <w:tcPr>
            <w:tcW w:w="5274" w:type="dxa"/>
          </w:tcPr>
          <w:p>
            <w:pPr>
              <w:pStyle w:val="TableParagraph"/>
              <w:spacing w:before="23"/>
              <w:ind w:left="64" w:right="228"/>
              <w:rPr>
                <w:sz w:val="22"/>
              </w:rPr>
            </w:pPr>
            <w:r>
              <w:rPr>
                <w:sz w:val="22"/>
              </w:rPr>
              <w:t>Territory and new ruralities. A theoretical review on the transformation of the country-city relationships</w:t>
            </w:r>
          </w:p>
        </w:tc>
        <w:tc>
          <w:tcPr>
            <w:tcW w:w="761" w:type="dxa"/>
          </w:tcPr>
          <w:p>
            <w:pPr>
              <w:pStyle w:val="TableParagraph"/>
              <w:rPr>
                <w:b/>
                <w:sz w:val="24"/>
              </w:rPr>
            </w:pPr>
          </w:p>
          <w:p>
            <w:pPr>
              <w:pStyle w:val="TableParagraph"/>
              <w:jc w:val="center"/>
              <w:rPr>
                <w:sz w:val="22"/>
              </w:rPr>
            </w:pPr>
            <w:r>
              <w:rPr>
                <w:w w:val="100"/>
                <w:sz w:val="22"/>
              </w:rPr>
              <w:t>2</w:t>
            </w:r>
          </w:p>
        </w:tc>
        <w:tc>
          <w:tcPr>
            <w:tcW w:w="802" w:type="dxa"/>
          </w:tcPr>
          <w:p>
            <w:pPr>
              <w:pStyle w:val="TableParagraph"/>
              <w:rPr>
                <w:b/>
                <w:sz w:val="24"/>
              </w:rPr>
            </w:pPr>
          </w:p>
          <w:p>
            <w:pPr>
              <w:pStyle w:val="TableParagraph"/>
              <w:ind w:right="240"/>
              <w:jc w:val="right"/>
              <w:rPr>
                <w:sz w:val="22"/>
              </w:rPr>
            </w:pPr>
            <w:r>
              <w:rPr>
                <w:sz w:val="22"/>
              </w:rPr>
              <w:t>0.2</w:t>
            </w:r>
          </w:p>
        </w:tc>
        <w:tc>
          <w:tcPr>
            <w:tcW w:w="1438" w:type="dxa"/>
          </w:tcPr>
          <w:p>
            <w:pPr>
              <w:pStyle w:val="TableParagraph"/>
              <w:rPr>
                <w:b/>
                <w:sz w:val="24"/>
              </w:rPr>
            </w:pPr>
          </w:p>
          <w:p>
            <w:pPr>
              <w:pStyle w:val="TableParagraph"/>
              <w:ind w:left="45" w:right="46"/>
              <w:jc w:val="center"/>
              <w:rPr>
                <w:sz w:val="22"/>
              </w:rPr>
            </w:pPr>
            <w:r>
              <w:rPr>
                <w:sz w:val="22"/>
              </w:rPr>
              <w:t>9.295</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126</w:t>
            </w:r>
          </w:p>
        </w:tc>
        <w:tc>
          <w:tcPr>
            <w:tcW w:w="5274" w:type="dxa"/>
          </w:tcPr>
          <w:p>
            <w:pPr>
              <w:pStyle w:val="TableParagraph"/>
              <w:spacing w:before="23"/>
              <w:ind w:left="64" w:right="423"/>
              <w:rPr>
                <w:sz w:val="22"/>
              </w:rPr>
            </w:pPr>
            <w:r>
              <w:rPr>
                <w:sz w:val="22"/>
              </w:rPr>
              <w:t>Movility impact on the main factors of a changing metropolitan model</w:t>
            </w:r>
          </w:p>
        </w:tc>
        <w:tc>
          <w:tcPr>
            <w:tcW w:w="761" w:type="dxa"/>
          </w:tcPr>
          <w:p>
            <w:pPr>
              <w:pStyle w:val="TableParagraph"/>
              <w:spacing w:before="11"/>
              <w:rPr>
                <w:b/>
                <w:sz w:val="23"/>
              </w:rPr>
            </w:pPr>
          </w:p>
          <w:p>
            <w:pPr>
              <w:pStyle w:val="TableParagraph"/>
              <w:jc w:val="center"/>
              <w:rPr>
                <w:sz w:val="22"/>
              </w:rPr>
            </w:pPr>
            <w:r>
              <w:rPr>
                <w:w w:val="100"/>
                <w:sz w:val="22"/>
              </w:rPr>
              <w:t>2</w:t>
            </w:r>
          </w:p>
        </w:tc>
        <w:tc>
          <w:tcPr>
            <w:tcW w:w="802" w:type="dxa"/>
          </w:tcPr>
          <w:p>
            <w:pPr>
              <w:pStyle w:val="TableParagraph"/>
              <w:spacing w:before="11"/>
              <w:rPr>
                <w:b/>
                <w:sz w:val="23"/>
              </w:rPr>
            </w:pPr>
          </w:p>
          <w:p>
            <w:pPr>
              <w:pStyle w:val="TableParagraph"/>
              <w:ind w:right="240"/>
              <w:jc w:val="right"/>
              <w:rPr>
                <w:sz w:val="22"/>
              </w:rPr>
            </w:pPr>
            <w:r>
              <w:rPr>
                <w:sz w:val="22"/>
              </w:rPr>
              <w:t>0.2</w:t>
            </w:r>
          </w:p>
        </w:tc>
        <w:tc>
          <w:tcPr>
            <w:tcW w:w="1438" w:type="dxa"/>
          </w:tcPr>
          <w:p>
            <w:pPr>
              <w:pStyle w:val="TableParagraph"/>
              <w:spacing w:before="11"/>
              <w:rPr>
                <w:b/>
                <w:sz w:val="23"/>
              </w:rPr>
            </w:pPr>
          </w:p>
          <w:p>
            <w:pPr>
              <w:pStyle w:val="TableParagraph"/>
              <w:ind w:left="45" w:right="46"/>
              <w:jc w:val="center"/>
              <w:rPr>
                <w:sz w:val="22"/>
              </w:rPr>
            </w:pPr>
            <w:r>
              <w:rPr>
                <w:sz w:val="22"/>
              </w:rPr>
              <w:t>9.129</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127</w:t>
            </w:r>
          </w:p>
        </w:tc>
        <w:tc>
          <w:tcPr>
            <w:tcW w:w="5274" w:type="dxa"/>
          </w:tcPr>
          <w:p>
            <w:pPr>
              <w:pStyle w:val="TableParagraph"/>
              <w:ind w:left="64" w:right="215"/>
              <w:rPr>
                <w:sz w:val="22"/>
              </w:rPr>
            </w:pPr>
            <w:r>
              <w:rPr>
                <w:sz w:val="22"/>
              </w:rPr>
              <w:t>The command functions of Madrid within the global economy: an approach based on the process of foreign capital attraction</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2</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8.963</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128</w:t>
            </w:r>
          </w:p>
        </w:tc>
        <w:tc>
          <w:tcPr>
            <w:tcW w:w="5274" w:type="dxa"/>
          </w:tcPr>
          <w:p>
            <w:pPr>
              <w:pStyle w:val="TableParagraph"/>
              <w:spacing w:before="26"/>
              <w:ind w:left="64" w:right="301"/>
              <w:rPr>
                <w:sz w:val="22"/>
              </w:rPr>
            </w:pPr>
            <w:r>
              <w:rPr>
                <w:sz w:val="22"/>
              </w:rPr>
              <w:t>Gateway cities: banking circles, concentration and dispersion in the Brazilian urban environment</w:t>
            </w:r>
          </w:p>
        </w:tc>
        <w:tc>
          <w:tcPr>
            <w:tcW w:w="761" w:type="dxa"/>
          </w:tcPr>
          <w:p>
            <w:pPr>
              <w:pStyle w:val="TableParagraph"/>
              <w:spacing w:before="2"/>
              <w:rPr>
                <w:b/>
                <w:sz w:val="24"/>
              </w:rPr>
            </w:pPr>
          </w:p>
          <w:p>
            <w:pPr>
              <w:pStyle w:val="TableParagraph"/>
              <w:jc w:val="center"/>
              <w:rPr>
                <w:sz w:val="22"/>
              </w:rPr>
            </w:pPr>
            <w:r>
              <w:rPr>
                <w:w w:val="100"/>
                <w:sz w:val="22"/>
              </w:rPr>
              <w:t>2</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5" w:right="46"/>
              <w:jc w:val="center"/>
              <w:rPr>
                <w:sz w:val="22"/>
              </w:rPr>
            </w:pPr>
            <w:r>
              <w:rPr>
                <w:sz w:val="22"/>
              </w:rPr>
              <w:t>8.797</w:t>
            </w:r>
          </w:p>
        </w:tc>
      </w:tr>
      <w:tr>
        <w:trPr>
          <w:trHeight w:val="317" w:hRule="exact"/>
        </w:trPr>
        <w:tc>
          <w:tcPr>
            <w:tcW w:w="552" w:type="dxa"/>
          </w:tcPr>
          <w:p>
            <w:pPr>
              <w:pStyle w:val="TableParagraph"/>
              <w:spacing w:before="50"/>
              <w:ind w:left="67" w:right="67"/>
              <w:jc w:val="center"/>
              <w:rPr>
                <w:sz w:val="22"/>
              </w:rPr>
            </w:pPr>
            <w:r>
              <w:rPr>
                <w:sz w:val="22"/>
              </w:rPr>
              <w:t>129</w:t>
            </w:r>
          </w:p>
        </w:tc>
        <w:tc>
          <w:tcPr>
            <w:tcW w:w="5274" w:type="dxa"/>
          </w:tcPr>
          <w:p>
            <w:pPr>
              <w:pStyle w:val="TableParagraph"/>
              <w:spacing w:before="50"/>
              <w:ind w:left="64" w:right="679"/>
              <w:rPr>
                <w:sz w:val="22"/>
              </w:rPr>
            </w:pPr>
            <w:r>
              <w:rPr>
                <w:sz w:val="22"/>
              </w:rPr>
              <w:t>The insupportable lightness of the urban</w:t>
            </w:r>
          </w:p>
        </w:tc>
        <w:tc>
          <w:tcPr>
            <w:tcW w:w="761" w:type="dxa"/>
          </w:tcPr>
          <w:p>
            <w:pPr>
              <w:pStyle w:val="TableParagraph"/>
              <w:spacing w:before="50"/>
              <w:jc w:val="center"/>
              <w:rPr>
                <w:sz w:val="22"/>
              </w:rPr>
            </w:pPr>
            <w:r>
              <w:rPr>
                <w:w w:val="100"/>
                <w:sz w:val="22"/>
              </w:rPr>
              <w:t>2</w:t>
            </w:r>
          </w:p>
        </w:tc>
        <w:tc>
          <w:tcPr>
            <w:tcW w:w="802" w:type="dxa"/>
          </w:tcPr>
          <w:p>
            <w:pPr>
              <w:pStyle w:val="TableParagraph"/>
              <w:spacing w:before="50"/>
              <w:ind w:right="240"/>
              <w:jc w:val="right"/>
              <w:rPr>
                <w:sz w:val="22"/>
              </w:rPr>
            </w:pPr>
            <w:r>
              <w:rPr>
                <w:sz w:val="22"/>
              </w:rPr>
              <w:t>0.2</w:t>
            </w:r>
          </w:p>
        </w:tc>
        <w:tc>
          <w:tcPr>
            <w:tcW w:w="1438" w:type="dxa"/>
          </w:tcPr>
          <w:p>
            <w:pPr>
              <w:pStyle w:val="TableParagraph"/>
              <w:spacing w:before="50"/>
              <w:ind w:left="45" w:right="46"/>
              <w:jc w:val="center"/>
              <w:rPr>
                <w:sz w:val="22"/>
              </w:rPr>
            </w:pPr>
            <w:r>
              <w:rPr>
                <w:sz w:val="22"/>
              </w:rPr>
              <w:t>8.631</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130</w:t>
            </w:r>
          </w:p>
        </w:tc>
        <w:tc>
          <w:tcPr>
            <w:tcW w:w="5274" w:type="dxa"/>
          </w:tcPr>
          <w:p>
            <w:pPr>
              <w:pStyle w:val="TableParagraph"/>
              <w:spacing w:before="23"/>
              <w:ind w:left="64" w:right="362"/>
              <w:rPr>
                <w:sz w:val="22"/>
              </w:rPr>
            </w:pPr>
            <w:r>
              <w:rPr>
                <w:sz w:val="22"/>
              </w:rPr>
              <w:t>Exploring limitations of new regionalism in the EU policies: A Latin-American perspective</w:t>
            </w:r>
          </w:p>
        </w:tc>
        <w:tc>
          <w:tcPr>
            <w:tcW w:w="761" w:type="dxa"/>
          </w:tcPr>
          <w:p>
            <w:pPr>
              <w:pStyle w:val="TableParagraph"/>
              <w:spacing w:before="2"/>
              <w:rPr>
                <w:b/>
                <w:sz w:val="24"/>
              </w:rPr>
            </w:pPr>
          </w:p>
          <w:p>
            <w:pPr>
              <w:pStyle w:val="TableParagraph"/>
              <w:jc w:val="center"/>
              <w:rPr>
                <w:sz w:val="22"/>
              </w:rPr>
            </w:pPr>
            <w:r>
              <w:rPr>
                <w:w w:val="100"/>
                <w:sz w:val="22"/>
              </w:rPr>
              <w:t>2</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5" w:right="46"/>
              <w:jc w:val="center"/>
              <w:rPr>
                <w:sz w:val="22"/>
              </w:rPr>
            </w:pPr>
            <w:r>
              <w:rPr>
                <w:sz w:val="22"/>
              </w:rPr>
              <w:t>8.465</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131</w:t>
            </w:r>
          </w:p>
        </w:tc>
        <w:tc>
          <w:tcPr>
            <w:tcW w:w="5274" w:type="dxa"/>
          </w:tcPr>
          <w:p>
            <w:pPr>
              <w:pStyle w:val="TableParagraph"/>
              <w:spacing w:before="23"/>
              <w:ind w:left="64" w:right="289"/>
              <w:rPr>
                <w:sz w:val="22"/>
              </w:rPr>
            </w:pPr>
            <w:r>
              <w:rPr>
                <w:sz w:val="22"/>
              </w:rPr>
              <w:t>How to think the city? Critical analysis of a century of urban management and planning</w:t>
            </w:r>
          </w:p>
        </w:tc>
        <w:tc>
          <w:tcPr>
            <w:tcW w:w="761" w:type="dxa"/>
          </w:tcPr>
          <w:p>
            <w:pPr>
              <w:pStyle w:val="TableParagraph"/>
              <w:spacing w:before="2"/>
              <w:rPr>
                <w:b/>
                <w:sz w:val="24"/>
              </w:rPr>
            </w:pPr>
          </w:p>
          <w:p>
            <w:pPr>
              <w:pStyle w:val="TableParagraph"/>
              <w:jc w:val="center"/>
              <w:rPr>
                <w:sz w:val="22"/>
              </w:rPr>
            </w:pPr>
            <w:r>
              <w:rPr>
                <w:w w:val="100"/>
                <w:sz w:val="22"/>
              </w:rPr>
              <w:t>2</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5" w:right="46"/>
              <w:jc w:val="center"/>
              <w:rPr>
                <w:sz w:val="22"/>
              </w:rPr>
            </w:pPr>
            <w:r>
              <w:rPr>
                <w:sz w:val="22"/>
              </w:rPr>
              <w:t>8.299</w:t>
            </w:r>
          </w:p>
        </w:tc>
      </w:tr>
    </w:tbl>
    <w:p>
      <w:pPr>
        <w:spacing w:after="0"/>
        <w:jc w:val="center"/>
        <w:rPr>
          <w:sz w:val="22"/>
        </w:rPr>
        <w:sectPr>
          <w:pgSz w:w="12240" w:h="15840"/>
          <w:pgMar w:header="0" w:footer="629" w:top="142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
        <w:gridCol w:w="5274"/>
        <w:gridCol w:w="761"/>
        <w:gridCol w:w="802"/>
        <w:gridCol w:w="1438"/>
      </w:tblGrid>
      <w:tr>
        <w:trPr>
          <w:trHeight w:val="316" w:hRule="exact"/>
        </w:trPr>
        <w:tc>
          <w:tcPr>
            <w:tcW w:w="552" w:type="dxa"/>
            <w:shd w:val="clear" w:color="auto" w:fill="938953"/>
          </w:tcPr>
          <w:p>
            <w:pPr/>
          </w:p>
        </w:tc>
        <w:tc>
          <w:tcPr>
            <w:tcW w:w="5274" w:type="dxa"/>
            <w:shd w:val="clear" w:color="auto" w:fill="938953"/>
          </w:tcPr>
          <w:p>
            <w:pPr>
              <w:pStyle w:val="TableParagraph"/>
              <w:spacing w:before="47"/>
              <w:ind w:left="2347" w:right="2350"/>
              <w:jc w:val="center"/>
              <w:rPr>
                <w:b/>
                <w:sz w:val="22"/>
              </w:rPr>
            </w:pPr>
            <w:r>
              <w:rPr>
                <w:b/>
                <w:color w:val="FFFFFF"/>
                <w:sz w:val="22"/>
              </w:rPr>
              <w:t>Total</w:t>
            </w:r>
          </w:p>
        </w:tc>
        <w:tc>
          <w:tcPr>
            <w:tcW w:w="761" w:type="dxa"/>
            <w:shd w:val="clear" w:color="auto" w:fill="938953"/>
          </w:tcPr>
          <w:p>
            <w:pPr>
              <w:pStyle w:val="TableParagraph"/>
              <w:spacing w:before="49"/>
              <w:ind w:left="105" w:right="105"/>
              <w:jc w:val="center"/>
              <w:rPr>
                <w:sz w:val="22"/>
              </w:rPr>
            </w:pPr>
            <w:r>
              <w:rPr>
                <w:color w:val="FFFFFF"/>
                <w:sz w:val="22"/>
              </w:rPr>
              <w:t>Citas</w:t>
            </w:r>
          </w:p>
        </w:tc>
        <w:tc>
          <w:tcPr>
            <w:tcW w:w="802" w:type="dxa"/>
            <w:shd w:val="clear" w:color="auto" w:fill="938953"/>
          </w:tcPr>
          <w:p>
            <w:pPr>
              <w:pStyle w:val="TableParagraph"/>
              <w:spacing w:before="49"/>
              <w:ind w:right="298"/>
              <w:jc w:val="right"/>
              <w:rPr>
                <w:sz w:val="22"/>
              </w:rPr>
            </w:pPr>
            <w:r>
              <w:rPr>
                <w:color w:val="FFFFFF"/>
                <w:w w:val="100"/>
                <w:sz w:val="22"/>
              </w:rPr>
              <w:t>%</w:t>
            </w:r>
          </w:p>
        </w:tc>
        <w:tc>
          <w:tcPr>
            <w:tcW w:w="1438" w:type="dxa"/>
            <w:shd w:val="clear" w:color="auto" w:fill="938953"/>
          </w:tcPr>
          <w:p>
            <w:pPr>
              <w:pStyle w:val="TableParagraph"/>
              <w:spacing w:before="49"/>
              <w:ind w:left="46" w:right="46"/>
              <w:jc w:val="center"/>
              <w:rPr>
                <w:sz w:val="22"/>
              </w:rPr>
            </w:pPr>
            <w:r>
              <w:rPr>
                <w:color w:val="FFFFFF"/>
                <w:sz w:val="22"/>
              </w:rPr>
              <w:t>%Acumulado</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132</w:t>
            </w:r>
          </w:p>
        </w:tc>
        <w:tc>
          <w:tcPr>
            <w:tcW w:w="5274" w:type="dxa"/>
          </w:tcPr>
          <w:p>
            <w:pPr>
              <w:pStyle w:val="TableParagraph"/>
              <w:spacing w:before="23"/>
              <w:ind w:left="64" w:right="227"/>
              <w:rPr>
                <w:sz w:val="22"/>
              </w:rPr>
            </w:pPr>
            <w:r>
              <w:rPr>
                <w:sz w:val="22"/>
              </w:rPr>
              <w:t>Challenges for sustainable development of cities in Latin America and the Caribbean</w:t>
            </w:r>
          </w:p>
        </w:tc>
        <w:tc>
          <w:tcPr>
            <w:tcW w:w="761" w:type="dxa"/>
          </w:tcPr>
          <w:p>
            <w:pPr>
              <w:pStyle w:val="TableParagraph"/>
              <w:spacing w:before="2"/>
              <w:rPr>
                <w:b/>
                <w:sz w:val="24"/>
              </w:rPr>
            </w:pPr>
          </w:p>
          <w:p>
            <w:pPr>
              <w:pStyle w:val="TableParagraph"/>
              <w:jc w:val="center"/>
              <w:rPr>
                <w:sz w:val="22"/>
              </w:rPr>
            </w:pPr>
            <w:r>
              <w:rPr>
                <w:w w:val="100"/>
                <w:sz w:val="22"/>
              </w:rPr>
              <w:t>2</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5" w:right="46"/>
              <w:jc w:val="center"/>
              <w:rPr>
                <w:sz w:val="22"/>
              </w:rPr>
            </w:pPr>
            <w:r>
              <w:rPr>
                <w:sz w:val="22"/>
              </w:rPr>
              <w:t>8.133</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133</w:t>
            </w:r>
          </w:p>
        </w:tc>
        <w:tc>
          <w:tcPr>
            <w:tcW w:w="5274" w:type="dxa"/>
          </w:tcPr>
          <w:p>
            <w:pPr>
              <w:pStyle w:val="TableParagraph"/>
              <w:spacing w:before="23"/>
              <w:ind w:left="64" w:right="374"/>
              <w:rPr>
                <w:sz w:val="22"/>
              </w:rPr>
            </w:pPr>
            <w:r>
              <w:rPr>
                <w:sz w:val="22"/>
              </w:rPr>
              <w:t>City and settlement patterns. Urban structure and typology for the case of Lima</w:t>
            </w:r>
          </w:p>
        </w:tc>
        <w:tc>
          <w:tcPr>
            <w:tcW w:w="761" w:type="dxa"/>
          </w:tcPr>
          <w:p>
            <w:pPr>
              <w:pStyle w:val="TableParagraph"/>
              <w:spacing w:before="2"/>
              <w:rPr>
                <w:b/>
                <w:sz w:val="24"/>
              </w:rPr>
            </w:pPr>
          </w:p>
          <w:p>
            <w:pPr>
              <w:pStyle w:val="TableParagraph"/>
              <w:jc w:val="center"/>
              <w:rPr>
                <w:sz w:val="22"/>
              </w:rPr>
            </w:pPr>
            <w:r>
              <w:rPr>
                <w:w w:val="100"/>
                <w:sz w:val="22"/>
              </w:rPr>
              <w:t>2</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5" w:right="46"/>
              <w:jc w:val="center"/>
              <w:rPr>
                <w:sz w:val="22"/>
              </w:rPr>
            </w:pPr>
            <w:r>
              <w:rPr>
                <w:sz w:val="22"/>
              </w:rPr>
              <w:t>7.967</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134</w:t>
            </w:r>
          </w:p>
        </w:tc>
        <w:tc>
          <w:tcPr>
            <w:tcW w:w="5274" w:type="dxa"/>
          </w:tcPr>
          <w:p>
            <w:pPr>
              <w:pStyle w:val="TableParagraph"/>
              <w:spacing w:before="26"/>
              <w:ind w:left="64" w:right="411"/>
              <w:rPr>
                <w:sz w:val="22"/>
              </w:rPr>
            </w:pPr>
            <w:r>
              <w:rPr>
                <w:sz w:val="22"/>
              </w:rPr>
              <w:t>Rise and transformation of dusters and milieus in development procesess</w:t>
            </w:r>
          </w:p>
        </w:tc>
        <w:tc>
          <w:tcPr>
            <w:tcW w:w="761" w:type="dxa"/>
          </w:tcPr>
          <w:p>
            <w:pPr>
              <w:pStyle w:val="TableParagraph"/>
              <w:spacing w:before="2"/>
              <w:rPr>
                <w:b/>
                <w:sz w:val="24"/>
              </w:rPr>
            </w:pPr>
          </w:p>
          <w:p>
            <w:pPr>
              <w:pStyle w:val="TableParagraph"/>
              <w:jc w:val="center"/>
              <w:rPr>
                <w:sz w:val="22"/>
              </w:rPr>
            </w:pPr>
            <w:r>
              <w:rPr>
                <w:w w:val="100"/>
                <w:sz w:val="22"/>
              </w:rPr>
              <w:t>2</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5" w:right="46"/>
              <w:jc w:val="center"/>
              <w:rPr>
                <w:sz w:val="22"/>
              </w:rPr>
            </w:pPr>
            <w:r>
              <w:rPr>
                <w:sz w:val="22"/>
              </w:rPr>
              <w:t>7.801</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135</w:t>
            </w:r>
          </w:p>
        </w:tc>
        <w:tc>
          <w:tcPr>
            <w:tcW w:w="5274" w:type="dxa"/>
          </w:tcPr>
          <w:p>
            <w:pPr>
              <w:pStyle w:val="TableParagraph"/>
              <w:spacing w:before="26"/>
              <w:ind w:left="64" w:right="141"/>
              <w:rPr>
                <w:sz w:val="22"/>
              </w:rPr>
            </w:pPr>
            <w:r>
              <w:rPr>
                <w:sz w:val="22"/>
              </w:rPr>
              <w:t>Technological oportunities and scientific production: A micro-regional analysis for Brasil</w:t>
            </w:r>
          </w:p>
        </w:tc>
        <w:tc>
          <w:tcPr>
            <w:tcW w:w="761" w:type="dxa"/>
          </w:tcPr>
          <w:p>
            <w:pPr>
              <w:pStyle w:val="TableParagraph"/>
              <w:spacing w:before="2"/>
              <w:rPr>
                <w:b/>
                <w:sz w:val="24"/>
              </w:rPr>
            </w:pPr>
          </w:p>
          <w:p>
            <w:pPr>
              <w:pStyle w:val="TableParagraph"/>
              <w:jc w:val="center"/>
              <w:rPr>
                <w:sz w:val="22"/>
              </w:rPr>
            </w:pPr>
            <w:r>
              <w:rPr>
                <w:w w:val="100"/>
                <w:sz w:val="22"/>
              </w:rPr>
              <w:t>2</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5" w:right="46"/>
              <w:jc w:val="center"/>
              <w:rPr>
                <w:sz w:val="22"/>
              </w:rPr>
            </w:pPr>
            <w:r>
              <w:rPr>
                <w:sz w:val="22"/>
              </w:rPr>
              <w:t>7.635</w:t>
            </w:r>
          </w:p>
        </w:tc>
      </w:tr>
      <w:tr>
        <w:trPr>
          <w:trHeight w:val="547" w:hRule="exact"/>
        </w:trPr>
        <w:tc>
          <w:tcPr>
            <w:tcW w:w="552" w:type="dxa"/>
          </w:tcPr>
          <w:p>
            <w:pPr>
              <w:pStyle w:val="TableParagraph"/>
              <w:spacing w:before="2"/>
              <w:rPr>
                <w:b/>
                <w:sz w:val="24"/>
              </w:rPr>
            </w:pPr>
          </w:p>
          <w:p>
            <w:pPr>
              <w:pStyle w:val="TableParagraph"/>
              <w:ind w:left="67" w:right="67"/>
              <w:jc w:val="center"/>
              <w:rPr>
                <w:sz w:val="22"/>
              </w:rPr>
            </w:pPr>
            <w:r>
              <w:rPr>
                <w:sz w:val="22"/>
              </w:rPr>
              <w:t>136</w:t>
            </w:r>
          </w:p>
        </w:tc>
        <w:tc>
          <w:tcPr>
            <w:tcW w:w="5274" w:type="dxa"/>
          </w:tcPr>
          <w:p>
            <w:pPr>
              <w:pStyle w:val="TableParagraph"/>
              <w:spacing w:before="26"/>
              <w:ind w:left="64" w:right="190"/>
              <w:rPr>
                <w:sz w:val="22"/>
              </w:rPr>
            </w:pPr>
            <w:r>
              <w:rPr>
                <w:sz w:val="22"/>
              </w:rPr>
              <w:t>The political economy of scale and the construction of crossborder micro-regions</w:t>
            </w:r>
          </w:p>
        </w:tc>
        <w:tc>
          <w:tcPr>
            <w:tcW w:w="761" w:type="dxa"/>
          </w:tcPr>
          <w:p>
            <w:pPr>
              <w:pStyle w:val="TableParagraph"/>
              <w:spacing w:before="2"/>
              <w:rPr>
                <w:b/>
                <w:sz w:val="24"/>
              </w:rPr>
            </w:pPr>
          </w:p>
          <w:p>
            <w:pPr>
              <w:pStyle w:val="TableParagraph"/>
              <w:jc w:val="center"/>
              <w:rPr>
                <w:sz w:val="22"/>
              </w:rPr>
            </w:pPr>
            <w:r>
              <w:rPr>
                <w:w w:val="100"/>
                <w:sz w:val="22"/>
              </w:rPr>
              <w:t>2</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5" w:right="46"/>
              <w:jc w:val="center"/>
              <w:rPr>
                <w:sz w:val="22"/>
              </w:rPr>
            </w:pPr>
            <w:r>
              <w:rPr>
                <w:sz w:val="22"/>
              </w:rPr>
              <w:t>7.469</w:t>
            </w:r>
          </w:p>
        </w:tc>
      </w:tr>
      <w:tr>
        <w:trPr>
          <w:trHeight w:val="545" w:hRule="exact"/>
        </w:trPr>
        <w:tc>
          <w:tcPr>
            <w:tcW w:w="552" w:type="dxa"/>
          </w:tcPr>
          <w:p>
            <w:pPr>
              <w:pStyle w:val="TableParagraph"/>
              <w:rPr>
                <w:b/>
                <w:sz w:val="24"/>
              </w:rPr>
            </w:pPr>
          </w:p>
          <w:p>
            <w:pPr>
              <w:pStyle w:val="TableParagraph"/>
              <w:ind w:left="67" w:right="67"/>
              <w:jc w:val="center"/>
              <w:rPr>
                <w:sz w:val="22"/>
              </w:rPr>
            </w:pPr>
            <w:r>
              <w:rPr>
                <w:sz w:val="22"/>
              </w:rPr>
              <w:t>137</w:t>
            </w:r>
          </w:p>
        </w:tc>
        <w:tc>
          <w:tcPr>
            <w:tcW w:w="5274" w:type="dxa"/>
          </w:tcPr>
          <w:p>
            <w:pPr>
              <w:pStyle w:val="TableParagraph"/>
              <w:spacing w:before="23"/>
              <w:ind w:left="64" w:right="838"/>
              <w:rPr>
                <w:sz w:val="22"/>
              </w:rPr>
            </w:pPr>
            <w:r>
              <w:rPr>
                <w:sz w:val="22"/>
              </w:rPr>
              <w:t>The problem of demand modeling from a disaggragate perspective: the transport case</w:t>
            </w:r>
          </w:p>
        </w:tc>
        <w:tc>
          <w:tcPr>
            <w:tcW w:w="761" w:type="dxa"/>
          </w:tcPr>
          <w:p>
            <w:pPr>
              <w:pStyle w:val="TableParagraph"/>
              <w:rPr>
                <w:b/>
                <w:sz w:val="24"/>
              </w:rPr>
            </w:pPr>
          </w:p>
          <w:p>
            <w:pPr>
              <w:pStyle w:val="TableParagraph"/>
              <w:jc w:val="center"/>
              <w:rPr>
                <w:sz w:val="22"/>
              </w:rPr>
            </w:pPr>
            <w:r>
              <w:rPr>
                <w:w w:val="100"/>
                <w:sz w:val="22"/>
              </w:rPr>
              <w:t>2</w:t>
            </w:r>
          </w:p>
        </w:tc>
        <w:tc>
          <w:tcPr>
            <w:tcW w:w="802" w:type="dxa"/>
          </w:tcPr>
          <w:p>
            <w:pPr>
              <w:pStyle w:val="TableParagraph"/>
              <w:rPr>
                <w:b/>
                <w:sz w:val="24"/>
              </w:rPr>
            </w:pPr>
          </w:p>
          <w:p>
            <w:pPr>
              <w:pStyle w:val="TableParagraph"/>
              <w:ind w:right="240"/>
              <w:jc w:val="right"/>
              <w:rPr>
                <w:sz w:val="22"/>
              </w:rPr>
            </w:pPr>
            <w:r>
              <w:rPr>
                <w:sz w:val="22"/>
              </w:rPr>
              <w:t>0.2</w:t>
            </w:r>
          </w:p>
        </w:tc>
        <w:tc>
          <w:tcPr>
            <w:tcW w:w="1438" w:type="dxa"/>
          </w:tcPr>
          <w:p>
            <w:pPr>
              <w:pStyle w:val="TableParagraph"/>
              <w:rPr>
                <w:b/>
                <w:sz w:val="24"/>
              </w:rPr>
            </w:pPr>
          </w:p>
          <w:p>
            <w:pPr>
              <w:pStyle w:val="TableParagraph"/>
              <w:ind w:left="45" w:right="46"/>
              <w:jc w:val="center"/>
              <w:rPr>
                <w:sz w:val="22"/>
              </w:rPr>
            </w:pPr>
            <w:r>
              <w:rPr>
                <w:sz w:val="22"/>
              </w:rPr>
              <w:t>7.303</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138</w:t>
            </w:r>
          </w:p>
        </w:tc>
        <w:tc>
          <w:tcPr>
            <w:tcW w:w="5274" w:type="dxa"/>
          </w:tcPr>
          <w:p>
            <w:pPr>
              <w:pStyle w:val="TableParagraph"/>
              <w:spacing w:before="23"/>
              <w:ind w:left="64" w:right="178"/>
              <w:rPr>
                <w:sz w:val="22"/>
              </w:rPr>
            </w:pPr>
            <w:r>
              <w:rPr>
                <w:sz w:val="22"/>
              </w:rPr>
              <w:t>Globalization, collective action and local initiative in Montreal's reconversion</w:t>
            </w:r>
          </w:p>
        </w:tc>
        <w:tc>
          <w:tcPr>
            <w:tcW w:w="761" w:type="dxa"/>
          </w:tcPr>
          <w:p>
            <w:pPr>
              <w:pStyle w:val="TableParagraph"/>
              <w:spacing w:before="11"/>
              <w:rPr>
                <w:b/>
                <w:sz w:val="23"/>
              </w:rPr>
            </w:pPr>
          </w:p>
          <w:p>
            <w:pPr>
              <w:pStyle w:val="TableParagraph"/>
              <w:jc w:val="center"/>
              <w:rPr>
                <w:sz w:val="22"/>
              </w:rPr>
            </w:pPr>
            <w:r>
              <w:rPr>
                <w:w w:val="100"/>
                <w:sz w:val="22"/>
              </w:rPr>
              <w:t>2</w:t>
            </w:r>
          </w:p>
        </w:tc>
        <w:tc>
          <w:tcPr>
            <w:tcW w:w="802" w:type="dxa"/>
          </w:tcPr>
          <w:p>
            <w:pPr>
              <w:pStyle w:val="TableParagraph"/>
              <w:spacing w:before="11"/>
              <w:rPr>
                <w:b/>
                <w:sz w:val="23"/>
              </w:rPr>
            </w:pPr>
          </w:p>
          <w:p>
            <w:pPr>
              <w:pStyle w:val="TableParagraph"/>
              <w:ind w:right="240"/>
              <w:jc w:val="right"/>
              <w:rPr>
                <w:sz w:val="22"/>
              </w:rPr>
            </w:pPr>
            <w:r>
              <w:rPr>
                <w:sz w:val="22"/>
              </w:rPr>
              <w:t>0.2</w:t>
            </w:r>
          </w:p>
        </w:tc>
        <w:tc>
          <w:tcPr>
            <w:tcW w:w="1438" w:type="dxa"/>
          </w:tcPr>
          <w:p>
            <w:pPr>
              <w:pStyle w:val="TableParagraph"/>
              <w:spacing w:before="11"/>
              <w:rPr>
                <w:b/>
                <w:sz w:val="23"/>
              </w:rPr>
            </w:pPr>
          </w:p>
          <w:p>
            <w:pPr>
              <w:pStyle w:val="TableParagraph"/>
              <w:ind w:left="45" w:right="46"/>
              <w:jc w:val="center"/>
              <w:rPr>
                <w:sz w:val="22"/>
              </w:rPr>
            </w:pPr>
            <w:r>
              <w:rPr>
                <w:sz w:val="22"/>
              </w:rPr>
              <w:t>7.137</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139</w:t>
            </w:r>
          </w:p>
        </w:tc>
        <w:tc>
          <w:tcPr>
            <w:tcW w:w="5274" w:type="dxa"/>
          </w:tcPr>
          <w:p>
            <w:pPr>
              <w:pStyle w:val="TableParagraph"/>
              <w:spacing w:before="23"/>
              <w:ind w:left="64" w:right="93"/>
              <w:rPr>
                <w:sz w:val="22"/>
              </w:rPr>
            </w:pPr>
            <w:r>
              <w:rPr>
                <w:sz w:val="22"/>
              </w:rPr>
              <w:t>Urban investments in the context of competitiveness and globalization: events in Curitiba</w:t>
            </w:r>
          </w:p>
        </w:tc>
        <w:tc>
          <w:tcPr>
            <w:tcW w:w="761" w:type="dxa"/>
          </w:tcPr>
          <w:p>
            <w:pPr>
              <w:pStyle w:val="TableParagraph"/>
              <w:spacing w:before="11"/>
              <w:rPr>
                <w:b/>
                <w:sz w:val="23"/>
              </w:rPr>
            </w:pPr>
          </w:p>
          <w:p>
            <w:pPr>
              <w:pStyle w:val="TableParagraph"/>
              <w:jc w:val="center"/>
              <w:rPr>
                <w:sz w:val="22"/>
              </w:rPr>
            </w:pPr>
            <w:r>
              <w:rPr>
                <w:w w:val="100"/>
                <w:sz w:val="22"/>
              </w:rPr>
              <w:t>2</w:t>
            </w:r>
          </w:p>
        </w:tc>
        <w:tc>
          <w:tcPr>
            <w:tcW w:w="802" w:type="dxa"/>
          </w:tcPr>
          <w:p>
            <w:pPr>
              <w:pStyle w:val="TableParagraph"/>
              <w:spacing w:before="11"/>
              <w:rPr>
                <w:b/>
                <w:sz w:val="23"/>
              </w:rPr>
            </w:pPr>
          </w:p>
          <w:p>
            <w:pPr>
              <w:pStyle w:val="TableParagraph"/>
              <w:ind w:right="240"/>
              <w:jc w:val="right"/>
              <w:rPr>
                <w:sz w:val="22"/>
              </w:rPr>
            </w:pPr>
            <w:r>
              <w:rPr>
                <w:sz w:val="22"/>
              </w:rPr>
              <w:t>0.2</w:t>
            </w:r>
          </w:p>
        </w:tc>
        <w:tc>
          <w:tcPr>
            <w:tcW w:w="1438" w:type="dxa"/>
          </w:tcPr>
          <w:p>
            <w:pPr>
              <w:pStyle w:val="TableParagraph"/>
              <w:spacing w:before="11"/>
              <w:rPr>
                <w:b/>
                <w:sz w:val="23"/>
              </w:rPr>
            </w:pPr>
          </w:p>
          <w:p>
            <w:pPr>
              <w:pStyle w:val="TableParagraph"/>
              <w:ind w:left="45" w:right="46"/>
              <w:jc w:val="center"/>
              <w:rPr>
                <w:sz w:val="22"/>
              </w:rPr>
            </w:pPr>
            <w:r>
              <w:rPr>
                <w:sz w:val="22"/>
              </w:rPr>
              <w:t>6.971</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140</w:t>
            </w:r>
          </w:p>
        </w:tc>
        <w:tc>
          <w:tcPr>
            <w:tcW w:w="5274" w:type="dxa"/>
          </w:tcPr>
          <w:p>
            <w:pPr>
              <w:pStyle w:val="TableParagraph"/>
              <w:ind w:left="64" w:right="105"/>
              <w:rPr>
                <w:sz w:val="22"/>
              </w:rPr>
            </w:pPr>
            <w:r>
              <w:rPr>
                <w:sz w:val="22"/>
              </w:rPr>
              <w:t>The more private, less state equation: who wins and who loses. The case of the Great Buenos Aires public transport service</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2</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6.805</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141</w:t>
            </w:r>
          </w:p>
        </w:tc>
        <w:tc>
          <w:tcPr>
            <w:tcW w:w="5274" w:type="dxa"/>
          </w:tcPr>
          <w:p>
            <w:pPr>
              <w:pStyle w:val="TableParagraph"/>
              <w:spacing w:before="23"/>
              <w:ind w:left="64" w:right="288"/>
              <w:rPr>
                <w:sz w:val="22"/>
              </w:rPr>
            </w:pPr>
            <w:r>
              <w:rPr>
                <w:sz w:val="22"/>
              </w:rPr>
              <w:t>The absent state: The paradoxical configuration of the Great Valparaiso as a sea resort (1850-1925)</w:t>
            </w:r>
          </w:p>
        </w:tc>
        <w:tc>
          <w:tcPr>
            <w:tcW w:w="761" w:type="dxa"/>
          </w:tcPr>
          <w:p>
            <w:pPr>
              <w:pStyle w:val="TableParagraph"/>
              <w:spacing w:before="2"/>
              <w:rPr>
                <w:b/>
                <w:sz w:val="24"/>
              </w:rPr>
            </w:pPr>
          </w:p>
          <w:p>
            <w:pPr>
              <w:pStyle w:val="TableParagraph"/>
              <w:jc w:val="center"/>
              <w:rPr>
                <w:sz w:val="22"/>
              </w:rPr>
            </w:pPr>
            <w:r>
              <w:rPr>
                <w:w w:val="100"/>
                <w:sz w:val="22"/>
              </w:rPr>
              <w:t>2</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5" w:right="46"/>
              <w:jc w:val="center"/>
              <w:rPr>
                <w:sz w:val="22"/>
              </w:rPr>
            </w:pPr>
            <w:r>
              <w:rPr>
                <w:sz w:val="22"/>
              </w:rPr>
              <w:t>6.639</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142</w:t>
            </w:r>
          </w:p>
        </w:tc>
        <w:tc>
          <w:tcPr>
            <w:tcW w:w="5274" w:type="dxa"/>
          </w:tcPr>
          <w:p>
            <w:pPr>
              <w:pStyle w:val="TableParagraph"/>
              <w:spacing w:before="23"/>
              <w:ind w:left="64" w:right="570"/>
              <w:rPr>
                <w:sz w:val="22"/>
              </w:rPr>
            </w:pPr>
            <w:r>
              <w:rPr>
                <w:sz w:val="22"/>
              </w:rPr>
              <w:t>Lima: Power, centre and centrality. From native centre to neoliberal centre</w:t>
            </w:r>
          </w:p>
        </w:tc>
        <w:tc>
          <w:tcPr>
            <w:tcW w:w="761" w:type="dxa"/>
          </w:tcPr>
          <w:p>
            <w:pPr>
              <w:pStyle w:val="TableParagraph"/>
              <w:spacing w:before="2"/>
              <w:rPr>
                <w:b/>
                <w:sz w:val="24"/>
              </w:rPr>
            </w:pPr>
          </w:p>
          <w:p>
            <w:pPr>
              <w:pStyle w:val="TableParagraph"/>
              <w:jc w:val="center"/>
              <w:rPr>
                <w:sz w:val="22"/>
              </w:rPr>
            </w:pPr>
            <w:r>
              <w:rPr>
                <w:w w:val="100"/>
                <w:sz w:val="22"/>
              </w:rPr>
              <w:t>2</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5" w:right="46"/>
              <w:jc w:val="center"/>
              <w:rPr>
                <w:sz w:val="22"/>
              </w:rPr>
            </w:pPr>
            <w:r>
              <w:rPr>
                <w:sz w:val="22"/>
              </w:rPr>
              <w:t>6.473</w:t>
            </w:r>
          </w:p>
        </w:tc>
      </w:tr>
      <w:tr>
        <w:trPr>
          <w:trHeight w:val="770"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143</w:t>
            </w:r>
          </w:p>
        </w:tc>
        <w:tc>
          <w:tcPr>
            <w:tcW w:w="5274" w:type="dxa"/>
          </w:tcPr>
          <w:p>
            <w:pPr>
              <w:pStyle w:val="TableParagraph"/>
              <w:ind w:left="64" w:right="594"/>
              <w:rPr>
                <w:sz w:val="22"/>
              </w:rPr>
            </w:pPr>
            <w:r>
              <w:rPr>
                <w:sz w:val="22"/>
              </w:rPr>
              <w:t>How cities create wealth in the new information economy: Challenges for urban and city management in developing nations</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2</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6.307</w:t>
            </w:r>
          </w:p>
        </w:tc>
      </w:tr>
      <w:tr>
        <w:trPr>
          <w:trHeight w:val="314" w:hRule="exact"/>
        </w:trPr>
        <w:tc>
          <w:tcPr>
            <w:tcW w:w="552" w:type="dxa"/>
          </w:tcPr>
          <w:p>
            <w:pPr>
              <w:pStyle w:val="TableParagraph"/>
              <w:spacing w:before="47"/>
              <w:ind w:left="67" w:right="67"/>
              <w:jc w:val="center"/>
              <w:rPr>
                <w:sz w:val="22"/>
              </w:rPr>
            </w:pPr>
            <w:r>
              <w:rPr>
                <w:sz w:val="22"/>
              </w:rPr>
              <w:t>144</w:t>
            </w:r>
          </w:p>
        </w:tc>
        <w:tc>
          <w:tcPr>
            <w:tcW w:w="5274" w:type="dxa"/>
          </w:tcPr>
          <w:p>
            <w:pPr>
              <w:pStyle w:val="TableParagraph"/>
              <w:spacing w:before="47"/>
              <w:ind w:left="64" w:right="679"/>
              <w:rPr>
                <w:sz w:val="22"/>
              </w:rPr>
            </w:pPr>
            <w:r>
              <w:rPr>
                <w:sz w:val="22"/>
              </w:rPr>
              <w:t>Endogenous development and globalization</w:t>
            </w:r>
          </w:p>
        </w:tc>
        <w:tc>
          <w:tcPr>
            <w:tcW w:w="761" w:type="dxa"/>
          </w:tcPr>
          <w:p>
            <w:pPr>
              <w:pStyle w:val="TableParagraph"/>
              <w:spacing w:before="47"/>
              <w:jc w:val="center"/>
              <w:rPr>
                <w:sz w:val="22"/>
              </w:rPr>
            </w:pPr>
            <w:r>
              <w:rPr>
                <w:w w:val="100"/>
                <w:sz w:val="22"/>
              </w:rPr>
              <w:t>2</w:t>
            </w:r>
          </w:p>
        </w:tc>
        <w:tc>
          <w:tcPr>
            <w:tcW w:w="802" w:type="dxa"/>
          </w:tcPr>
          <w:p>
            <w:pPr>
              <w:pStyle w:val="TableParagraph"/>
              <w:spacing w:before="47"/>
              <w:ind w:right="240"/>
              <w:jc w:val="right"/>
              <w:rPr>
                <w:sz w:val="22"/>
              </w:rPr>
            </w:pPr>
            <w:r>
              <w:rPr>
                <w:sz w:val="22"/>
              </w:rPr>
              <w:t>0.2</w:t>
            </w:r>
          </w:p>
        </w:tc>
        <w:tc>
          <w:tcPr>
            <w:tcW w:w="1438" w:type="dxa"/>
          </w:tcPr>
          <w:p>
            <w:pPr>
              <w:pStyle w:val="TableParagraph"/>
              <w:spacing w:before="47"/>
              <w:ind w:left="45" w:right="46"/>
              <w:jc w:val="center"/>
              <w:rPr>
                <w:sz w:val="22"/>
              </w:rPr>
            </w:pPr>
            <w:r>
              <w:rPr>
                <w:sz w:val="22"/>
              </w:rPr>
              <w:t>6.141</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145</w:t>
            </w:r>
          </w:p>
        </w:tc>
        <w:tc>
          <w:tcPr>
            <w:tcW w:w="5274" w:type="dxa"/>
          </w:tcPr>
          <w:p>
            <w:pPr>
              <w:pStyle w:val="TableParagraph"/>
              <w:spacing w:before="26"/>
              <w:ind w:left="64" w:right="386"/>
              <w:rPr>
                <w:sz w:val="22"/>
              </w:rPr>
            </w:pPr>
            <w:r>
              <w:rPr>
                <w:sz w:val="22"/>
              </w:rPr>
              <w:t>Rural development programs in Argentina (in the context of neoliberal macroeconomic adjustment)</w:t>
            </w:r>
          </w:p>
        </w:tc>
        <w:tc>
          <w:tcPr>
            <w:tcW w:w="761" w:type="dxa"/>
          </w:tcPr>
          <w:p>
            <w:pPr>
              <w:pStyle w:val="TableParagraph"/>
              <w:spacing w:before="2"/>
              <w:rPr>
                <w:b/>
                <w:sz w:val="24"/>
              </w:rPr>
            </w:pPr>
          </w:p>
          <w:p>
            <w:pPr>
              <w:pStyle w:val="TableParagraph"/>
              <w:jc w:val="center"/>
              <w:rPr>
                <w:sz w:val="22"/>
              </w:rPr>
            </w:pPr>
            <w:r>
              <w:rPr>
                <w:w w:val="100"/>
                <w:sz w:val="22"/>
              </w:rPr>
              <w:t>2</w:t>
            </w:r>
          </w:p>
        </w:tc>
        <w:tc>
          <w:tcPr>
            <w:tcW w:w="802" w:type="dxa"/>
          </w:tcPr>
          <w:p>
            <w:pPr>
              <w:pStyle w:val="TableParagraph"/>
              <w:spacing w:before="2"/>
              <w:rPr>
                <w:b/>
                <w:sz w:val="24"/>
              </w:rPr>
            </w:pPr>
          </w:p>
          <w:p>
            <w:pPr>
              <w:pStyle w:val="TableParagraph"/>
              <w:ind w:right="240"/>
              <w:jc w:val="right"/>
              <w:rPr>
                <w:sz w:val="22"/>
              </w:rPr>
            </w:pPr>
            <w:r>
              <w:rPr>
                <w:sz w:val="22"/>
              </w:rPr>
              <w:t>0.2</w:t>
            </w:r>
          </w:p>
        </w:tc>
        <w:tc>
          <w:tcPr>
            <w:tcW w:w="1438" w:type="dxa"/>
          </w:tcPr>
          <w:p>
            <w:pPr>
              <w:pStyle w:val="TableParagraph"/>
              <w:spacing w:before="2"/>
              <w:rPr>
                <w:b/>
                <w:sz w:val="24"/>
              </w:rPr>
            </w:pPr>
          </w:p>
          <w:p>
            <w:pPr>
              <w:pStyle w:val="TableParagraph"/>
              <w:ind w:left="45" w:right="46"/>
              <w:jc w:val="center"/>
              <w:rPr>
                <w:sz w:val="22"/>
              </w:rPr>
            </w:pPr>
            <w:r>
              <w:rPr>
                <w:sz w:val="22"/>
              </w:rPr>
              <w:t>5.975</w:t>
            </w:r>
          </w:p>
        </w:tc>
      </w:tr>
      <w:tr>
        <w:trPr>
          <w:trHeight w:val="516" w:hRule="exact"/>
        </w:trPr>
        <w:tc>
          <w:tcPr>
            <w:tcW w:w="552" w:type="dxa"/>
          </w:tcPr>
          <w:p>
            <w:pPr>
              <w:pStyle w:val="TableParagraph"/>
              <w:spacing w:before="7"/>
              <w:rPr>
                <w:b/>
                <w:sz w:val="21"/>
              </w:rPr>
            </w:pPr>
          </w:p>
          <w:p>
            <w:pPr>
              <w:pStyle w:val="TableParagraph"/>
              <w:ind w:left="67" w:right="67"/>
              <w:jc w:val="center"/>
              <w:rPr>
                <w:sz w:val="22"/>
              </w:rPr>
            </w:pPr>
            <w:r>
              <w:rPr>
                <w:sz w:val="22"/>
              </w:rPr>
              <w:t>146</w:t>
            </w:r>
          </w:p>
        </w:tc>
        <w:tc>
          <w:tcPr>
            <w:tcW w:w="5274" w:type="dxa"/>
          </w:tcPr>
          <w:p>
            <w:pPr>
              <w:pStyle w:val="TableParagraph"/>
              <w:spacing w:line="252" w:lineRule="exact" w:before="2"/>
              <w:ind w:left="64" w:right="875"/>
              <w:rPr>
                <w:sz w:val="22"/>
              </w:rPr>
            </w:pPr>
            <w:r>
              <w:rPr>
                <w:sz w:val="22"/>
              </w:rPr>
              <w:t>Telecommunications and the future of cities: Debunking the myths</w:t>
            </w:r>
          </w:p>
        </w:tc>
        <w:tc>
          <w:tcPr>
            <w:tcW w:w="761" w:type="dxa"/>
          </w:tcPr>
          <w:p>
            <w:pPr>
              <w:pStyle w:val="TableParagraph"/>
              <w:spacing w:before="7"/>
              <w:rPr>
                <w:b/>
                <w:sz w:val="21"/>
              </w:rPr>
            </w:pPr>
          </w:p>
          <w:p>
            <w:pPr>
              <w:pStyle w:val="TableParagraph"/>
              <w:jc w:val="center"/>
              <w:rPr>
                <w:sz w:val="22"/>
              </w:rPr>
            </w:pPr>
            <w:r>
              <w:rPr>
                <w:w w:val="100"/>
                <w:sz w:val="22"/>
              </w:rPr>
              <w:t>2</w:t>
            </w:r>
          </w:p>
        </w:tc>
        <w:tc>
          <w:tcPr>
            <w:tcW w:w="802" w:type="dxa"/>
          </w:tcPr>
          <w:p>
            <w:pPr>
              <w:pStyle w:val="TableParagraph"/>
              <w:spacing w:before="7"/>
              <w:rPr>
                <w:b/>
                <w:sz w:val="21"/>
              </w:rPr>
            </w:pPr>
          </w:p>
          <w:p>
            <w:pPr>
              <w:pStyle w:val="TableParagraph"/>
              <w:ind w:right="240"/>
              <w:jc w:val="right"/>
              <w:rPr>
                <w:sz w:val="22"/>
              </w:rPr>
            </w:pPr>
            <w:r>
              <w:rPr>
                <w:sz w:val="22"/>
              </w:rPr>
              <w:t>0.2</w:t>
            </w:r>
          </w:p>
        </w:tc>
        <w:tc>
          <w:tcPr>
            <w:tcW w:w="1438" w:type="dxa"/>
          </w:tcPr>
          <w:p>
            <w:pPr>
              <w:pStyle w:val="TableParagraph"/>
              <w:spacing w:before="7"/>
              <w:rPr>
                <w:b/>
                <w:sz w:val="21"/>
              </w:rPr>
            </w:pPr>
          </w:p>
          <w:p>
            <w:pPr>
              <w:pStyle w:val="TableParagraph"/>
              <w:ind w:left="45" w:right="46"/>
              <w:jc w:val="center"/>
              <w:rPr>
                <w:sz w:val="22"/>
              </w:rPr>
            </w:pPr>
            <w:r>
              <w:rPr>
                <w:sz w:val="22"/>
              </w:rPr>
              <w:t>5.809</w:t>
            </w:r>
          </w:p>
        </w:tc>
      </w:tr>
      <w:tr>
        <w:trPr>
          <w:trHeight w:val="770"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147</w:t>
            </w:r>
          </w:p>
        </w:tc>
        <w:tc>
          <w:tcPr>
            <w:tcW w:w="5274" w:type="dxa"/>
          </w:tcPr>
          <w:p>
            <w:pPr>
              <w:pStyle w:val="TableParagraph"/>
              <w:spacing w:line="252" w:lineRule="exact" w:before="2"/>
              <w:ind w:left="64" w:right="227"/>
              <w:rPr>
                <w:sz w:val="22"/>
              </w:rPr>
            </w:pPr>
            <w:r>
              <w:rPr>
                <w:sz w:val="22"/>
              </w:rPr>
              <w:t>The production of public transport in the metropolis of Buenos Aires. Recents changes and futures tendencies</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2</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0.2</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5.643</w:t>
            </w:r>
          </w:p>
        </w:tc>
      </w:tr>
      <w:tr>
        <w:trPr>
          <w:trHeight w:val="315" w:hRule="exact"/>
        </w:trPr>
        <w:tc>
          <w:tcPr>
            <w:tcW w:w="552" w:type="dxa"/>
          </w:tcPr>
          <w:p>
            <w:pPr>
              <w:pStyle w:val="TableParagraph"/>
              <w:spacing w:before="48"/>
              <w:ind w:left="67" w:right="67"/>
              <w:jc w:val="center"/>
              <w:rPr>
                <w:sz w:val="22"/>
              </w:rPr>
            </w:pPr>
            <w:r>
              <w:rPr>
                <w:sz w:val="22"/>
              </w:rPr>
              <w:t>148</w:t>
            </w:r>
          </w:p>
        </w:tc>
        <w:tc>
          <w:tcPr>
            <w:tcW w:w="5274" w:type="dxa"/>
          </w:tcPr>
          <w:p>
            <w:pPr>
              <w:pStyle w:val="TableParagraph"/>
              <w:spacing w:before="48"/>
              <w:ind w:left="64" w:right="166"/>
              <w:rPr>
                <w:sz w:val="22"/>
              </w:rPr>
            </w:pPr>
            <w:r>
              <w:rPr>
                <w:sz w:val="22"/>
              </w:rPr>
              <w:t>To 20 years of the liberalization of the land markets</w:t>
            </w:r>
          </w:p>
        </w:tc>
        <w:tc>
          <w:tcPr>
            <w:tcW w:w="761" w:type="dxa"/>
          </w:tcPr>
          <w:p>
            <w:pPr>
              <w:pStyle w:val="TableParagraph"/>
              <w:spacing w:before="48"/>
              <w:jc w:val="center"/>
              <w:rPr>
                <w:sz w:val="22"/>
              </w:rPr>
            </w:pPr>
            <w:r>
              <w:rPr>
                <w:w w:val="100"/>
                <w:sz w:val="22"/>
              </w:rPr>
              <w:t>2</w:t>
            </w:r>
          </w:p>
        </w:tc>
        <w:tc>
          <w:tcPr>
            <w:tcW w:w="802" w:type="dxa"/>
          </w:tcPr>
          <w:p>
            <w:pPr>
              <w:pStyle w:val="TableParagraph"/>
              <w:spacing w:before="48"/>
              <w:ind w:right="240"/>
              <w:jc w:val="right"/>
              <w:rPr>
                <w:sz w:val="22"/>
              </w:rPr>
            </w:pPr>
            <w:r>
              <w:rPr>
                <w:sz w:val="22"/>
              </w:rPr>
              <w:t>0.2</w:t>
            </w:r>
          </w:p>
        </w:tc>
        <w:tc>
          <w:tcPr>
            <w:tcW w:w="1438" w:type="dxa"/>
          </w:tcPr>
          <w:p>
            <w:pPr>
              <w:pStyle w:val="TableParagraph"/>
              <w:spacing w:before="48"/>
              <w:ind w:left="45" w:right="46"/>
              <w:jc w:val="center"/>
              <w:rPr>
                <w:sz w:val="22"/>
              </w:rPr>
            </w:pPr>
            <w:r>
              <w:rPr>
                <w:sz w:val="22"/>
              </w:rPr>
              <w:t>5.477</w:t>
            </w:r>
          </w:p>
        </w:tc>
      </w:tr>
      <w:tr>
        <w:trPr>
          <w:trHeight w:val="770"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149</w:t>
            </w:r>
          </w:p>
        </w:tc>
        <w:tc>
          <w:tcPr>
            <w:tcW w:w="5274" w:type="dxa"/>
          </w:tcPr>
          <w:p>
            <w:pPr>
              <w:pStyle w:val="TableParagraph"/>
              <w:spacing w:line="252" w:lineRule="exact" w:before="2"/>
              <w:ind w:left="64" w:right="288"/>
              <w:rPr>
                <w:sz w:val="22"/>
              </w:rPr>
            </w:pPr>
            <w:r>
              <w:rPr>
                <w:sz w:val="22"/>
              </w:rPr>
              <w:t>The consequences of fragmenting urbanism in the daily lives of inhabitants of the city of Santiago de Chile</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5.311</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150</w:t>
            </w:r>
          </w:p>
        </w:tc>
        <w:tc>
          <w:tcPr>
            <w:tcW w:w="5274" w:type="dxa"/>
          </w:tcPr>
          <w:p>
            <w:pPr>
              <w:pStyle w:val="TableParagraph"/>
              <w:spacing w:line="247" w:lineRule="exact"/>
              <w:ind w:left="64" w:right="679"/>
              <w:rPr>
                <w:sz w:val="22"/>
              </w:rPr>
            </w:pPr>
            <w:r>
              <w:rPr>
                <w:sz w:val="22"/>
              </w:rPr>
              <w:t>Inequality, middle class and territory in Chile:</w:t>
            </w:r>
          </w:p>
          <w:p>
            <w:pPr>
              <w:pStyle w:val="TableParagraph"/>
              <w:ind w:left="64" w:right="998"/>
              <w:rPr>
                <w:sz w:val="22"/>
              </w:rPr>
            </w:pPr>
            <w:r>
              <w:rPr>
                <w:sz w:val="22"/>
              </w:rPr>
              <w:t>?global middle class or multiple mesocracy according territories?</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5.228</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151</w:t>
            </w:r>
          </w:p>
        </w:tc>
        <w:tc>
          <w:tcPr>
            <w:tcW w:w="5274" w:type="dxa"/>
          </w:tcPr>
          <w:p>
            <w:pPr>
              <w:pStyle w:val="TableParagraph"/>
              <w:spacing w:before="26"/>
              <w:ind w:left="64" w:right="93"/>
              <w:rPr>
                <w:sz w:val="22"/>
              </w:rPr>
            </w:pPr>
            <w:r>
              <w:rPr>
                <w:sz w:val="22"/>
              </w:rPr>
              <w:t>Scales of production in mining economies. The case of Chile in its regional dimension</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5.145</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152</w:t>
            </w:r>
          </w:p>
        </w:tc>
        <w:tc>
          <w:tcPr>
            <w:tcW w:w="5274" w:type="dxa"/>
          </w:tcPr>
          <w:p>
            <w:pPr>
              <w:pStyle w:val="TableParagraph"/>
              <w:spacing w:before="26"/>
              <w:ind w:left="64" w:right="239"/>
              <w:rPr>
                <w:sz w:val="22"/>
              </w:rPr>
            </w:pPr>
            <w:r>
              <w:rPr>
                <w:sz w:val="22"/>
              </w:rPr>
              <w:t>Evaluation of the integral vulnerability in residential areas of Madrid</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5.062</w:t>
            </w:r>
          </w:p>
        </w:tc>
      </w:tr>
      <w:tr>
        <w:trPr>
          <w:trHeight w:val="548" w:hRule="exact"/>
        </w:trPr>
        <w:tc>
          <w:tcPr>
            <w:tcW w:w="552" w:type="dxa"/>
          </w:tcPr>
          <w:p>
            <w:pPr>
              <w:pStyle w:val="TableParagraph"/>
              <w:spacing w:before="2"/>
              <w:rPr>
                <w:b/>
                <w:sz w:val="24"/>
              </w:rPr>
            </w:pPr>
          </w:p>
          <w:p>
            <w:pPr>
              <w:pStyle w:val="TableParagraph"/>
              <w:ind w:left="67" w:right="67"/>
              <w:jc w:val="center"/>
              <w:rPr>
                <w:sz w:val="22"/>
              </w:rPr>
            </w:pPr>
            <w:r>
              <w:rPr>
                <w:sz w:val="22"/>
              </w:rPr>
              <w:t>153</w:t>
            </w:r>
          </w:p>
        </w:tc>
        <w:tc>
          <w:tcPr>
            <w:tcW w:w="5274" w:type="dxa"/>
          </w:tcPr>
          <w:p>
            <w:pPr>
              <w:pStyle w:val="TableParagraph"/>
              <w:spacing w:before="26"/>
              <w:ind w:left="64" w:right="263"/>
              <w:rPr>
                <w:sz w:val="22"/>
              </w:rPr>
            </w:pPr>
            <w:r>
              <w:rPr>
                <w:sz w:val="22"/>
              </w:rPr>
              <w:t>Financialization and the production of urban space in Brazil: a contribution to the debate</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4.979</w:t>
            </w:r>
          </w:p>
        </w:tc>
      </w:tr>
    </w:tbl>
    <w:p>
      <w:pPr>
        <w:spacing w:after="0"/>
        <w:jc w:val="center"/>
        <w:rPr>
          <w:sz w:val="22"/>
        </w:rPr>
        <w:sectPr>
          <w:pgSz w:w="12240" w:h="15840"/>
          <w:pgMar w:header="0" w:footer="629" w:top="142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
        <w:gridCol w:w="5274"/>
        <w:gridCol w:w="761"/>
        <w:gridCol w:w="802"/>
        <w:gridCol w:w="1438"/>
      </w:tblGrid>
      <w:tr>
        <w:trPr>
          <w:trHeight w:val="316" w:hRule="exact"/>
        </w:trPr>
        <w:tc>
          <w:tcPr>
            <w:tcW w:w="552" w:type="dxa"/>
            <w:shd w:val="clear" w:color="auto" w:fill="938953"/>
          </w:tcPr>
          <w:p>
            <w:pPr/>
          </w:p>
        </w:tc>
        <w:tc>
          <w:tcPr>
            <w:tcW w:w="5274" w:type="dxa"/>
            <w:shd w:val="clear" w:color="auto" w:fill="938953"/>
          </w:tcPr>
          <w:p>
            <w:pPr>
              <w:pStyle w:val="TableParagraph"/>
              <w:spacing w:before="47"/>
              <w:ind w:left="2347" w:right="2350"/>
              <w:jc w:val="center"/>
              <w:rPr>
                <w:b/>
                <w:sz w:val="22"/>
              </w:rPr>
            </w:pPr>
            <w:r>
              <w:rPr>
                <w:b/>
                <w:color w:val="FFFFFF"/>
                <w:sz w:val="22"/>
              </w:rPr>
              <w:t>Total</w:t>
            </w:r>
          </w:p>
        </w:tc>
        <w:tc>
          <w:tcPr>
            <w:tcW w:w="761" w:type="dxa"/>
            <w:shd w:val="clear" w:color="auto" w:fill="938953"/>
          </w:tcPr>
          <w:p>
            <w:pPr>
              <w:pStyle w:val="TableParagraph"/>
              <w:spacing w:before="49"/>
              <w:ind w:left="105" w:right="105"/>
              <w:jc w:val="center"/>
              <w:rPr>
                <w:sz w:val="22"/>
              </w:rPr>
            </w:pPr>
            <w:r>
              <w:rPr>
                <w:color w:val="FFFFFF"/>
                <w:sz w:val="22"/>
              </w:rPr>
              <w:t>Citas</w:t>
            </w:r>
          </w:p>
        </w:tc>
        <w:tc>
          <w:tcPr>
            <w:tcW w:w="802" w:type="dxa"/>
            <w:shd w:val="clear" w:color="auto" w:fill="938953"/>
          </w:tcPr>
          <w:p>
            <w:pPr>
              <w:pStyle w:val="TableParagraph"/>
              <w:spacing w:before="49"/>
              <w:ind w:right="298"/>
              <w:jc w:val="right"/>
              <w:rPr>
                <w:sz w:val="22"/>
              </w:rPr>
            </w:pPr>
            <w:r>
              <w:rPr>
                <w:color w:val="FFFFFF"/>
                <w:w w:val="100"/>
                <w:sz w:val="22"/>
              </w:rPr>
              <w:t>%</w:t>
            </w:r>
          </w:p>
        </w:tc>
        <w:tc>
          <w:tcPr>
            <w:tcW w:w="1438" w:type="dxa"/>
            <w:shd w:val="clear" w:color="auto" w:fill="938953"/>
          </w:tcPr>
          <w:p>
            <w:pPr>
              <w:pStyle w:val="TableParagraph"/>
              <w:spacing w:before="49"/>
              <w:ind w:left="46" w:right="46"/>
              <w:jc w:val="center"/>
              <w:rPr>
                <w:sz w:val="22"/>
              </w:rPr>
            </w:pPr>
            <w:r>
              <w:rPr>
                <w:color w:val="FFFFFF"/>
                <w:sz w:val="22"/>
              </w:rPr>
              <w:t>%Acumulado</w:t>
            </w:r>
          </w:p>
        </w:tc>
      </w:tr>
      <w:tr>
        <w:trPr>
          <w:trHeight w:val="806" w:hRule="exact"/>
        </w:trPr>
        <w:tc>
          <w:tcPr>
            <w:tcW w:w="552" w:type="dxa"/>
          </w:tcPr>
          <w:p>
            <w:pPr>
              <w:pStyle w:val="TableParagraph"/>
              <w:rPr>
                <w:b/>
                <w:sz w:val="22"/>
              </w:rPr>
            </w:pPr>
          </w:p>
          <w:p>
            <w:pPr>
              <w:pStyle w:val="TableParagraph"/>
              <w:spacing w:before="8"/>
              <w:rPr>
                <w:b/>
                <w:sz w:val="24"/>
              </w:rPr>
            </w:pPr>
          </w:p>
          <w:p>
            <w:pPr>
              <w:pStyle w:val="TableParagraph"/>
              <w:ind w:left="67" w:right="67"/>
              <w:jc w:val="center"/>
              <w:rPr>
                <w:sz w:val="22"/>
              </w:rPr>
            </w:pPr>
            <w:r>
              <w:rPr>
                <w:sz w:val="22"/>
              </w:rPr>
              <w:t>154</w:t>
            </w:r>
          </w:p>
        </w:tc>
        <w:tc>
          <w:tcPr>
            <w:tcW w:w="5274" w:type="dxa"/>
          </w:tcPr>
          <w:p>
            <w:pPr>
              <w:pStyle w:val="TableParagraph"/>
              <w:spacing w:before="31"/>
              <w:ind w:left="64" w:right="496"/>
              <w:rPr>
                <w:sz w:val="22"/>
              </w:rPr>
            </w:pPr>
            <w:r>
              <w:rPr>
                <w:sz w:val="22"/>
              </w:rPr>
              <w:t>Student commuting and territory: Evidence and policy recommendations for the new institutional framework of Public Education in Chile</w:t>
            </w:r>
          </w:p>
        </w:tc>
        <w:tc>
          <w:tcPr>
            <w:tcW w:w="761" w:type="dxa"/>
          </w:tcPr>
          <w:p>
            <w:pPr>
              <w:pStyle w:val="TableParagraph"/>
              <w:rPr>
                <w:b/>
                <w:sz w:val="22"/>
              </w:rPr>
            </w:pPr>
          </w:p>
          <w:p>
            <w:pPr>
              <w:pStyle w:val="TableParagraph"/>
              <w:spacing w:before="8"/>
              <w:rPr>
                <w:b/>
                <w:sz w:val="24"/>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8"/>
              <w:rPr>
                <w:b/>
                <w:sz w:val="24"/>
              </w:rPr>
            </w:pPr>
          </w:p>
          <w:p>
            <w:pPr>
              <w:pStyle w:val="TableParagraph"/>
              <w:ind w:left="45" w:right="46"/>
              <w:jc w:val="center"/>
              <w:rPr>
                <w:sz w:val="22"/>
              </w:rPr>
            </w:pPr>
            <w:r>
              <w:rPr>
                <w:sz w:val="22"/>
              </w:rPr>
              <w:t>4.896</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155</w:t>
            </w:r>
          </w:p>
        </w:tc>
        <w:tc>
          <w:tcPr>
            <w:tcW w:w="5274" w:type="dxa"/>
          </w:tcPr>
          <w:p>
            <w:pPr>
              <w:pStyle w:val="TableParagraph"/>
              <w:spacing w:before="23"/>
              <w:ind w:left="64" w:right="154"/>
              <w:rPr>
                <w:sz w:val="22"/>
              </w:rPr>
            </w:pPr>
            <w:r>
              <w:rPr>
                <w:sz w:val="22"/>
              </w:rPr>
              <w:t>The distance to market effect on rural poverty in the Metropolitan Region of Santiago</w:t>
            </w:r>
          </w:p>
        </w:tc>
        <w:tc>
          <w:tcPr>
            <w:tcW w:w="761" w:type="dxa"/>
          </w:tcPr>
          <w:p>
            <w:pPr>
              <w:pStyle w:val="TableParagraph"/>
              <w:spacing w:before="11"/>
              <w:rPr>
                <w:b/>
                <w:sz w:val="23"/>
              </w:rPr>
            </w:pPr>
          </w:p>
          <w:p>
            <w:pPr>
              <w:pStyle w:val="TableParagraph"/>
              <w:jc w:val="center"/>
              <w:rPr>
                <w:sz w:val="22"/>
              </w:rPr>
            </w:pPr>
            <w:r>
              <w:rPr>
                <w:w w:val="100"/>
                <w:sz w:val="22"/>
              </w:rPr>
              <w:t>1</w:t>
            </w:r>
          </w:p>
        </w:tc>
        <w:tc>
          <w:tcPr>
            <w:tcW w:w="802" w:type="dxa"/>
          </w:tcPr>
          <w:p>
            <w:pPr>
              <w:pStyle w:val="TableParagraph"/>
              <w:spacing w:before="11"/>
              <w:rPr>
                <w:b/>
                <w:sz w:val="23"/>
              </w:rPr>
            </w:pPr>
          </w:p>
          <w:p>
            <w:pPr>
              <w:pStyle w:val="TableParagraph"/>
              <w:ind w:right="240"/>
              <w:jc w:val="right"/>
              <w:rPr>
                <w:sz w:val="22"/>
              </w:rPr>
            </w:pPr>
            <w:r>
              <w:rPr>
                <w:sz w:val="22"/>
              </w:rPr>
              <w:t>0.1</w:t>
            </w:r>
          </w:p>
        </w:tc>
        <w:tc>
          <w:tcPr>
            <w:tcW w:w="1438" w:type="dxa"/>
          </w:tcPr>
          <w:p>
            <w:pPr>
              <w:pStyle w:val="TableParagraph"/>
              <w:spacing w:before="11"/>
              <w:rPr>
                <w:b/>
                <w:sz w:val="23"/>
              </w:rPr>
            </w:pPr>
          </w:p>
          <w:p>
            <w:pPr>
              <w:pStyle w:val="TableParagraph"/>
              <w:ind w:left="45" w:right="46"/>
              <w:jc w:val="center"/>
              <w:rPr>
                <w:sz w:val="22"/>
              </w:rPr>
            </w:pPr>
            <w:r>
              <w:rPr>
                <w:sz w:val="22"/>
              </w:rPr>
              <w:t>4.813</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156</w:t>
            </w:r>
          </w:p>
        </w:tc>
        <w:tc>
          <w:tcPr>
            <w:tcW w:w="5274" w:type="dxa"/>
          </w:tcPr>
          <w:p>
            <w:pPr>
              <w:pStyle w:val="TableParagraph"/>
              <w:ind w:left="64" w:right="711"/>
              <w:rPr>
                <w:sz w:val="22"/>
              </w:rPr>
            </w:pPr>
            <w:r>
              <w:rPr>
                <w:sz w:val="22"/>
              </w:rPr>
              <w:t>Isa virus break: Environmental crisis and environmental institutions' capability to handle conflict</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4.730</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157</w:t>
            </w:r>
          </w:p>
        </w:tc>
        <w:tc>
          <w:tcPr>
            <w:tcW w:w="5274" w:type="dxa"/>
          </w:tcPr>
          <w:p>
            <w:pPr>
              <w:pStyle w:val="TableParagraph"/>
              <w:ind w:left="64" w:right="178"/>
              <w:rPr>
                <w:sz w:val="22"/>
              </w:rPr>
            </w:pPr>
            <w:r>
              <w:rPr>
                <w:sz w:val="22"/>
              </w:rPr>
              <w:t>Economic and social impacts of cultural festivals. The case study of the Valdivia International Film Festival</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4.647</w:t>
            </w:r>
          </w:p>
        </w:tc>
      </w:tr>
      <w:tr>
        <w:trPr>
          <w:trHeight w:val="517" w:hRule="exact"/>
        </w:trPr>
        <w:tc>
          <w:tcPr>
            <w:tcW w:w="552" w:type="dxa"/>
          </w:tcPr>
          <w:p>
            <w:pPr>
              <w:pStyle w:val="TableParagraph"/>
              <w:spacing w:before="8"/>
              <w:rPr>
                <w:b/>
                <w:sz w:val="21"/>
              </w:rPr>
            </w:pPr>
          </w:p>
          <w:p>
            <w:pPr>
              <w:pStyle w:val="TableParagraph"/>
              <w:ind w:left="67" w:right="67"/>
              <w:jc w:val="center"/>
              <w:rPr>
                <w:sz w:val="22"/>
              </w:rPr>
            </w:pPr>
            <w:r>
              <w:rPr>
                <w:sz w:val="22"/>
              </w:rPr>
              <w:t>158</w:t>
            </w:r>
          </w:p>
        </w:tc>
        <w:tc>
          <w:tcPr>
            <w:tcW w:w="5274" w:type="dxa"/>
          </w:tcPr>
          <w:p>
            <w:pPr>
              <w:pStyle w:val="TableParagraph"/>
              <w:spacing w:line="252" w:lineRule="exact" w:before="2"/>
              <w:ind w:left="64" w:right="557"/>
              <w:rPr>
                <w:sz w:val="22"/>
              </w:rPr>
            </w:pPr>
            <w:r>
              <w:rPr>
                <w:sz w:val="22"/>
              </w:rPr>
              <w:t>Analysis of regional specialization in services in Spain</w:t>
            </w:r>
          </w:p>
        </w:tc>
        <w:tc>
          <w:tcPr>
            <w:tcW w:w="761" w:type="dxa"/>
          </w:tcPr>
          <w:p>
            <w:pPr>
              <w:pStyle w:val="TableParagraph"/>
              <w:spacing w:before="8"/>
              <w:rPr>
                <w:b/>
                <w:sz w:val="21"/>
              </w:rPr>
            </w:pPr>
          </w:p>
          <w:p>
            <w:pPr>
              <w:pStyle w:val="TableParagraph"/>
              <w:jc w:val="center"/>
              <w:rPr>
                <w:sz w:val="22"/>
              </w:rPr>
            </w:pPr>
            <w:r>
              <w:rPr>
                <w:w w:val="100"/>
                <w:sz w:val="22"/>
              </w:rPr>
              <w:t>1</w:t>
            </w:r>
          </w:p>
        </w:tc>
        <w:tc>
          <w:tcPr>
            <w:tcW w:w="802" w:type="dxa"/>
          </w:tcPr>
          <w:p>
            <w:pPr>
              <w:pStyle w:val="TableParagraph"/>
              <w:spacing w:before="8"/>
              <w:rPr>
                <w:b/>
                <w:sz w:val="21"/>
              </w:rPr>
            </w:pPr>
          </w:p>
          <w:p>
            <w:pPr>
              <w:pStyle w:val="TableParagraph"/>
              <w:ind w:right="240"/>
              <w:jc w:val="right"/>
              <w:rPr>
                <w:sz w:val="22"/>
              </w:rPr>
            </w:pPr>
            <w:r>
              <w:rPr>
                <w:sz w:val="22"/>
              </w:rPr>
              <w:t>0.1</w:t>
            </w:r>
          </w:p>
        </w:tc>
        <w:tc>
          <w:tcPr>
            <w:tcW w:w="1438" w:type="dxa"/>
          </w:tcPr>
          <w:p>
            <w:pPr>
              <w:pStyle w:val="TableParagraph"/>
              <w:spacing w:before="8"/>
              <w:rPr>
                <w:b/>
                <w:sz w:val="21"/>
              </w:rPr>
            </w:pPr>
          </w:p>
          <w:p>
            <w:pPr>
              <w:pStyle w:val="TableParagraph"/>
              <w:ind w:left="45" w:right="46"/>
              <w:jc w:val="center"/>
              <w:rPr>
                <w:sz w:val="22"/>
              </w:rPr>
            </w:pPr>
            <w:r>
              <w:rPr>
                <w:sz w:val="22"/>
              </w:rPr>
              <w:t>4.564</w:t>
            </w:r>
          </w:p>
        </w:tc>
      </w:tr>
      <w:tr>
        <w:trPr>
          <w:trHeight w:val="806" w:hRule="exact"/>
        </w:trPr>
        <w:tc>
          <w:tcPr>
            <w:tcW w:w="552" w:type="dxa"/>
          </w:tcPr>
          <w:p>
            <w:pPr>
              <w:pStyle w:val="TableParagraph"/>
              <w:rPr>
                <w:b/>
                <w:sz w:val="22"/>
              </w:rPr>
            </w:pPr>
          </w:p>
          <w:p>
            <w:pPr>
              <w:pStyle w:val="TableParagraph"/>
              <w:spacing w:before="8"/>
              <w:rPr>
                <w:b/>
                <w:sz w:val="24"/>
              </w:rPr>
            </w:pPr>
          </w:p>
          <w:p>
            <w:pPr>
              <w:pStyle w:val="TableParagraph"/>
              <w:ind w:left="67" w:right="67"/>
              <w:jc w:val="center"/>
              <w:rPr>
                <w:sz w:val="22"/>
              </w:rPr>
            </w:pPr>
            <w:r>
              <w:rPr>
                <w:sz w:val="22"/>
              </w:rPr>
              <w:t>159</w:t>
            </w:r>
          </w:p>
        </w:tc>
        <w:tc>
          <w:tcPr>
            <w:tcW w:w="5274" w:type="dxa"/>
          </w:tcPr>
          <w:p>
            <w:pPr>
              <w:pStyle w:val="TableParagraph"/>
              <w:spacing w:before="33"/>
              <w:ind w:left="64" w:right="105"/>
              <w:rPr>
                <w:sz w:val="22"/>
              </w:rPr>
            </w:pPr>
            <w:r>
              <w:rPr>
                <w:sz w:val="22"/>
              </w:rPr>
              <w:t>Diversity in integrative urban sustainability research: lessons from the 'Risk Habitat Megacity' project on Santiago de Chile, 2006-10</w:t>
            </w:r>
          </w:p>
        </w:tc>
        <w:tc>
          <w:tcPr>
            <w:tcW w:w="761" w:type="dxa"/>
          </w:tcPr>
          <w:p>
            <w:pPr>
              <w:pStyle w:val="TableParagraph"/>
              <w:rPr>
                <w:b/>
                <w:sz w:val="22"/>
              </w:rPr>
            </w:pPr>
          </w:p>
          <w:p>
            <w:pPr>
              <w:pStyle w:val="TableParagraph"/>
              <w:spacing w:before="8"/>
              <w:rPr>
                <w:b/>
                <w:sz w:val="24"/>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8"/>
              <w:rPr>
                <w:b/>
                <w:sz w:val="24"/>
              </w:rPr>
            </w:pPr>
          </w:p>
          <w:p>
            <w:pPr>
              <w:pStyle w:val="TableParagraph"/>
              <w:ind w:left="45" w:right="46"/>
              <w:jc w:val="center"/>
              <w:rPr>
                <w:sz w:val="22"/>
              </w:rPr>
            </w:pPr>
            <w:r>
              <w:rPr>
                <w:sz w:val="22"/>
              </w:rPr>
              <w:t>4.481</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160</w:t>
            </w:r>
          </w:p>
        </w:tc>
        <w:tc>
          <w:tcPr>
            <w:tcW w:w="5274" w:type="dxa"/>
          </w:tcPr>
          <w:p>
            <w:pPr>
              <w:pStyle w:val="TableParagraph"/>
              <w:ind w:left="64" w:right="752"/>
              <w:rPr>
                <w:sz w:val="22"/>
              </w:rPr>
            </w:pPr>
            <w:r>
              <w:rPr>
                <w:sz w:val="22"/>
              </w:rPr>
              <w:t>Appropriation and social control in a Santiago shopping center: socio-spatial practices and teenagers significations</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4.398</w:t>
            </w:r>
          </w:p>
        </w:tc>
      </w:tr>
      <w:tr>
        <w:trPr>
          <w:trHeight w:val="806" w:hRule="exact"/>
        </w:trPr>
        <w:tc>
          <w:tcPr>
            <w:tcW w:w="552" w:type="dxa"/>
          </w:tcPr>
          <w:p>
            <w:pPr>
              <w:pStyle w:val="TableParagraph"/>
              <w:rPr>
                <w:b/>
                <w:sz w:val="22"/>
              </w:rPr>
            </w:pPr>
          </w:p>
          <w:p>
            <w:pPr>
              <w:pStyle w:val="TableParagraph"/>
              <w:spacing w:before="8"/>
              <w:rPr>
                <w:b/>
                <w:sz w:val="24"/>
              </w:rPr>
            </w:pPr>
          </w:p>
          <w:p>
            <w:pPr>
              <w:pStyle w:val="TableParagraph"/>
              <w:ind w:left="67" w:right="67"/>
              <w:jc w:val="center"/>
              <w:rPr>
                <w:sz w:val="22"/>
              </w:rPr>
            </w:pPr>
            <w:r>
              <w:rPr>
                <w:sz w:val="22"/>
              </w:rPr>
              <w:t>161</w:t>
            </w:r>
          </w:p>
        </w:tc>
        <w:tc>
          <w:tcPr>
            <w:tcW w:w="5274" w:type="dxa"/>
          </w:tcPr>
          <w:p>
            <w:pPr>
              <w:pStyle w:val="TableParagraph"/>
              <w:spacing w:before="31"/>
              <w:ind w:left="64" w:right="312"/>
              <w:rPr>
                <w:sz w:val="22"/>
              </w:rPr>
            </w:pPr>
            <w:r>
              <w:rPr>
                <w:sz w:val="22"/>
              </w:rPr>
              <w:t>Citizenship and environmental sustainability in the city: the Angachilla wetland recovery and local organization in Villa Claro de Luna, Valdivia, Chile</w:t>
            </w:r>
          </w:p>
        </w:tc>
        <w:tc>
          <w:tcPr>
            <w:tcW w:w="761" w:type="dxa"/>
          </w:tcPr>
          <w:p>
            <w:pPr>
              <w:pStyle w:val="TableParagraph"/>
              <w:rPr>
                <w:b/>
                <w:sz w:val="22"/>
              </w:rPr>
            </w:pPr>
          </w:p>
          <w:p>
            <w:pPr>
              <w:pStyle w:val="TableParagraph"/>
              <w:spacing w:before="8"/>
              <w:rPr>
                <w:b/>
                <w:sz w:val="24"/>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8"/>
              <w:rPr>
                <w:b/>
                <w:sz w:val="24"/>
              </w:rPr>
            </w:pPr>
          </w:p>
          <w:p>
            <w:pPr>
              <w:pStyle w:val="TableParagraph"/>
              <w:ind w:left="45" w:right="46"/>
              <w:jc w:val="center"/>
              <w:rPr>
                <w:sz w:val="22"/>
              </w:rPr>
            </w:pPr>
            <w:r>
              <w:rPr>
                <w:sz w:val="22"/>
              </w:rPr>
              <w:t>4.315</w:t>
            </w:r>
          </w:p>
        </w:tc>
      </w:tr>
      <w:tr>
        <w:trPr>
          <w:trHeight w:val="768" w:hRule="exact"/>
        </w:trPr>
        <w:tc>
          <w:tcPr>
            <w:tcW w:w="552" w:type="dxa"/>
          </w:tcPr>
          <w:p>
            <w:pPr>
              <w:pStyle w:val="TableParagraph"/>
              <w:rPr>
                <w:b/>
                <w:sz w:val="22"/>
              </w:rPr>
            </w:pPr>
          </w:p>
          <w:p>
            <w:pPr>
              <w:pStyle w:val="TableParagraph"/>
              <w:spacing w:before="7"/>
              <w:rPr>
                <w:b/>
                <w:sz w:val="21"/>
              </w:rPr>
            </w:pPr>
          </w:p>
          <w:p>
            <w:pPr>
              <w:pStyle w:val="TableParagraph"/>
              <w:ind w:left="67" w:right="67"/>
              <w:jc w:val="center"/>
              <w:rPr>
                <w:sz w:val="22"/>
              </w:rPr>
            </w:pPr>
            <w:r>
              <w:rPr>
                <w:sz w:val="22"/>
              </w:rPr>
              <w:t>162</w:t>
            </w:r>
          </w:p>
        </w:tc>
        <w:tc>
          <w:tcPr>
            <w:tcW w:w="5274" w:type="dxa"/>
          </w:tcPr>
          <w:p>
            <w:pPr>
              <w:pStyle w:val="TableParagraph"/>
              <w:ind w:left="64" w:right="349"/>
              <w:rPr>
                <w:sz w:val="22"/>
              </w:rPr>
            </w:pPr>
            <w:r>
              <w:rPr>
                <w:sz w:val="22"/>
              </w:rPr>
              <w:t>A methodological approach for integral studies on urban freight: The case of the Queretaro Metropolitan Area in Mexico</w:t>
            </w:r>
          </w:p>
        </w:tc>
        <w:tc>
          <w:tcPr>
            <w:tcW w:w="761" w:type="dxa"/>
          </w:tcPr>
          <w:p>
            <w:pPr>
              <w:pStyle w:val="TableParagraph"/>
              <w:rPr>
                <w:b/>
                <w:sz w:val="22"/>
              </w:rPr>
            </w:pPr>
          </w:p>
          <w:p>
            <w:pPr>
              <w:pStyle w:val="TableParagraph"/>
              <w:spacing w:before="7"/>
              <w:rPr>
                <w:b/>
                <w:sz w:val="21"/>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7"/>
              <w:rPr>
                <w:b/>
                <w:sz w:val="21"/>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7"/>
              <w:rPr>
                <w:b/>
                <w:sz w:val="21"/>
              </w:rPr>
            </w:pPr>
          </w:p>
          <w:p>
            <w:pPr>
              <w:pStyle w:val="TableParagraph"/>
              <w:ind w:left="45" w:right="46"/>
              <w:jc w:val="center"/>
              <w:rPr>
                <w:sz w:val="22"/>
              </w:rPr>
            </w:pPr>
            <w:r>
              <w:rPr>
                <w:sz w:val="22"/>
              </w:rPr>
              <w:t>4.232</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163</w:t>
            </w:r>
          </w:p>
        </w:tc>
        <w:tc>
          <w:tcPr>
            <w:tcW w:w="5274" w:type="dxa"/>
          </w:tcPr>
          <w:p>
            <w:pPr>
              <w:pStyle w:val="TableParagraph"/>
              <w:spacing w:before="23"/>
              <w:ind w:left="64" w:right="154"/>
              <w:rPr>
                <w:sz w:val="22"/>
              </w:rPr>
            </w:pPr>
            <w:r>
              <w:rPr>
                <w:sz w:val="22"/>
              </w:rPr>
              <w:t>Business Innovation and Territory: An application to Vigo and its surrounding area</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4.149</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164</w:t>
            </w:r>
          </w:p>
        </w:tc>
        <w:tc>
          <w:tcPr>
            <w:tcW w:w="5274" w:type="dxa"/>
          </w:tcPr>
          <w:p>
            <w:pPr>
              <w:pStyle w:val="TableParagraph"/>
              <w:spacing w:before="23"/>
              <w:ind w:left="64" w:right="863"/>
              <w:rPr>
                <w:sz w:val="22"/>
              </w:rPr>
            </w:pPr>
            <w:r>
              <w:rPr>
                <w:sz w:val="22"/>
              </w:rPr>
              <w:t>High-rise housing in areas of urban renewal: Challenges for maintenance</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4.066</w:t>
            </w:r>
          </w:p>
        </w:tc>
      </w:tr>
      <w:tr>
        <w:trPr>
          <w:trHeight w:val="516" w:hRule="exact"/>
        </w:trPr>
        <w:tc>
          <w:tcPr>
            <w:tcW w:w="552" w:type="dxa"/>
          </w:tcPr>
          <w:p>
            <w:pPr>
              <w:pStyle w:val="TableParagraph"/>
              <w:spacing w:before="7"/>
              <w:rPr>
                <w:b/>
                <w:sz w:val="21"/>
              </w:rPr>
            </w:pPr>
          </w:p>
          <w:p>
            <w:pPr>
              <w:pStyle w:val="TableParagraph"/>
              <w:ind w:left="67" w:right="67"/>
              <w:jc w:val="center"/>
              <w:rPr>
                <w:sz w:val="22"/>
              </w:rPr>
            </w:pPr>
            <w:r>
              <w:rPr>
                <w:sz w:val="22"/>
              </w:rPr>
              <w:t>165</w:t>
            </w:r>
          </w:p>
        </w:tc>
        <w:tc>
          <w:tcPr>
            <w:tcW w:w="5274" w:type="dxa"/>
          </w:tcPr>
          <w:p>
            <w:pPr>
              <w:pStyle w:val="TableParagraph"/>
              <w:spacing w:line="242" w:lineRule="auto"/>
              <w:ind w:left="64" w:right="459"/>
              <w:rPr>
                <w:sz w:val="22"/>
              </w:rPr>
            </w:pPr>
            <w:r>
              <w:rPr>
                <w:sz w:val="22"/>
              </w:rPr>
              <w:t>Disputes over development and its logic in North Argentina</w:t>
            </w:r>
          </w:p>
        </w:tc>
        <w:tc>
          <w:tcPr>
            <w:tcW w:w="761" w:type="dxa"/>
          </w:tcPr>
          <w:p>
            <w:pPr>
              <w:pStyle w:val="TableParagraph"/>
              <w:spacing w:before="7"/>
              <w:rPr>
                <w:b/>
                <w:sz w:val="21"/>
              </w:rPr>
            </w:pPr>
          </w:p>
          <w:p>
            <w:pPr>
              <w:pStyle w:val="TableParagraph"/>
              <w:jc w:val="center"/>
              <w:rPr>
                <w:sz w:val="22"/>
              </w:rPr>
            </w:pPr>
            <w:r>
              <w:rPr>
                <w:w w:val="100"/>
                <w:sz w:val="22"/>
              </w:rPr>
              <w:t>1</w:t>
            </w:r>
          </w:p>
        </w:tc>
        <w:tc>
          <w:tcPr>
            <w:tcW w:w="802" w:type="dxa"/>
          </w:tcPr>
          <w:p>
            <w:pPr>
              <w:pStyle w:val="TableParagraph"/>
              <w:spacing w:before="7"/>
              <w:rPr>
                <w:b/>
                <w:sz w:val="21"/>
              </w:rPr>
            </w:pPr>
          </w:p>
          <w:p>
            <w:pPr>
              <w:pStyle w:val="TableParagraph"/>
              <w:ind w:right="240"/>
              <w:jc w:val="right"/>
              <w:rPr>
                <w:sz w:val="22"/>
              </w:rPr>
            </w:pPr>
            <w:r>
              <w:rPr>
                <w:sz w:val="22"/>
              </w:rPr>
              <w:t>0.1</w:t>
            </w:r>
          </w:p>
        </w:tc>
        <w:tc>
          <w:tcPr>
            <w:tcW w:w="1438" w:type="dxa"/>
          </w:tcPr>
          <w:p>
            <w:pPr>
              <w:pStyle w:val="TableParagraph"/>
              <w:spacing w:before="7"/>
              <w:rPr>
                <w:b/>
                <w:sz w:val="21"/>
              </w:rPr>
            </w:pPr>
          </w:p>
          <w:p>
            <w:pPr>
              <w:pStyle w:val="TableParagraph"/>
              <w:ind w:left="45" w:right="46"/>
              <w:jc w:val="center"/>
              <w:rPr>
                <w:sz w:val="22"/>
              </w:rPr>
            </w:pPr>
            <w:r>
              <w:rPr>
                <w:sz w:val="22"/>
              </w:rPr>
              <w:t>3.983</w:t>
            </w:r>
          </w:p>
        </w:tc>
      </w:tr>
      <w:tr>
        <w:trPr>
          <w:trHeight w:val="516" w:hRule="exact"/>
        </w:trPr>
        <w:tc>
          <w:tcPr>
            <w:tcW w:w="552" w:type="dxa"/>
          </w:tcPr>
          <w:p>
            <w:pPr>
              <w:pStyle w:val="TableParagraph"/>
              <w:spacing w:before="7"/>
              <w:rPr>
                <w:b/>
                <w:sz w:val="21"/>
              </w:rPr>
            </w:pPr>
          </w:p>
          <w:p>
            <w:pPr>
              <w:pStyle w:val="TableParagraph"/>
              <w:ind w:left="67" w:right="67"/>
              <w:jc w:val="center"/>
              <w:rPr>
                <w:sz w:val="22"/>
              </w:rPr>
            </w:pPr>
            <w:r>
              <w:rPr>
                <w:sz w:val="22"/>
              </w:rPr>
              <w:t>166</w:t>
            </w:r>
          </w:p>
        </w:tc>
        <w:tc>
          <w:tcPr>
            <w:tcW w:w="5274" w:type="dxa"/>
          </w:tcPr>
          <w:p>
            <w:pPr>
              <w:pStyle w:val="TableParagraph"/>
              <w:spacing w:line="242" w:lineRule="auto"/>
              <w:ind w:left="64" w:right="667"/>
              <w:rPr>
                <w:sz w:val="22"/>
              </w:rPr>
            </w:pPr>
            <w:r>
              <w:rPr>
                <w:sz w:val="22"/>
              </w:rPr>
              <w:t>Chile 27F 2010: The catastrophe of the lack of planning</w:t>
            </w:r>
          </w:p>
        </w:tc>
        <w:tc>
          <w:tcPr>
            <w:tcW w:w="761" w:type="dxa"/>
          </w:tcPr>
          <w:p>
            <w:pPr>
              <w:pStyle w:val="TableParagraph"/>
              <w:spacing w:before="7"/>
              <w:rPr>
                <w:b/>
                <w:sz w:val="21"/>
              </w:rPr>
            </w:pPr>
          </w:p>
          <w:p>
            <w:pPr>
              <w:pStyle w:val="TableParagraph"/>
              <w:jc w:val="center"/>
              <w:rPr>
                <w:sz w:val="22"/>
              </w:rPr>
            </w:pPr>
            <w:r>
              <w:rPr>
                <w:w w:val="100"/>
                <w:sz w:val="22"/>
              </w:rPr>
              <w:t>1</w:t>
            </w:r>
          </w:p>
        </w:tc>
        <w:tc>
          <w:tcPr>
            <w:tcW w:w="802" w:type="dxa"/>
          </w:tcPr>
          <w:p>
            <w:pPr>
              <w:pStyle w:val="TableParagraph"/>
              <w:spacing w:before="7"/>
              <w:rPr>
                <w:b/>
                <w:sz w:val="21"/>
              </w:rPr>
            </w:pPr>
          </w:p>
          <w:p>
            <w:pPr>
              <w:pStyle w:val="TableParagraph"/>
              <w:ind w:right="240"/>
              <w:jc w:val="right"/>
              <w:rPr>
                <w:sz w:val="22"/>
              </w:rPr>
            </w:pPr>
            <w:r>
              <w:rPr>
                <w:sz w:val="22"/>
              </w:rPr>
              <w:t>0.1</w:t>
            </w:r>
          </w:p>
        </w:tc>
        <w:tc>
          <w:tcPr>
            <w:tcW w:w="1438" w:type="dxa"/>
          </w:tcPr>
          <w:p>
            <w:pPr>
              <w:pStyle w:val="TableParagraph"/>
              <w:spacing w:before="7"/>
              <w:rPr>
                <w:b/>
                <w:sz w:val="21"/>
              </w:rPr>
            </w:pPr>
          </w:p>
          <w:p>
            <w:pPr>
              <w:pStyle w:val="TableParagraph"/>
              <w:ind w:left="45" w:right="46"/>
              <w:jc w:val="center"/>
              <w:rPr>
                <w:sz w:val="22"/>
              </w:rPr>
            </w:pPr>
            <w:r>
              <w:rPr>
                <w:sz w:val="22"/>
              </w:rPr>
              <w:t>3.900</w:t>
            </w:r>
          </w:p>
        </w:tc>
      </w:tr>
      <w:tr>
        <w:trPr>
          <w:trHeight w:val="807" w:hRule="exact"/>
        </w:trPr>
        <w:tc>
          <w:tcPr>
            <w:tcW w:w="552" w:type="dxa"/>
          </w:tcPr>
          <w:p>
            <w:pPr>
              <w:pStyle w:val="TableParagraph"/>
              <w:rPr>
                <w:b/>
                <w:sz w:val="22"/>
              </w:rPr>
            </w:pPr>
          </w:p>
          <w:p>
            <w:pPr>
              <w:pStyle w:val="TableParagraph"/>
              <w:spacing w:before="8"/>
              <w:rPr>
                <w:b/>
                <w:sz w:val="24"/>
              </w:rPr>
            </w:pPr>
          </w:p>
          <w:p>
            <w:pPr>
              <w:pStyle w:val="TableParagraph"/>
              <w:spacing w:before="1"/>
              <w:ind w:left="67" w:right="67"/>
              <w:jc w:val="center"/>
              <w:rPr>
                <w:sz w:val="22"/>
              </w:rPr>
            </w:pPr>
            <w:r>
              <w:rPr>
                <w:sz w:val="22"/>
              </w:rPr>
              <w:t>167</w:t>
            </w:r>
          </w:p>
        </w:tc>
        <w:tc>
          <w:tcPr>
            <w:tcW w:w="5274" w:type="dxa"/>
          </w:tcPr>
          <w:p>
            <w:pPr>
              <w:pStyle w:val="TableParagraph"/>
              <w:spacing w:before="31"/>
              <w:ind w:left="64" w:right="141"/>
              <w:rPr>
                <w:sz w:val="22"/>
              </w:rPr>
            </w:pPr>
            <w:r>
              <w:rPr>
                <w:sz w:val="22"/>
              </w:rPr>
              <w:t>Daily practices and mobility apparatus. A political approximation to daily mobility in the poor periurban settlements of Santiago de Chile</w:t>
            </w:r>
          </w:p>
        </w:tc>
        <w:tc>
          <w:tcPr>
            <w:tcW w:w="761" w:type="dxa"/>
          </w:tcPr>
          <w:p>
            <w:pPr>
              <w:pStyle w:val="TableParagraph"/>
              <w:rPr>
                <w:b/>
                <w:sz w:val="22"/>
              </w:rPr>
            </w:pPr>
          </w:p>
          <w:p>
            <w:pPr>
              <w:pStyle w:val="TableParagraph"/>
              <w:spacing w:before="8"/>
              <w:rPr>
                <w:b/>
                <w:sz w:val="24"/>
              </w:rPr>
            </w:pPr>
          </w:p>
          <w:p>
            <w:pPr>
              <w:pStyle w:val="TableParagraph"/>
              <w:spacing w:before="1"/>
              <w:jc w:val="center"/>
              <w:rPr>
                <w:sz w:val="22"/>
              </w:rPr>
            </w:pPr>
            <w:r>
              <w:rPr>
                <w:w w:val="100"/>
                <w:sz w:val="22"/>
              </w:rPr>
              <w:t>1</w:t>
            </w:r>
          </w:p>
        </w:tc>
        <w:tc>
          <w:tcPr>
            <w:tcW w:w="802" w:type="dxa"/>
          </w:tcPr>
          <w:p>
            <w:pPr>
              <w:pStyle w:val="TableParagraph"/>
              <w:rPr>
                <w:b/>
                <w:sz w:val="22"/>
              </w:rPr>
            </w:pPr>
          </w:p>
          <w:p>
            <w:pPr>
              <w:pStyle w:val="TableParagraph"/>
              <w:spacing w:before="8"/>
              <w:rPr>
                <w:b/>
                <w:sz w:val="24"/>
              </w:rPr>
            </w:pPr>
          </w:p>
          <w:p>
            <w:pPr>
              <w:pStyle w:val="TableParagraph"/>
              <w:spacing w:before="1"/>
              <w:ind w:right="240"/>
              <w:jc w:val="right"/>
              <w:rPr>
                <w:sz w:val="22"/>
              </w:rPr>
            </w:pPr>
            <w:r>
              <w:rPr>
                <w:sz w:val="22"/>
              </w:rPr>
              <w:t>0.1</w:t>
            </w:r>
          </w:p>
        </w:tc>
        <w:tc>
          <w:tcPr>
            <w:tcW w:w="1438" w:type="dxa"/>
          </w:tcPr>
          <w:p>
            <w:pPr>
              <w:pStyle w:val="TableParagraph"/>
              <w:rPr>
                <w:b/>
                <w:sz w:val="22"/>
              </w:rPr>
            </w:pPr>
          </w:p>
          <w:p>
            <w:pPr>
              <w:pStyle w:val="TableParagraph"/>
              <w:spacing w:before="8"/>
              <w:rPr>
                <w:b/>
                <w:sz w:val="24"/>
              </w:rPr>
            </w:pPr>
          </w:p>
          <w:p>
            <w:pPr>
              <w:pStyle w:val="TableParagraph"/>
              <w:spacing w:before="1"/>
              <w:ind w:left="45" w:right="46"/>
              <w:jc w:val="center"/>
              <w:rPr>
                <w:sz w:val="22"/>
              </w:rPr>
            </w:pPr>
            <w:r>
              <w:rPr>
                <w:sz w:val="22"/>
              </w:rPr>
              <w:t>3.817</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168</w:t>
            </w:r>
          </w:p>
        </w:tc>
        <w:tc>
          <w:tcPr>
            <w:tcW w:w="5274" w:type="dxa"/>
          </w:tcPr>
          <w:p>
            <w:pPr>
              <w:pStyle w:val="TableParagraph"/>
              <w:spacing w:before="23"/>
              <w:ind w:left="64" w:right="202"/>
              <w:rPr>
                <w:sz w:val="22"/>
              </w:rPr>
            </w:pPr>
            <w:r>
              <w:rPr>
                <w:sz w:val="22"/>
              </w:rPr>
              <w:t>Differences between the sectorial and occupational composition of the principal Chilean cities</w:t>
            </w:r>
          </w:p>
        </w:tc>
        <w:tc>
          <w:tcPr>
            <w:tcW w:w="761" w:type="dxa"/>
          </w:tcPr>
          <w:p>
            <w:pPr>
              <w:pStyle w:val="TableParagraph"/>
              <w:spacing w:before="11"/>
              <w:rPr>
                <w:b/>
                <w:sz w:val="23"/>
              </w:rPr>
            </w:pPr>
          </w:p>
          <w:p>
            <w:pPr>
              <w:pStyle w:val="TableParagraph"/>
              <w:jc w:val="center"/>
              <w:rPr>
                <w:sz w:val="22"/>
              </w:rPr>
            </w:pPr>
            <w:r>
              <w:rPr>
                <w:w w:val="100"/>
                <w:sz w:val="22"/>
              </w:rPr>
              <w:t>1</w:t>
            </w:r>
          </w:p>
        </w:tc>
        <w:tc>
          <w:tcPr>
            <w:tcW w:w="802" w:type="dxa"/>
          </w:tcPr>
          <w:p>
            <w:pPr>
              <w:pStyle w:val="TableParagraph"/>
              <w:spacing w:before="11"/>
              <w:rPr>
                <w:b/>
                <w:sz w:val="23"/>
              </w:rPr>
            </w:pPr>
          </w:p>
          <w:p>
            <w:pPr>
              <w:pStyle w:val="TableParagraph"/>
              <w:ind w:right="240"/>
              <w:jc w:val="right"/>
              <w:rPr>
                <w:sz w:val="22"/>
              </w:rPr>
            </w:pPr>
            <w:r>
              <w:rPr>
                <w:sz w:val="22"/>
              </w:rPr>
              <w:t>0.1</w:t>
            </w:r>
          </w:p>
        </w:tc>
        <w:tc>
          <w:tcPr>
            <w:tcW w:w="1438" w:type="dxa"/>
          </w:tcPr>
          <w:p>
            <w:pPr>
              <w:pStyle w:val="TableParagraph"/>
              <w:spacing w:before="11"/>
              <w:rPr>
                <w:b/>
                <w:sz w:val="23"/>
              </w:rPr>
            </w:pPr>
          </w:p>
          <w:p>
            <w:pPr>
              <w:pStyle w:val="TableParagraph"/>
              <w:ind w:left="45" w:right="46"/>
              <w:jc w:val="center"/>
              <w:rPr>
                <w:sz w:val="22"/>
              </w:rPr>
            </w:pPr>
            <w:r>
              <w:rPr>
                <w:sz w:val="22"/>
              </w:rPr>
              <w:t>3.734</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169</w:t>
            </w:r>
          </w:p>
        </w:tc>
        <w:tc>
          <w:tcPr>
            <w:tcW w:w="5274" w:type="dxa"/>
          </w:tcPr>
          <w:p>
            <w:pPr>
              <w:pStyle w:val="TableParagraph"/>
              <w:spacing w:before="23"/>
              <w:ind w:left="64" w:right="93"/>
              <w:rPr>
                <w:sz w:val="22"/>
              </w:rPr>
            </w:pPr>
            <w:r>
              <w:rPr>
                <w:sz w:val="22"/>
              </w:rPr>
              <w:t>From strategic planning to urban marketing: towards the immaterial city</w:t>
            </w:r>
          </w:p>
        </w:tc>
        <w:tc>
          <w:tcPr>
            <w:tcW w:w="761" w:type="dxa"/>
          </w:tcPr>
          <w:p>
            <w:pPr>
              <w:pStyle w:val="TableParagraph"/>
              <w:spacing w:before="11"/>
              <w:rPr>
                <w:b/>
                <w:sz w:val="23"/>
              </w:rPr>
            </w:pPr>
          </w:p>
          <w:p>
            <w:pPr>
              <w:pStyle w:val="TableParagraph"/>
              <w:jc w:val="center"/>
              <w:rPr>
                <w:sz w:val="22"/>
              </w:rPr>
            </w:pPr>
            <w:r>
              <w:rPr>
                <w:w w:val="100"/>
                <w:sz w:val="22"/>
              </w:rPr>
              <w:t>1</w:t>
            </w:r>
          </w:p>
        </w:tc>
        <w:tc>
          <w:tcPr>
            <w:tcW w:w="802" w:type="dxa"/>
          </w:tcPr>
          <w:p>
            <w:pPr>
              <w:pStyle w:val="TableParagraph"/>
              <w:spacing w:before="11"/>
              <w:rPr>
                <w:b/>
                <w:sz w:val="23"/>
              </w:rPr>
            </w:pPr>
          </w:p>
          <w:p>
            <w:pPr>
              <w:pStyle w:val="TableParagraph"/>
              <w:ind w:right="240"/>
              <w:jc w:val="right"/>
              <w:rPr>
                <w:sz w:val="22"/>
              </w:rPr>
            </w:pPr>
            <w:r>
              <w:rPr>
                <w:sz w:val="22"/>
              </w:rPr>
              <w:t>0.1</w:t>
            </w:r>
          </w:p>
        </w:tc>
        <w:tc>
          <w:tcPr>
            <w:tcW w:w="1438" w:type="dxa"/>
          </w:tcPr>
          <w:p>
            <w:pPr>
              <w:pStyle w:val="TableParagraph"/>
              <w:spacing w:before="11"/>
              <w:rPr>
                <w:b/>
                <w:sz w:val="23"/>
              </w:rPr>
            </w:pPr>
          </w:p>
          <w:p>
            <w:pPr>
              <w:pStyle w:val="TableParagraph"/>
              <w:ind w:left="45" w:right="46"/>
              <w:jc w:val="center"/>
              <w:rPr>
                <w:sz w:val="22"/>
              </w:rPr>
            </w:pPr>
            <w:r>
              <w:rPr>
                <w:sz w:val="22"/>
              </w:rPr>
              <w:t>3.651</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170</w:t>
            </w:r>
          </w:p>
        </w:tc>
        <w:tc>
          <w:tcPr>
            <w:tcW w:w="5274" w:type="dxa"/>
          </w:tcPr>
          <w:p>
            <w:pPr>
              <w:pStyle w:val="TableParagraph"/>
              <w:spacing w:before="23"/>
              <w:ind w:left="64" w:right="112"/>
              <w:rPr>
                <w:sz w:val="22"/>
              </w:rPr>
            </w:pPr>
            <w:r>
              <w:rPr>
                <w:sz w:val="22"/>
              </w:rPr>
              <w:t>International economic insertion and 'negotiated resolution' of Latin American environmental conflicts</w:t>
            </w:r>
          </w:p>
        </w:tc>
        <w:tc>
          <w:tcPr>
            <w:tcW w:w="761" w:type="dxa"/>
          </w:tcPr>
          <w:p>
            <w:pPr>
              <w:pStyle w:val="TableParagraph"/>
              <w:spacing w:before="11"/>
              <w:rPr>
                <w:b/>
                <w:sz w:val="23"/>
              </w:rPr>
            </w:pPr>
          </w:p>
          <w:p>
            <w:pPr>
              <w:pStyle w:val="TableParagraph"/>
              <w:jc w:val="center"/>
              <w:rPr>
                <w:sz w:val="22"/>
              </w:rPr>
            </w:pPr>
            <w:r>
              <w:rPr>
                <w:w w:val="100"/>
                <w:sz w:val="22"/>
              </w:rPr>
              <w:t>1</w:t>
            </w:r>
          </w:p>
        </w:tc>
        <w:tc>
          <w:tcPr>
            <w:tcW w:w="802" w:type="dxa"/>
          </w:tcPr>
          <w:p>
            <w:pPr>
              <w:pStyle w:val="TableParagraph"/>
              <w:spacing w:before="11"/>
              <w:rPr>
                <w:b/>
                <w:sz w:val="23"/>
              </w:rPr>
            </w:pPr>
          </w:p>
          <w:p>
            <w:pPr>
              <w:pStyle w:val="TableParagraph"/>
              <w:ind w:right="240"/>
              <w:jc w:val="right"/>
              <w:rPr>
                <w:sz w:val="22"/>
              </w:rPr>
            </w:pPr>
            <w:r>
              <w:rPr>
                <w:sz w:val="22"/>
              </w:rPr>
              <w:t>0.1</w:t>
            </w:r>
          </w:p>
        </w:tc>
        <w:tc>
          <w:tcPr>
            <w:tcW w:w="1438" w:type="dxa"/>
          </w:tcPr>
          <w:p>
            <w:pPr>
              <w:pStyle w:val="TableParagraph"/>
              <w:spacing w:before="11"/>
              <w:rPr>
                <w:b/>
                <w:sz w:val="23"/>
              </w:rPr>
            </w:pPr>
          </w:p>
          <w:p>
            <w:pPr>
              <w:pStyle w:val="TableParagraph"/>
              <w:ind w:left="45" w:right="46"/>
              <w:jc w:val="center"/>
              <w:rPr>
                <w:sz w:val="22"/>
              </w:rPr>
            </w:pPr>
            <w:r>
              <w:rPr>
                <w:sz w:val="22"/>
              </w:rPr>
              <w:t>3.568</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171</w:t>
            </w:r>
          </w:p>
        </w:tc>
        <w:tc>
          <w:tcPr>
            <w:tcW w:w="5274" w:type="dxa"/>
          </w:tcPr>
          <w:p>
            <w:pPr>
              <w:pStyle w:val="TableParagraph"/>
              <w:spacing w:before="23"/>
              <w:ind w:left="64" w:right="802"/>
              <w:rPr>
                <w:sz w:val="22"/>
              </w:rPr>
            </w:pPr>
            <w:r>
              <w:rPr>
                <w:sz w:val="22"/>
              </w:rPr>
              <w:t>Spatial changes in the Community of Madrid: polycentrism and dispersion</w:t>
            </w:r>
          </w:p>
        </w:tc>
        <w:tc>
          <w:tcPr>
            <w:tcW w:w="761" w:type="dxa"/>
          </w:tcPr>
          <w:p>
            <w:pPr>
              <w:pStyle w:val="TableParagraph"/>
              <w:spacing w:before="11"/>
              <w:rPr>
                <w:b/>
                <w:sz w:val="23"/>
              </w:rPr>
            </w:pPr>
          </w:p>
          <w:p>
            <w:pPr>
              <w:pStyle w:val="TableParagraph"/>
              <w:jc w:val="center"/>
              <w:rPr>
                <w:sz w:val="22"/>
              </w:rPr>
            </w:pPr>
            <w:r>
              <w:rPr>
                <w:w w:val="100"/>
                <w:sz w:val="22"/>
              </w:rPr>
              <w:t>1</w:t>
            </w:r>
          </w:p>
        </w:tc>
        <w:tc>
          <w:tcPr>
            <w:tcW w:w="802" w:type="dxa"/>
          </w:tcPr>
          <w:p>
            <w:pPr>
              <w:pStyle w:val="TableParagraph"/>
              <w:spacing w:before="11"/>
              <w:rPr>
                <w:b/>
                <w:sz w:val="23"/>
              </w:rPr>
            </w:pPr>
          </w:p>
          <w:p>
            <w:pPr>
              <w:pStyle w:val="TableParagraph"/>
              <w:ind w:right="240"/>
              <w:jc w:val="right"/>
              <w:rPr>
                <w:sz w:val="22"/>
              </w:rPr>
            </w:pPr>
            <w:r>
              <w:rPr>
                <w:sz w:val="22"/>
              </w:rPr>
              <w:t>0.1</w:t>
            </w:r>
          </w:p>
        </w:tc>
        <w:tc>
          <w:tcPr>
            <w:tcW w:w="1438" w:type="dxa"/>
          </w:tcPr>
          <w:p>
            <w:pPr>
              <w:pStyle w:val="TableParagraph"/>
              <w:spacing w:before="11"/>
              <w:rPr>
                <w:b/>
                <w:sz w:val="23"/>
              </w:rPr>
            </w:pPr>
          </w:p>
          <w:p>
            <w:pPr>
              <w:pStyle w:val="TableParagraph"/>
              <w:ind w:left="45" w:right="46"/>
              <w:jc w:val="center"/>
              <w:rPr>
                <w:sz w:val="22"/>
              </w:rPr>
            </w:pPr>
            <w:r>
              <w:rPr>
                <w:sz w:val="22"/>
              </w:rPr>
              <w:t>3.485</w:t>
            </w:r>
          </w:p>
        </w:tc>
      </w:tr>
    </w:tbl>
    <w:p>
      <w:pPr>
        <w:spacing w:after="0"/>
        <w:jc w:val="center"/>
        <w:rPr>
          <w:sz w:val="22"/>
        </w:rPr>
        <w:sectPr>
          <w:pgSz w:w="12240" w:h="15840"/>
          <w:pgMar w:header="0" w:footer="629" w:top="142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
        <w:gridCol w:w="5274"/>
        <w:gridCol w:w="761"/>
        <w:gridCol w:w="802"/>
        <w:gridCol w:w="1438"/>
      </w:tblGrid>
      <w:tr>
        <w:trPr>
          <w:trHeight w:val="316" w:hRule="exact"/>
        </w:trPr>
        <w:tc>
          <w:tcPr>
            <w:tcW w:w="552" w:type="dxa"/>
            <w:shd w:val="clear" w:color="auto" w:fill="938953"/>
          </w:tcPr>
          <w:p>
            <w:pPr/>
          </w:p>
        </w:tc>
        <w:tc>
          <w:tcPr>
            <w:tcW w:w="5274" w:type="dxa"/>
            <w:shd w:val="clear" w:color="auto" w:fill="938953"/>
          </w:tcPr>
          <w:p>
            <w:pPr>
              <w:pStyle w:val="TableParagraph"/>
              <w:spacing w:before="47"/>
              <w:ind w:left="2347" w:right="2350"/>
              <w:jc w:val="center"/>
              <w:rPr>
                <w:b/>
                <w:sz w:val="22"/>
              </w:rPr>
            </w:pPr>
            <w:r>
              <w:rPr>
                <w:b/>
                <w:color w:val="FFFFFF"/>
                <w:sz w:val="22"/>
              </w:rPr>
              <w:t>Total</w:t>
            </w:r>
          </w:p>
        </w:tc>
        <w:tc>
          <w:tcPr>
            <w:tcW w:w="761" w:type="dxa"/>
            <w:shd w:val="clear" w:color="auto" w:fill="938953"/>
          </w:tcPr>
          <w:p>
            <w:pPr>
              <w:pStyle w:val="TableParagraph"/>
              <w:spacing w:before="49"/>
              <w:ind w:left="105" w:right="105"/>
              <w:jc w:val="center"/>
              <w:rPr>
                <w:sz w:val="22"/>
              </w:rPr>
            </w:pPr>
            <w:r>
              <w:rPr>
                <w:color w:val="FFFFFF"/>
                <w:sz w:val="22"/>
              </w:rPr>
              <w:t>Citas</w:t>
            </w:r>
          </w:p>
        </w:tc>
        <w:tc>
          <w:tcPr>
            <w:tcW w:w="802" w:type="dxa"/>
            <w:shd w:val="clear" w:color="auto" w:fill="938953"/>
          </w:tcPr>
          <w:p>
            <w:pPr>
              <w:pStyle w:val="TableParagraph"/>
              <w:spacing w:before="49"/>
              <w:ind w:right="298"/>
              <w:jc w:val="right"/>
              <w:rPr>
                <w:sz w:val="22"/>
              </w:rPr>
            </w:pPr>
            <w:r>
              <w:rPr>
                <w:color w:val="FFFFFF"/>
                <w:w w:val="100"/>
                <w:sz w:val="22"/>
              </w:rPr>
              <w:t>%</w:t>
            </w:r>
          </w:p>
        </w:tc>
        <w:tc>
          <w:tcPr>
            <w:tcW w:w="1438" w:type="dxa"/>
            <w:shd w:val="clear" w:color="auto" w:fill="938953"/>
          </w:tcPr>
          <w:p>
            <w:pPr>
              <w:pStyle w:val="TableParagraph"/>
              <w:spacing w:before="49"/>
              <w:ind w:left="46" w:right="46"/>
              <w:jc w:val="center"/>
              <w:rPr>
                <w:sz w:val="22"/>
              </w:rPr>
            </w:pPr>
            <w:r>
              <w:rPr>
                <w:color w:val="FFFFFF"/>
                <w:sz w:val="22"/>
              </w:rPr>
              <w:t>%Acumulado</w:t>
            </w:r>
          </w:p>
        </w:tc>
      </w:tr>
      <w:tr>
        <w:trPr>
          <w:trHeight w:val="1274" w:hRule="exact"/>
        </w:trPr>
        <w:tc>
          <w:tcPr>
            <w:tcW w:w="552" w:type="dxa"/>
          </w:tcPr>
          <w:p>
            <w:pPr>
              <w:pStyle w:val="TableParagraph"/>
              <w:rPr>
                <w:b/>
                <w:sz w:val="22"/>
              </w:rPr>
            </w:pPr>
          </w:p>
          <w:p>
            <w:pPr>
              <w:pStyle w:val="TableParagraph"/>
              <w:rPr>
                <w:b/>
                <w:sz w:val="22"/>
              </w:rPr>
            </w:pPr>
          </w:p>
          <w:p>
            <w:pPr>
              <w:pStyle w:val="TableParagraph"/>
              <w:rPr>
                <w:b/>
                <w:sz w:val="22"/>
              </w:rPr>
            </w:pPr>
          </w:p>
          <w:p>
            <w:pPr>
              <w:pStyle w:val="TableParagraph"/>
              <w:spacing w:before="7"/>
              <w:rPr>
                <w:b/>
                <w:sz w:val="21"/>
              </w:rPr>
            </w:pPr>
          </w:p>
          <w:p>
            <w:pPr>
              <w:pStyle w:val="TableParagraph"/>
              <w:ind w:left="67" w:right="67"/>
              <w:jc w:val="center"/>
              <w:rPr>
                <w:sz w:val="22"/>
              </w:rPr>
            </w:pPr>
            <w:r>
              <w:rPr>
                <w:sz w:val="22"/>
              </w:rPr>
              <w:t>172</w:t>
            </w:r>
          </w:p>
        </w:tc>
        <w:tc>
          <w:tcPr>
            <w:tcW w:w="5274" w:type="dxa"/>
          </w:tcPr>
          <w:p>
            <w:pPr>
              <w:pStyle w:val="TableParagraph"/>
              <w:ind w:left="64" w:right="105"/>
              <w:rPr>
                <w:sz w:val="22"/>
              </w:rPr>
            </w:pPr>
            <w:r>
              <w:rPr>
                <w:sz w:val="22"/>
              </w:rPr>
              <w:t>From mining settlement to continental space. Chuquicamata (Chile) and the contribution of mining to the territorial configuration and social and economic development of the Antofagasta region during the XXth century</w:t>
            </w:r>
          </w:p>
        </w:tc>
        <w:tc>
          <w:tcPr>
            <w:tcW w:w="761" w:type="dxa"/>
          </w:tcPr>
          <w:p>
            <w:pPr>
              <w:pStyle w:val="TableParagraph"/>
              <w:rPr>
                <w:b/>
                <w:sz w:val="22"/>
              </w:rPr>
            </w:pPr>
          </w:p>
          <w:p>
            <w:pPr>
              <w:pStyle w:val="TableParagraph"/>
              <w:rPr>
                <w:b/>
                <w:sz w:val="22"/>
              </w:rPr>
            </w:pPr>
          </w:p>
          <w:p>
            <w:pPr>
              <w:pStyle w:val="TableParagraph"/>
              <w:rPr>
                <w:b/>
                <w:sz w:val="22"/>
              </w:rPr>
            </w:pPr>
          </w:p>
          <w:p>
            <w:pPr>
              <w:pStyle w:val="TableParagraph"/>
              <w:spacing w:before="7"/>
              <w:rPr>
                <w:b/>
                <w:sz w:val="21"/>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rPr>
                <w:b/>
                <w:sz w:val="22"/>
              </w:rPr>
            </w:pPr>
          </w:p>
          <w:p>
            <w:pPr>
              <w:pStyle w:val="TableParagraph"/>
              <w:rPr>
                <w:b/>
                <w:sz w:val="22"/>
              </w:rPr>
            </w:pPr>
          </w:p>
          <w:p>
            <w:pPr>
              <w:pStyle w:val="TableParagraph"/>
              <w:spacing w:before="7"/>
              <w:rPr>
                <w:b/>
                <w:sz w:val="21"/>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rPr>
                <w:b/>
                <w:sz w:val="22"/>
              </w:rPr>
            </w:pPr>
          </w:p>
          <w:p>
            <w:pPr>
              <w:pStyle w:val="TableParagraph"/>
              <w:rPr>
                <w:b/>
                <w:sz w:val="22"/>
              </w:rPr>
            </w:pPr>
          </w:p>
          <w:p>
            <w:pPr>
              <w:pStyle w:val="TableParagraph"/>
              <w:spacing w:before="7"/>
              <w:rPr>
                <w:b/>
                <w:sz w:val="21"/>
              </w:rPr>
            </w:pPr>
          </w:p>
          <w:p>
            <w:pPr>
              <w:pStyle w:val="TableParagraph"/>
              <w:ind w:left="45" w:right="46"/>
              <w:jc w:val="center"/>
              <w:rPr>
                <w:sz w:val="22"/>
              </w:rPr>
            </w:pPr>
            <w:r>
              <w:rPr>
                <w:sz w:val="22"/>
              </w:rPr>
              <w:t>3.402</w:t>
            </w:r>
          </w:p>
        </w:tc>
      </w:tr>
      <w:tr>
        <w:trPr>
          <w:trHeight w:val="770"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173</w:t>
            </w:r>
          </w:p>
        </w:tc>
        <w:tc>
          <w:tcPr>
            <w:tcW w:w="5274" w:type="dxa"/>
          </w:tcPr>
          <w:p>
            <w:pPr>
              <w:pStyle w:val="TableParagraph"/>
              <w:ind w:left="64" w:right="178"/>
              <w:rPr>
                <w:sz w:val="22"/>
              </w:rPr>
            </w:pPr>
            <w:r>
              <w:rPr>
                <w:sz w:val="22"/>
              </w:rPr>
              <w:t>Trends in residential mobility in Mexico City as evidence of co-localisation of population and employment</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3.320</w:t>
            </w:r>
          </w:p>
        </w:tc>
      </w:tr>
      <w:tr>
        <w:trPr>
          <w:trHeight w:val="314" w:hRule="exact"/>
        </w:trPr>
        <w:tc>
          <w:tcPr>
            <w:tcW w:w="552" w:type="dxa"/>
          </w:tcPr>
          <w:p>
            <w:pPr>
              <w:pStyle w:val="TableParagraph"/>
              <w:spacing w:before="47"/>
              <w:ind w:left="67" w:right="67"/>
              <w:jc w:val="center"/>
              <w:rPr>
                <w:sz w:val="22"/>
              </w:rPr>
            </w:pPr>
            <w:r>
              <w:rPr>
                <w:sz w:val="22"/>
              </w:rPr>
              <w:t>174</w:t>
            </w:r>
          </w:p>
        </w:tc>
        <w:tc>
          <w:tcPr>
            <w:tcW w:w="5274" w:type="dxa"/>
          </w:tcPr>
          <w:p>
            <w:pPr>
              <w:pStyle w:val="TableParagraph"/>
              <w:spacing w:before="47"/>
              <w:ind w:left="64" w:right="679"/>
              <w:rPr>
                <w:sz w:val="22"/>
              </w:rPr>
            </w:pPr>
            <w:r>
              <w:rPr>
                <w:sz w:val="22"/>
              </w:rPr>
              <w:t>City: identity and rankings</w:t>
            </w:r>
          </w:p>
        </w:tc>
        <w:tc>
          <w:tcPr>
            <w:tcW w:w="761" w:type="dxa"/>
          </w:tcPr>
          <w:p>
            <w:pPr>
              <w:pStyle w:val="TableParagraph"/>
              <w:spacing w:before="47"/>
              <w:jc w:val="center"/>
              <w:rPr>
                <w:sz w:val="22"/>
              </w:rPr>
            </w:pPr>
            <w:r>
              <w:rPr>
                <w:w w:val="100"/>
                <w:sz w:val="22"/>
              </w:rPr>
              <w:t>1</w:t>
            </w:r>
          </w:p>
        </w:tc>
        <w:tc>
          <w:tcPr>
            <w:tcW w:w="802" w:type="dxa"/>
          </w:tcPr>
          <w:p>
            <w:pPr>
              <w:pStyle w:val="TableParagraph"/>
              <w:spacing w:before="47"/>
              <w:ind w:right="240"/>
              <w:jc w:val="right"/>
              <w:rPr>
                <w:sz w:val="22"/>
              </w:rPr>
            </w:pPr>
            <w:r>
              <w:rPr>
                <w:sz w:val="22"/>
              </w:rPr>
              <w:t>0.1</w:t>
            </w:r>
          </w:p>
        </w:tc>
        <w:tc>
          <w:tcPr>
            <w:tcW w:w="1438" w:type="dxa"/>
          </w:tcPr>
          <w:p>
            <w:pPr>
              <w:pStyle w:val="TableParagraph"/>
              <w:spacing w:before="47"/>
              <w:ind w:left="45" w:right="46"/>
              <w:jc w:val="center"/>
              <w:rPr>
                <w:sz w:val="22"/>
              </w:rPr>
            </w:pPr>
            <w:r>
              <w:rPr>
                <w:sz w:val="22"/>
              </w:rPr>
              <w:t>3.237</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175</w:t>
            </w:r>
          </w:p>
        </w:tc>
        <w:tc>
          <w:tcPr>
            <w:tcW w:w="5274" w:type="dxa"/>
          </w:tcPr>
          <w:p>
            <w:pPr>
              <w:pStyle w:val="TableParagraph"/>
              <w:spacing w:before="26"/>
              <w:ind w:left="64" w:right="410"/>
              <w:rPr>
                <w:sz w:val="22"/>
              </w:rPr>
            </w:pPr>
            <w:r>
              <w:rPr>
                <w:sz w:val="22"/>
              </w:rPr>
              <w:t>The debate over intelligent territories: the case of the metropolitan area of Seville</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3.154</w:t>
            </w:r>
          </w:p>
        </w:tc>
      </w:tr>
      <w:tr>
        <w:trPr>
          <w:trHeight w:val="548" w:hRule="exact"/>
        </w:trPr>
        <w:tc>
          <w:tcPr>
            <w:tcW w:w="552" w:type="dxa"/>
          </w:tcPr>
          <w:p>
            <w:pPr>
              <w:pStyle w:val="TableParagraph"/>
              <w:spacing w:before="2"/>
              <w:rPr>
                <w:b/>
                <w:sz w:val="24"/>
              </w:rPr>
            </w:pPr>
          </w:p>
          <w:p>
            <w:pPr>
              <w:pStyle w:val="TableParagraph"/>
              <w:ind w:left="67" w:right="67"/>
              <w:jc w:val="center"/>
              <w:rPr>
                <w:sz w:val="22"/>
              </w:rPr>
            </w:pPr>
            <w:r>
              <w:rPr>
                <w:sz w:val="22"/>
              </w:rPr>
              <w:t>176</w:t>
            </w:r>
          </w:p>
        </w:tc>
        <w:tc>
          <w:tcPr>
            <w:tcW w:w="5274" w:type="dxa"/>
          </w:tcPr>
          <w:p>
            <w:pPr>
              <w:pStyle w:val="TableParagraph"/>
              <w:spacing w:before="26"/>
              <w:ind w:left="64" w:right="1303"/>
              <w:rPr>
                <w:sz w:val="22"/>
              </w:rPr>
            </w:pPr>
            <w:r>
              <w:rPr>
                <w:sz w:val="22"/>
              </w:rPr>
              <w:t>Urban structure and polycentricity in the Metropolitan Area of Concepcion</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3.071</w:t>
            </w:r>
          </w:p>
        </w:tc>
      </w:tr>
      <w:tr>
        <w:trPr>
          <w:trHeight w:val="804" w:hRule="exact"/>
        </w:trPr>
        <w:tc>
          <w:tcPr>
            <w:tcW w:w="552" w:type="dxa"/>
          </w:tcPr>
          <w:p>
            <w:pPr>
              <w:pStyle w:val="TableParagraph"/>
              <w:rPr>
                <w:b/>
                <w:sz w:val="22"/>
              </w:rPr>
            </w:pPr>
          </w:p>
          <w:p>
            <w:pPr>
              <w:pStyle w:val="TableParagraph"/>
              <w:spacing w:before="8"/>
              <w:rPr>
                <w:b/>
                <w:sz w:val="24"/>
              </w:rPr>
            </w:pPr>
          </w:p>
          <w:p>
            <w:pPr>
              <w:pStyle w:val="TableParagraph"/>
              <w:ind w:left="67" w:right="67"/>
              <w:jc w:val="center"/>
              <w:rPr>
                <w:sz w:val="22"/>
              </w:rPr>
            </w:pPr>
            <w:r>
              <w:rPr>
                <w:sz w:val="22"/>
              </w:rPr>
              <w:t>177</w:t>
            </w:r>
          </w:p>
        </w:tc>
        <w:tc>
          <w:tcPr>
            <w:tcW w:w="5274" w:type="dxa"/>
          </w:tcPr>
          <w:p>
            <w:pPr>
              <w:pStyle w:val="TableParagraph"/>
              <w:spacing w:before="31"/>
              <w:ind w:left="64" w:right="448"/>
              <w:rPr>
                <w:sz w:val="22"/>
              </w:rPr>
            </w:pPr>
            <w:r>
              <w:rPr>
                <w:sz w:val="22"/>
              </w:rPr>
              <w:t>The three Mexicos: An analysis of the spatial distribution of employment in high-order services and manufacturing by city-size and region</w:t>
            </w:r>
          </w:p>
        </w:tc>
        <w:tc>
          <w:tcPr>
            <w:tcW w:w="761" w:type="dxa"/>
          </w:tcPr>
          <w:p>
            <w:pPr>
              <w:pStyle w:val="TableParagraph"/>
              <w:rPr>
                <w:b/>
                <w:sz w:val="22"/>
              </w:rPr>
            </w:pPr>
          </w:p>
          <w:p>
            <w:pPr>
              <w:pStyle w:val="TableParagraph"/>
              <w:spacing w:before="8"/>
              <w:rPr>
                <w:b/>
                <w:sz w:val="24"/>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8"/>
              <w:rPr>
                <w:b/>
                <w:sz w:val="24"/>
              </w:rPr>
            </w:pPr>
          </w:p>
          <w:p>
            <w:pPr>
              <w:pStyle w:val="TableParagraph"/>
              <w:ind w:left="45" w:right="46"/>
              <w:jc w:val="center"/>
              <w:rPr>
                <w:sz w:val="22"/>
              </w:rPr>
            </w:pPr>
            <w:r>
              <w:rPr>
                <w:sz w:val="22"/>
              </w:rPr>
              <w:t>2.988</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178</w:t>
            </w:r>
          </w:p>
        </w:tc>
        <w:tc>
          <w:tcPr>
            <w:tcW w:w="5274" w:type="dxa"/>
          </w:tcPr>
          <w:p>
            <w:pPr>
              <w:pStyle w:val="TableParagraph"/>
              <w:spacing w:before="23"/>
              <w:ind w:left="64" w:right="642"/>
              <w:rPr>
                <w:sz w:val="22"/>
              </w:rPr>
            </w:pPr>
            <w:r>
              <w:rPr>
                <w:sz w:val="22"/>
              </w:rPr>
              <w:t>Spatial inequalities in Mexico generated by the North American free trade agreement</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2.905</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179</w:t>
            </w:r>
          </w:p>
        </w:tc>
        <w:tc>
          <w:tcPr>
            <w:tcW w:w="5274" w:type="dxa"/>
          </w:tcPr>
          <w:p>
            <w:pPr>
              <w:pStyle w:val="TableParagraph"/>
              <w:spacing w:before="23"/>
              <w:ind w:left="64" w:right="484"/>
              <w:rPr>
                <w:sz w:val="22"/>
              </w:rPr>
            </w:pPr>
            <w:r>
              <w:rPr>
                <w:sz w:val="22"/>
              </w:rPr>
              <w:t>Location patterns of large firm headquarters and metropolitan settings</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2.822</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180</w:t>
            </w:r>
          </w:p>
        </w:tc>
        <w:tc>
          <w:tcPr>
            <w:tcW w:w="5274" w:type="dxa"/>
          </w:tcPr>
          <w:p>
            <w:pPr>
              <w:pStyle w:val="TableParagraph"/>
              <w:spacing w:before="23"/>
              <w:ind w:left="64" w:right="117"/>
              <w:rPr>
                <w:sz w:val="22"/>
              </w:rPr>
            </w:pPr>
            <w:r>
              <w:rPr>
                <w:sz w:val="22"/>
              </w:rPr>
              <w:t>Between science fiction and the social sciences: the dark side of american cities</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2.739</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181</w:t>
            </w:r>
          </w:p>
        </w:tc>
        <w:tc>
          <w:tcPr>
            <w:tcW w:w="5274" w:type="dxa"/>
          </w:tcPr>
          <w:p>
            <w:pPr>
              <w:pStyle w:val="TableParagraph"/>
              <w:spacing w:before="23"/>
              <w:ind w:left="64" w:right="92"/>
              <w:rPr>
                <w:sz w:val="22"/>
              </w:rPr>
            </w:pPr>
            <w:r>
              <w:rPr>
                <w:sz w:val="22"/>
              </w:rPr>
              <w:t>The metropolitan region of Sao Paulo (MRSP): reestruturation, re-espacialization and new functions</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2.656</w:t>
            </w:r>
          </w:p>
        </w:tc>
      </w:tr>
      <w:tr>
        <w:trPr>
          <w:trHeight w:val="317" w:hRule="exact"/>
        </w:trPr>
        <w:tc>
          <w:tcPr>
            <w:tcW w:w="552" w:type="dxa"/>
          </w:tcPr>
          <w:p>
            <w:pPr>
              <w:pStyle w:val="TableParagraph"/>
              <w:spacing w:before="50"/>
              <w:ind w:left="67" w:right="67"/>
              <w:jc w:val="center"/>
              <w:rPr>
                <w:sz w:val="22"/>
              </w:rPr>
            </w:pPr>
            <w:r>
              <w:rPr>
                <w:sz w:val="22"/>
              </w:rPr>
              <w:t>182</w:t>
            </w:r>
          </w:p>
        </w:tc>
        <w:tc>
          <w:tcPr>
            <w:tcW w:w="5274" w:type="dxa"/>
          </w:tcPr>
          <w:p>
            <w:pPr>
              <w:pStyle w:val="TableParagraph"/>
              <w:spacing w:before="50"/>
              <w:ind w:left="64" w:right="178"/>
              <w:rPr>
                <w:sz w:val="22"/>
              </w:rPr>
            </w:pPr>
            <w:r>
              <w:rPr>
                <w:sz w:val="22"/>
              </w:rPr>
              <w:t>Historic evolution of urban planning in Portugal</w:t>
            </w:r>
          </w:p>
        </w:tc>
        <w:tc>
          <w:tcPr>
            <w:tcW w:w="761" w:type="dxa"/>
          </w:tcPr>
          <w:p>
            <w:pPr>
              <w:pStyle w:val="TableParagraph"/>
              <w:spacing w:before="50"/>
              <w:jc w:val="center"/>
              <w:rPr>
                <w:sz w:val="22"/>
              </w:rPr>
            </w:pPr>
            <w:r>
              <w:rPr>
                <w:w w:val="100"/>
                <w:sz w:val="22"/>
              </w:rPr>
              <w:t>1</w:t>
            </w:r>
          </w:p>
        </w:tc>
        <w:tc>
          <w:tcPr>
            <w:tcW w:w="802" w:type="dxa"/>
          </w:tcPr>
          <w:p>
            <w:pPr>
              <w:pStyle w:val="TableParagraph"/>
              <w:spacing w:before="50"/>
              <w:ind w:right="240"/>
              <w:jc w:val="right"/>
              <w:rPr>
                <w:sz w:val="22"/>
              </w:rPr>
            </w:pPr>
            <w:r>
              <w:rPr>
                <w:sz w:val="22"/>
              </w:rPr>
              <w:t>0.1</w:t>
            </w:r>
          </w:p>
        </w:tc>
        <w:tc>
          <w:tcPr>
            <w:tcW w:w="1438" w:type="dxa"/>
          </w:tcPr>
          <w:p>
            <w:pPr>
              <w:pStyle w:val="TableParagraph"/>
              <w:spacing w:before="50"/>
              <w:ind w:left="45" w:right="46"/>
              <w:jc w:val="center"/>
              <w:rPr>
                <w:sz w:val="22"/>
              </w:rPr>
            </w:pPr>
            <w:r>
              <w:rPr>
                <w:sz w:val="22"/>
              </w:rPr>
              <w:t>2.573</w:t>
            </w:r>
          </w:p>
        </w:tc>
      </w:tr>
      <w:tr>
        <w:trPr>
          <w:trHeight w:val="1022" w:hRule="exact"/>
        </w:trPr>
        <w:tc>
          <w:tcPr>
            <w:tcW w:w="552" w:type="dxa"/>
          </w:tcPr>
          <w:p>
            <w:pPr>
              <w:pStyle w:val="TableParagraph"/>
              <w:rPr>
                <w:b/>
                <w:sz w:val="22"/>
              </w:rPr>
            </w:pPr>
          </w:p>
          <w:p>
            <w:pPr>
              <w:pStyle w:val="TableParagraph"/>
              <w:rPr>
                <w:b/>
                <w:sz w:val="22"/>
              </w:rPr>
            </w:pPr>
          </w:p>
          <w:p>
            <w:pPr>
              <w:pStyle w:val="TableParagraph"/>
              <w:spacing w:before="5"/>
              <w:rPr>
                <w:b/>
                <w:sz w:val="21"/>
              </w:rPr>
            </w:pPr>
          </w:p>
          <w:p>
            <w:pPr>
              <w:pStyle w:val="TableParagraph"/>
              <w:ind w:left="67" w:right="67"/>
              <w:jc w:val="center"/>
              <w:rPr>
                <w:sz w:val="22"/>
              </w:rPr>
            </w:pPr>
            <w:r>
              <w:rPr>
                <w:sz w:val="22"/>
              </w:rPr>
              <w:t>183</w:t>
            </w:r>
          </w:p>
        </w:tc>
        <w:tc>
          <w:tcPr>
            <w:tcW w:w="5274" w:type="dxa"/>
          </w:tcPr>
          <w:p>
            <w:pPr>
              <w:pStyle w:val="TableParagraph"/>
              <w:ind w:left="64" w:right="68"/>
              <w:rPr>
                <w:sz w:val="22"/>
              </w:rPr>
            </w:pPr>
            <w:r>
              <w:rPr>
                <w:sz w:val="22"/>
              </w:rPr>
              <w:t>Exhibitions as an opportunity to develop new interdisciplinary approaches: A review at the start of the 10th International Architecture Exhibition, Venice Bienale.</w:t>
            </w:r>
          </w:p>
        </w:tc>
        <w:tc>
          <w:tcPr>
            <w:tcW w:w="761" w:type="dxa"/>
          </w:tcPr>
          <w:p>
            <w:pPr>
              <w:pStyle w:val="TableParagraph"/>
              <w:rPr>
                <w:b/>
                <w:sz w:val="22"/>
              </w:rPr>
            </w:pPr>
          </w:p>
          <w:p>
            <w:pPr>
              <w:pStyle w:val="TableParagraph"/>
              <w:rPr>
                <w:b/>
                <w:sz w:val="22"/>
              </w:rPr>
            </w:pPr>
          </w:p>
          <w:p>
            <w:pPr>
              <w:pStyle w:val="TableParagraph"/>
              <w:spacing w:before="5"/>
              <w:rPr>
                <w:b/>
                <w:sz w:val="21"/>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rPr>
                <w:b/>
                <w:sz w:val="22"/>
              </w:rPr>
            </w:pPr>
          </w:p>
          <w:p>
            <w:pPr>
              <w:pStyle w:val="TableParagraph"/>
              <w:spacing w:before="5"/>
              <w:rPr>
                <w:b/>
                <w:sz w:val="21"/>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rPr>
                <w:b/>
                <w:sz w:val="22"/>
              </w:rPr>
            </w:pPr>
          </w:p>
          <w:p>
            <w:pPr>
              <w:pStyle w:val="TableParagraph"/>
              <w:spacing w:before="5"/>
              <w:rPr>
                <w:b/>
                <w:sz w:val="21"/>
              </w:rPr>
            </w:pPr>
          </w:p>
          <w:p>
            <w:pPr>
              <w:pStyle w:val="TableParagraph"/>
              <w:ind w:left="45" w:right="46"/>
              <w:jc w:val="center"/>
              <w:rPr>
                <w:sz w:val="22"/>
              </w:rPr>
            </w:pPr>
            <w:r>
              <w:rPr>
                <w:sz w:val="22"/>
              </w:rPr>
              <w:t>2.490</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184</w:t>
            </w:r>
          </w:p>
        </w:tc>
        <w:tc>
          <w:tcPr>
            <w:tcW w:w="5274" w:type="dxa"/>
          </w:tcPr>
          <w:p>
            <w:pPr>
              <w:pStyle w:val="TableParagraph"/>
              <w:spacing w:before="23"/>
              <w:ind w:left="64" w:right="667"/>
              <w:rPr>
                <w:sz w:val="22"/>
              </w:rPr>
            </w:pPr>
            <w:r>
              <w:rPr>
                <w:sz w:val="22"/>
              </w:rPr>
              <w:t>Poverty, new poverty and social exclusion: the multiple faces of Caracas</w:t>
            </w:r>
          </w:p>
        </w:tc>
        <w:tc>
          <w:tcPr>
            <w:tcW w:w="761" w:type="dxa"/>
          </w:tcPr>
          <w:p>
            <w:pPr>
              <w:pStyle w:val="TableParagraph"/>
              <w:spacing w:before="11"/>
              <w:rPr>
                <w:b/>
                <w:sz w:val="23"/>
              </w:rPr>
            </w:pPr>
          </w:p>
          <w:p>
            <w:pPr>
              <w:pStyle w:val="TableParagraph"/>
              <w:jc w:val="center"/>
              <w:rPr>
                <w:sz w:val="22"/>
              </w:rPr>
            </w:pPr>
            <w:r>
              <w:rPr>
                <w:w w:val="100"/>
                <w:sz w:val="22"/>
              </w:rPr>
              <w:t>1</w:t>
            </w:r>
          </w:p>
        </w:tc>
        <w:tc>
          <w:tcPr>
            <w:tcW w:w="802" w:type="dxa"/>
          </w:tcPr>
          <w:p>
            <w:pPr>
              <w:pStyle w:val="TableParagraph"/>
              <w:spacing w:before="11"/>
              <w:rPr>
                <w:b/>
                <w:sz w:val="23"/>
              </w:rPr>
            </w:pPr>
          </w:p>
          <w:p>
            <w:pPr>
              <w:pStyle w:val="TableParagraph"/>
              <w:ind w:right="240"/>
              <w:jc w:val="right"/>
              <w:rPr>
                <w:sz w:val="22"/>
              </w:rPr>
            </w:pPr>
            <w:r>
              <w:rPr>
                <w:sz w:val="22"/>
              </w:rPr>
              <w:t>0.1</w:t>
            </w:r>
          </w:p>
        </w:tc>
        <w:tc>
          <w:tcPr>
            <w:tcW w:w="1438" w:type="dxa"/>
          </w:tcPr>
          <w:p>
            <w:pPr>
              <w:pStyle w:val="TableParagraph"/>
              <w:spacing w:before="11"/>
              <w:rPr>
                <w:b/>
                <w:sz w:val="23"/>
              </w:rPr>
            </w:pPr>
          </w:p>
          <w:p>
            <w:pPr>
              <w:pStyle w:val="TableParagraph"/>
              <w:ind w:left="45" w:right="46"/>
              <w:jc w:val="center"/>
              <w:rPr>
                <w:sz w:val="22"/>
              </w:rPr>
            </w:pPr>
            <w:r>
              <w:rPr>
                <w:sz w:val="22"/>
              </w:rPr>
              <w:t>2.407</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185</w:t>
            </w:r>
          </w:p>
        </w:tc>
        <w:tc>
          <w:tcPr>
            <w:tcW w:w="5274" w:type="dxa"/>
          </w:tcPr>
          <w:p>
            <w:pPr>
              <w:pStyle w:val="TableParagraph"/>
              <w:ind w:left="64" w:right="802"/>
              <w:rPr>
                <w:sz w:val="22"/>
              </w:rPr>
            </w:pPr>
            <w:r>
              <w:rPr>
                <w:sz w:val="22"/>
              </w:rPr>
              <w:t>Territorial pacts in Italy. An analysis of recent experience and it consequences in terms of governance</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2.324</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186</w:t>
            </w:r>
          </w:p>
        </w:tc>
        <w:tc>
          <w:tcPr>
            <w:tcW w:w="5274" w:type="dxa"/>
          </w:tcPr>
          <w:p>
            <w:pPr>
              <w:pStyle w:val="TableParagraph"/>
              <w:spacing w:before="24"/>
              <w:ind w:left="64" w:right="789"/>
              <w:rPr>
                <w:sz w:val="22"/>
              </w:rPr>
            </w:pPr>
            <w:r>
              <w:rPr>
                <w:sz w:val="22"/>
              </w:rPr>
              <w:t>Environmental management and regional development: an analysis of tobacco industry</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2.241</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187</w:t>
            </w:r>
          </w:p>
        </w:tc>
        <w:tc>
          <w:tcPr>
            <w:tcW w:w="5274" w:type="dxa"/>
          </w:tcPr>
          <w:p>
            <w:pPr>
              <w:pStyle w:val="TableParagraph"/>
              <w:spacing w:before="26"/>
              <w:ind w:left="64" w:right="1328"/>
              <w:rPr>
                <w:sz w:val="22"/>
              </w:rPr>
            </w:pPr>
            <w:r>
              <w:rPr>
                <w:sz w:val="22"/>
              </w:rPr>
              <w:t>Bolivia: Metropolitan areas in a regional development perspective</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2.158</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188</w:t>
            </w:r>
          </w:p>
        </w:tc>
        <w:tc>
          <w:tcPr>
            <w:tcW w:w="5274" w:type="dxa"/>
          </w:tcPr>
          <w:p>
            <w:pPr>
              <w:pStyle w:val="TableParagraph"/>
              <w:spacing w:before="26"/>
              <w:ind w:left="64" w:right="75"/>
              <w:rPr>
                <w:sz w:val="22"/>
              </w:rPr>
            </w:pPr>
            <w:r>
              <w:rPr>
                <w:sz w:val="22"/>
              </w:rPr>
              <w:t>Modernity on the move. How to cope with motorized mobility in Tehran, Santiago and Copenhagen</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2.075</w:t>
            </w:r>
          </w:p>
        </w:tc>
      </w:tr>
      <w:tr>
        <w:trPr>
          <w:trHeight w:val="317" w:hRule="exact"/>
        </w:trPr>
        <w:tc>
          <w:tcPr>
            <w:tcW w:w="552" w:type="dxa"/>
          </w:tcPr>
          <w:p>
            <w:pPr>
              <w:pStyle w:val="TableParagraph"/>
              <w:spacing w:before="50"/>
              <w:ind w:left="67" w:right="67"/>
              <w:jc w:val="center"/>
              <w:rPr>
                <w:sz w:val="22"/>
              </w:rPr>
            </w:pPr>
            <w:r>
              <w:rPr>
                <w:sz w:val="22"/>
              </w:rPr>
              <w:t>189</w:t>
            </w:r>
          </w:p>
        </w:tc>
        <w:tc>
          <w:tcPr>
            <w:tcW w:w="5274" w:type="dxa"/>
          </w:tcPr>
          <w:p>
            <w:pPr>
              <w:pStyle w:val="TableParagraph"/>
              <w:spacing w:before="50"/>
              <w:ind w:left="64" w:right="679"/>
              <w:rPr>
                <w:sz w:val="22"/>
              </w:rPr>
            </w:pPr>
            <w:r>
              <w:rPr>
                <w:sz w:val="22"/>
              </w:rPr>
              <w:t>Citizen security: challenging experiences</w:t>
            </w:r>
          </w:p>
        </w:tc>
        <w:tc>
          <w:tcPr>
            <w:tcW w:w="761" w:type="dxa"/>
          </w:tcPr>
          <w:p>
            <w:pPr>
              <w:pStyle w:val="TableParagraph"/>
              <w:spacing w:before="50"/>
              <w:jc w:val="center"/>
              <w:rPr>
                <w:sz w:val="22"/>
              </w:rPr>
            </w:pPr>
            <w:r>
              <w:rPr>
                <w:w w:val="100"/>
                <w:sz w:val="22"/>
              </w:rPr>
              <w:t>1</w:t>
            </w:r>
          </w:p>
        </w:tc>
        <w:tc>
          <w:tcPr>
            <w:tcW w:w="802" w:type="dxa"/>
          </w:tcPr>
          <w:p>
            <w:pPr>
              <w:pStyle w:val="TableParagraph"/>
              <w:spacing w:before="50"/>
              <w:ind w:right="240"/>
              <w:jc w:val="right"/>
              <w:rPr>
                <w:sz w:val="22"/>
              </w:rPr>
            </w:pPr>
            <w:r>
              <w:rPr>
                <w:sz w:val="22"/>
              </w:rPr>
              <w:t>0.1</w:t>
            </w:r>
          </w:p>
        </w:tc>
        <w:tc>
          <w:tcPr>
            <w:tcW w:w="1438" w:type="dxa"/>
          </w:tcPr>
          <w:p>
            <w:pPr>
              <w:pStyle w:val="TableParagraph"/>
              <w:spacing w:before="50"/>
              <w:ind w:left="45" w:right="46"/>
              <w:jc w:val="center"/>
              <w:rPr>
                <w:sz w:val="22"/>
              </w:rPr>
            </w:pPr>
            <w:r>
              <w:rPr>
                <w:sz w:val="22"/>
              </w:rPr>
              <w:t>1.992</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190</w:t>
            </w:r>
          </w:p>
        </w:tc>
        <w:tc>
          <w:tcPr>
            <w:tcW w:w="5274" w:type="dxa"/>
          </w:tcPr>
          <w:p>
            <w:pPr>
              <w:pStyle w:val="TableParagraph"/>
              <w:spacing w:before="23"/>
              <w:ind w:left="64" w:right="295"/>
              <w:rPr>
                <w:sz w:val="22"/>
              </w:rPr>
            </w:pPr>
            <w:r>
              <w:rPr>
                <w:sz w:val="22"/>
              </w:rPr>
              <w:t>Urbanization, land prices and territorial model: Recent evolution of Barcelona's Metropolitan Area</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1.909</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191</w:t>
            </w:r>
          </w:p>
        </w:tc>
        <w:tc>
          <w:tcPr>
            <w:tcW w:w="5274" w:type="dxa"/>
          </w:tcPr>
          <w:p>
            <w:pPr>
              <w:pStyle w:val="TableParagraph"/>
              <w:spacing w:before="23"/>
              <w:ind w:left="64" w:right="471"/>
              <w:rPr>
                <w:sz w:val="22"/>
              </w:rPr>
            </w:pPr>
            <w:r>
              <w:rPr>
                <w:sz w:val="22"/>
              </w:rPr>
              <w:t>Urban planning and labor generation: The city of Sao Paulo (Brasil) in the ninetees</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1.826</w:t>
            </w:r>
          </w:p>
        </w:tc>
      </w:tr>
      <w:tr>
        <w:trPr>
          <w:trHeight w:val="516" w:hRule="exact"/>
        </w:trPr>
        <w:tc>
          <w:tcPr>
            <w:tcW w:w="552" w:type="dxa"/>
          </w:tcPr>
          <w:p>
            <w:pPr>
              <w:pStyle w:val="TableParagraph"/>
              <w:spacing w:before="8"/>
              <w:rPr>
                <w:b/>
                <w:sz w:val="21"/>
              </w:rPr>
            </w:pPr>
          </w:p>
          <w:p>
            <w:pPr>
              <w:pStyle w:val="TableParagraph"/>
              <w:ind w:left="67" w:right="67"/>
              <w:jc w:val="center"/>
              <w:rPr>
                <w:sz w:val="22"/>
              </w:rPr>
            </w:pPr>
            <w:r>
              <w:rPr>
                <w:sz w:val="22"/>
              </w:rPr>
              <w:t>192</w:t>
            </w:r>
          </w:p>
        </w:tc>
        <w:tc>
          <w:tcPr>
            <w:tcW w:w="5274" w:type="dxa"/>
          </w:tcPr>
          <w:p>
            <w:pPr>
              <w:pStyle w:val="TableParagraph"/>
              <w:spacing w:line="242" w:lineRule="auto"/>
              <w:ind w:left="64" w:right="459"/>
              <w:rPr>
                <w:sz w:val="22"/>
              </w:rPr>
            </w:pPr>
            <w:r>
              <w:rPr>
                <w:sz w:val="22"/>
              </w:rPr>
              <w:t>Santiago en 100 palabras: scenes and memorys fiagments</w:t>
            </w:r>
          </w:p>
        </w:tc>
        <w:tc>
          <w:tcPr>
            <w:tcW w:w="761" w:type="dxa"/>
          </w:tcPr>
          <w:p>
            <w:pPr>
              <w:pStyle w:val="TableParagraph"/>
              <w:spacing w:before="8"/>
              <w:rPr>
                <w:b/>
                <w:sz w:val="21"/>
              </w:rPr>
            </w:pPr>
          </w:p>
          <w:p>
            <w:pPr>
              <w:pStyle w:val="TableParagraph"/>
              <w:jc w:val="center"/>
              <w:rPr>
                <w:sz w:val="22"/>
              </w:rPr>
            </w:pPr>
            <w:r>
              <w:rPr>
                <w:w w:val="100"/>
                <w:sz w:val="22"/>
              </w:rPr>
              <w:t>1</w:t>
            </w:r>
          </w:p>
        </w:tc>
        <w:tc>
          <w:tcPr>
            <w:tcW w:w="802" w:type="dxa"/>
          </w:tcPr>
          <w:p>
            <w:pPr>
              <w:pStyle w:val="TableParagraph"/>
              <w:spacing w:before="8"/>
              <w:rPr>
                <w:b/>
                <w:sz w:val="21"/>
              </w:rPr>
            </w:pPr>
          </w:p>
          <w:p>
            <w:pPr>
              <w:pStyle w:val="TableParagraph"/>
              <w:ind w:right="240"/>
              <w:jc w:val="right"/>
              <w:rPr>
                <w:sz w:val="22"/>
              </w:rPr>
            </w:pPr>
            <w:r>
              <w:rPr>
                <w:sz w:val="22"/>
              </w:rPr>
              <w:t>0.1</w:t>
            </w:r>
          </w:p>
        </w:tc>
        <w:tc>
          <w:tcPr>
            <w:tcW w:w="1438" w:type="dxa"/>
          </w:tcPr>
          <w:p>
            <w:pPr>
              <w:pStyle w:val="TableParagraph"/>
              <w:spacing w:before="8"/>
              <w:rPr>
                <w:b/>
                <w:sz w:val="21"/>
              </w:rPr>
            </w:pPr>
          </w:p>
          <w:p>
            <w:pPr>
              <w:pStyle w:val="TableParagraph"/>
              <w:ind w:left="45" w:right="46"/>
              <w:jc w:val="center"/>
              <w:rPr>
                <w:sz w:val="22"/>
              </w:rPr>
            </w:pPr>
            <w:r>
              <w:rPr>
                <w:sz w:val="22"/>
              </w:rPr>
              <w:t>1.743</w:t>
            </w:r>
          </w:p>
        </w:tc>
      </w:tr>
    </w:tbl>
    <w:p>
      <w:pPr>
        <w:spacing w:after="0"/>
        <w:jc w:val="center"/>
        <w:rPr>
          <w:sz w:val="22"/>
        </w:rPr>
        <w:sectPr>
          <w:pgSz w:w="12240" w:h="15840"/>
          <w:pgMar w:header="0" w:footer="629" w:top="142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
        <w:gridCol w:w="5274"/>
        <w:gridCol w:w="761"/>
        <w:gridCol w:w="802"/>
        <w:gridCol w:w="1438"/>
      </w:tblGrid>
      <w:tr>
        <w:trPr>
          <w:trHeight w:val="316" w:hRule="exact"/>
        </w:trPr>
        <w:tc>
          <w:tcPr>
            <w:tcW w:w="552" w:type="dxa"/>
            <w:shd w:val="clear" w:color="auto" w:fill="938953"/>
          </w:tcPr>
          <w:p>
            <w:pPr/>
          </w:p>
        </w:tc>
        <w:tc>
          <w:tcPr>
            <w:tcW w:w="5274" w:type="dxa"/>
            <w:shd w:val="clear" w:color="auto" w:fill="938953"/>
          </w:tcPr>
          <w:p>
            <w:pPr>
              <w:pStyle w:val="TableParagraph"/>
              <w:spacing w:before="47"/>
              <w:ind w:left="2347" w:right="2350"/>
              <w:jc w:val="center"/>
              <w:rPr>
                <w:b/>
                <w:sz w:val="22"/>
              </w:rPr>
            </w:pPr>
            <w:r>
              <w:rPr>
                <w:b/>
                <w:color w:val="FFFFFF"/>
                <w:sz w:val="22"/>
              </w:rPr>
              <w:t>Total</w:t>
            </w:r>
          </w:p>
        </w:tc>
        <w:tc>
          <w:tcPr>
            <w:tcW w:w="761" w:type="dxa"/>
            <w:shd w:val="clear" w:color="auto" w:fill="938953"/>
          </w:tcPr>
          <w:p>
            <w:pPr>
              <w:pStyle w:val="TableParagraph"/>
              <w:spacing w:before="49"/>
              <w:ind w:left="105" w:right="105"/>
              <w:jc w:val="center"/>
              <w:rPr>
                <w:sz w:val="22"/>
              </w:rPr>
            </w:pPr>
            <w:r>
              <w:rPr>
                <w:color w:val="FFFFFF"/>
                <w:sz w:val="22"/>
              </w:rPr>
              <w:t>Citas</w:t>
            </w:r>
          </w:p>
        </w:tc>
        <w:tc>
          <w:tcPr>
            <w:tcW w:w="802" w:type="dxa"/>
            <w:shd w:val="clear" w:color="auto" w:fill="938953"/>
          </w:tcPr>
          <w:p>
            <w:pPr>
              <w:pStyle w:val="TableParagraph"/>
              <w:spacing w:before="49"/>
              <w:ind w:right="298"/>
              <w:jc w:val="right"/>
              <w:rPr>
                <w:sz w:val="22"/>
              </w:rPr>
            </w:pPr>
            <w:r>
              <w:rPr>
                <w:color w:val="FFFFFF"/>
                <w:w w:val="100"/>
                <w:sz w:val="22"/>
              </w:rPr>
              <w:t>%</w:t>
            </w:r>
          </w:p>
        </w:tc>
        <w:tc>
          <w:tcPr>
            <w:tcW w:w="1438" w:type="dxa"/>
            <w:shd w:val="clear" w:color="auto" w:fill="938953"/>
          </w:tcPr>
          <w:p>
            <w:pPr>
              <w:pStyle w:val="TableParagraph"/>
              <w:spacing w:before="49"/>
              <w:ind w:left="46" w:right="46"/>
              <w:jc w:val="center"/>
              <w:rPr>
                <w:sz w:val="22"/>
              </w:rPr>
            </w:pPr>
            <w:r>
              <w:rPr>
                <w:color w:val="FFFFFF"/>
                <w:sz w:val="22"/>
              </w:rPr>
              <w:t>%Acumulado</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193</w:t>
            </w:r>
          </w:p>
        </w:tc>
        <w:tc>
          <w:tcPr>
            <w:tcW w:w="5274" w:type="dxa"/>
          </w:tcPr>
          <w:p>
            <w:pPr>
              <w:pStyle w:val="TableParagraph"/>
              <w:spacing w:before="23"/>
              <w:ind w:left="64" w:right="765"/>
              <w:rPr>
                <w:sz w:val="22"/>
              </w:rPr>
            </w:pPr>
            <w:r>
              <w:rPr>
                <w:sz w:val="22"/>
              </w:rPr>
              <w:t>Closed neighbourhoods in Santiago, Chile - Between exclusion and residential integration</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1.660</w:t>
            </w:r>
          </w:p>
        </w:tc>
      </w:tr>
      <w:tr>
        <w:trPr>
          <w:trHeight w:val="317" w:hRule="exact"/>
        </w:trPr>
        <w:tc>
          <w:tcPr>
            <w:tcW w:w="552" w:type="dxa"/>
          </w:tcPr>
          <w:p>
            <w:pPr>
              <w:pStyle w:val="TableParagraph"/>
              <w:spacing w:before="47"/>
              <w:ind w:left="67" w:right="67"/>
              <w:jc w:val="center"/>
              <w:rPr>
                <w:sz w:val="22"/>
              </w:rPr>
            </w:pPr>
            <w:r>
              <w:rPr>
                <w:sz w:val="22"/>
              </w:rPr>
              <w:t>194</w:t>
            </w:r>
          </w:p>
        </w:tc>
        <w:tc>
          <w:tcPr>
            <w:tcW w:w="5274" w:type="dxa"/>
          </w:tcPr>
          <w:p>
            <w:pPr>
              <w:pStyle w:val="TableParagraph"/>
              <w:spacing w:before="47"/>
              <w:ind w:left="64" w:right="679"/>
              <w:rPr>
                <w:sz w:val="22"/>
              </w:rPr>
            </w:pPr>
            <w:r>
              <w:rPr>
                <w:sz w:val="22"/>
              </w:rPr>
              <w:t>The conquered city</w:t>
            </w:r>
          </w:p>
        </w:tc>
        <w:tc>
          <w:tcPr>
            <w:tcW w:w="761" w:type="dxa"/>
          </w:tcPr>
          <w:p>
            <w:pPr>
              <w:pStyle w:val="TableParagraph"/>
              <w:spacing w:before="47"/>
              <w:jc w:val="center"/>
              <w:rPr>
                <w:sz w:val="22"/>
              </w:rPr>
            </w:pPr>
            <w:r>
              <w:rPr>
                <w:w w:val="100"/>
                <w:sz w:val="22"/>
              </w:rPr>
              <w:t>1</w:t>
            </w:r>
          </w:p>
        </w:tc>
        <w:tc>
          <w:tcPr>
            <w:tcW w:w="802" w:type="dxa"/>
          </w:tcPr>
          <w:p>
            <w:pPr>
              <w:pStyle w:val="TableParagraph"/>
              <w:spacing w:before="47"/>
              <w:ind w:right="240"/>
              <w:jc w:val="right"/>
              <w:rPr>
                <w:sz w:val="22"/>
              </w:rPr>
            </w:pPr>
            <w:r>
              <w:rPr>
                <w:sz w:val="22"/>
              </w:rPr>
              <w:t>0.1</w:t>
            </w:r>
          </w:p>
        </w:tc>
        <w:tc>
          <w:tcPr>
            <w:tcW w:w="1438" w:type="dxa"/>
          </w:tcPr>
          <w:p>
            <w:pPr>
              <w:pStyle w:val="TableParagraph"/>
              <w:spacing w:before="47"/>
              <w:ind w:left="45" w:right="46"/>
              <w:jc w:val="center"/>
              <w:rPr>
                <w:sz w:val="22"/>
              </w:rPr>
            </w:pPr>
            <w:r>
              <w:rPr>
                <w:sz w:val="22"/>
              </w:rPr>
              <w:t>1.577</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195</w:t>
            </w:r>
          </w:p>
        </w:tc>
        <w:tc>
          <w:tcPr>
            <w:tcW w:w="5274" w:type="dxa"/>
          </w:tcPr>
          <w:p>
            <w:pPr>
              <w:pStyle w:val="TableParagraph"/>
              <w:ind w:left="64" w:right="410"/>
              <w:rPr>
                <w:sz w:val="22"/>
              </w:rPr>
            </w:pPr>
            <w:r>
              <w:rPr>
                <w:sz w:val="22"/>
              </w:rPr>
              <w:t>International and inter-regional economic convergence debate: theoretical approaches and empirical evidence</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1.494</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196</w:t>
            </w:r>
          </w:p>
        </w:tc>
        <w:tc>
          <w:tcPr>
            <w:tcW w:w="5274" w:type="dxa"/>
          </w:tcPr>
          <w:p>
            <w:pPr>
              <w:pStyle w:val="TableParagraph"/>
              <w:spacing w:before="23"/>
              <w:ind w:left="64" w:right="374"/>
              <w:rPr>
                <w:sz w:val="22"/>
              </w:rPr>
            </w:pPr>
            <w:r>
              <w:rPr>
                <w:sz w:val="22"/>
              </w:rPr>
              <w:t>Territory, territoriality and metropolitan region in a flexible production framework</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1.411</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197</w:t>
            </w:r>
          </w:p>
        </w:tc>
        <w:tc>
          <w:tcPr>
            <w:tcW w:w="5274" w:type="dxa"/>
          </w:tcPr>
          <w:p>
            <w:pPr>
              <w:pStyle w:val="TableParagraph"/>
              <w:spacing w:before="26"/>
              <w:ind w:left="64" w:right="288"/>
              <w:rPr>
                <w:sz w:val="22"/>
              </w:rPr>
            </w:pPr>
            <w:r>
              <w:rPr>
                <w:sz w:val="22"/>
              </w:rPr>
              <w:t>Entrepreneurship and institutions: Two new perspectives upon contemporary regional analysis</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1.328</w:t>
            </w:r>
          </w:p>
        </w:tc>
      </w:tr>
      <w:tr>
        <w:trPr>
          <w:trHeight w:val="807" w:hRule="exact"/>
        </w:trPr>
        <w:tc>
          <w:tcPr>
            <w:tcW w:w="552" w:type="dxa"/>
          </w:tcPr>
          <w:p>
            <w:pPr>
              <w:pStyle w:val="TableParagraph"/>
              <w:rPr>
                <w:b/>
                <w:sz w:val="22"/>
              </w:rPr>
            </w:pPr>
          </w:p>
          <w:p>
            <w:pPr>
              <w:pStyle w:val="TableParagraph"/>
              <w:spacing w:before="8"/>
              <w:rPr>
                <w:b/>
                <w:sz w:val="24"/>
              </w:rPr>
            </w:pPr>
          </w:p>
          <w:p>
            <w:pPr>
              <w:pStyle w:val="TableParagraph"/>
              <w:spacing w:before="1"/>
              <w:ind w:left="67" w:right="67"/>
              <w:jc w:val="center"/>
              <w:rPr>
                <w:sz w:val="22"/>
              </w:rPr>
            </w:pPr>
            <w:r>
              <w:rPr>
                <w:sz w:val="22"/>
              </w:rPr>
              <w:t>198</w:t>
            </w:r>
          </w:p>
        </w:tc>
        <w:tc>
          <w:tcPr>
            <w:tcW w:w="5274" w:type="dxa"/>
          </w:tcPr>
          <w:p>
            <w:pPr>
              <w:pStyle w:val="TableParagraph"/>
              <w:spacing w:before="33"/>
              <w:ind w:left="64" w:right="80"/>
              <w:rPr>
                <w:sz w:val="22"/>
              </w:rPr>
            </w:pPr>
            <w:r>
              <w:rPr>
                <w:sz w:val="22"/>
              </w:rPr>
              <w:t>Emergency of transnational territorial planning strategies in European Union: Re-imagine European space to create new territorial governance ways?</w:t>
            </w:r>
          </w:p>
        </w:tc>
        <w:tc>
          <w:tcPr>
            <w:tcW w:w="761" w:type="dxa"/>
          </w:tcPr>
          <w:p>
            <w:pPr>
              <w:pStyle w:val="TableParagraph"/>
              <w:rPr>
                <w:b/>
                <w:sz w:val="22"/>
              </w:rPr>
            </w:pPr>
          </w:p>
          <w:p>
            <w:pPr>
              <w:pStyle w:val="TableParagraph"/>
              <w:spacing w:before="8"/>
              <w:rPr>
                <w:b/>
                <w:sz w:val="24"/>
              </w:rPr>
            </w:pPr>
          </w:p>
          <w:p>
            <w:pPr>
              <w:pStyle w:val="TableParagraph"/>
              <w:spacing w:before="1"/>
              <w:jc w:val="center"/>
              <w:rPr>
                <w:sz w:val="22"/>
              </w:rPr>
            </w:pPr>
            <w:r>
              <w:rPr>
                <w:w w:val="100"/>
                <w:sz w:val="22"/>
              </w:rPr>
              <w:t>1</w:t>
            </w:r>
          </w:p>
        </w:tc>
        <w:tc>
          <w:tcPr>
            <w:tcW w:w="802" w:type="dxa"/>
          </w:tcPr>
          <w:p>
            <w:pPr>
              <w:pStyle w:val="TableParagraph"/>
              <w:rPr>
                <w:b/>
                <w:sz w:val="22"/>
              </w:rPr>
            </w:pPr>
          </w:p>
          <w:p>
            <w:pPr>
              <w:pStyle w:val="TableParagraph"/>
              <w:spacing w:before="8"/>
              <w:rPr>
                <w:b/>
                <w:sz w:val="24"/>
              </w:rPr>
            </w:pPr>
          </w:p>
          <w:p>
            <w:pPr>
              <w:pStyle w:val="TableParagraph"/>
              <w:spacing w:before="1"/>
              <w:ind w:right="240"/>
              <w:jc w:val="right"/>
              <w:rPr>
                <w:sz w:val="22"/>
              </w:rPr>
            </w:pPr>
            <w:r>
              <w:rPr>
                <w:sz w:val="22"/>
              </w:rPr>
              <w:t>0.1</w:t>
            </w:r>
          </w:p>
        </w:tc>
        <w:tc>
          <w:tcPr>
            <w:tcW w:w="1438" w:type="dxa"/>
          </w:tcPr>
          <w:p>
            <w:pPr>
              <w:pStyle w:val="TableParagraph"/>
              <w:rPr>
                <w:b/>
                <w:sz w:val="22"/>
              </w:rPr>
            </w:pPr>
          </w:p>
          <w:p>
            <w:pPr>
              <w:pStyle w:val="TableParagraph"/>
              <w:spacing w:before="8"/>
              <w:rPr>
                <w:b/>
                <w:sz w:val="24"/>
              </w:rPr>
            </w:pPr>
          </w:p>
          <w:p>
            <w:pPr>
              <w:pStyle w:val="TableParagraph"/>
              <w:spacing w:before="1"/>
              <w:ind w:left="45" w:right="46"/>
              <w:jc w:val="center"/>
              <w:rPr>
                <w:sz w:val="22"/>
              </w:rPr>
            </w:pPr>
            <w:r>
              <w:rPr>
                <w:sz w:val="22"/>
              </w:rPr>
              <w:t>1.245</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199</w:t>
            </w:r>
          </w:p>
        </w:tc>
        <w:tc>
          <w:tcPr>
            <w:tcW w:w="5274" w:type="dxa"/>
          </w:tcPr>
          <w:p>
            <w:pPr>
              <w:pStyle w:val="TableParagraph"/>
              <w:spacing w:before="23"/>
              <w:ind w:left="64" w:right="374"/>
              <w:rPr>
                <w:sz w:val="22"/>
              </w:rPr>
            </w:pPr>
            <w:r>
              <w:rPr>
                <w:sz w:val="22"/>
              </w:rPr>
              <w:t>Economic integration and territorial imbalances in European Union</w:t>
            </w:r>
          </w:p>
        </w:tc>
        <w:tc>
          <w:tcPr>
            <w:tcW w:w="761" w:type="dxa"/>
          </w:tcPr>
          <w:p>
            <w:pPr>
              <w:pStyle w:val="TableParagraph"/>
              <w:spacing w:before="11"/>
              <w:rPr>
                <w:b/>
                <w:sz w:val="23"/>
              </w:rPr>
            </w:pPr>
          </w:p>
          <w:p>
            <w:pPr>
              <w:pStyle w:val="TableParagraph"/>
              <w:jc w:val="center"/>
              <w:rPr>
                <w:sz w:val="22"/>
              </w:rPr>
            </w:pPr>
            <w:r>
              <w:rPr>
                <w:w w:val="100"/>
                <w:sz w:val="22"/>
              </w:rPr>
              <w:t>1</w:t>
            </w:r>
          </w:p>
        </w:tc>
        <w:tc>
          <w:tcPr>
            <w:tcW w:w="802" w:type="dxa"/>
          </w:tcPr>
          <w:p>
            <w:pPr>
              <w:pStyle w:val="TableParagraph"/>
              <w:spacing w:before="11"/>
              <w:rPr>
                <w:b/>
                <w:sz w:val="23"/>
              </w:rPr>
            </w:pPr>
          </w:p>
          <w:p>
            <w:pPr>
              <w:pStyle w:val="TableParagraph"/>
              <w:ind w:right="240"/>
              <w:jc w:val="right"/>
              <w:rPr>
                <w:sz w:val="22"/>
              </w:rPr>
            </w:pPr>
            <w:r>
              <w:rPr>
                <w:sz w:val="22"/>
              </w:rPr>
              <w:t>0.1</w:t>
            </w:r>
          </w:p>
        </w:tc>
        <w:tc>
          <w:tcPr>
            <w:tcW w:w="1438" w:type="dxa"/>
          </w:tcPr>
          <w:p>
            <w:pPr>
              <w:pStyle w:val="TableParagraph"/>
              <w:spacing w:before="11"/>
              <w:rPr>
                <w:b/>
                <w:sz w:val="23"/>
              </w:rPr>
            </w:pPr>
          </w:p>
          <w:p>
            <w:pPr>
              <w:pStyle w:val="TableParagraph"/>
              <w:ind w:left="45" w:right="46"/>
              <w:jc w:val="center"/>
              <w:rPr>
                <w:sz w:val="22"/>
              </w:rPr>
            </w:pPr>
            <w:r>
              <w:rPr>
                <w:sz w:val="22"/>
              </w:rPr>
              <w:t>1.162</w:t>
            </w:r>
          </w:p>
        </w:tc>
      </w:tr>
      <w:tr>
        <w:trPr>
          <w:trHeight w:val="804" w:hRule="exact"/>
        </w:trPr>
        <w:tc>
          <w:tcPr>
            <w:tcW w:w="552" w:type="dxa"/>
          </w:tcPr>
          <w:p>
            <w:pPr>
              <w:pStyle w:val="TableParagraph"/>
              <w:rPr>
                <w:b/>
                <w:sz w:val="22"/>
              </w:rPr>
            </w:pPr>
          </w:p>
          <w:p>
            <w:pPr>
              <w:pStyle w:val="TableParagraph"/>
              <w:spacing w:before="8"/>
              <w:rPr>
                <w:b/>
                <w:sz w:val="24"/>
              </w:rPr>
            </w:pPr>
          </w:p>
          <w:p>
            <w:pPr>
              <w:pStyle w:val="TableParagraph"/>
              <w:ind w:left="67" w:right="67"/>
              <w:jc w:val="center"/>
              <w:rPr>
                <w:sz w:val="22"/>
              </w:rPr>
            </w:pPr>
            <w:r>
              <w:rPr>
                <w:sz w:val="22"/>
              </w:rPr>
              <w:t>200</w:t>
            </w:r>
          </w:p>
        </w:tc>
        <w:tc>
          <w:tcPr>
            <w:tcW w:w="5274" w:type="dxa"/>
          </w:tcPr>
          <w:p>
            <w:pPr>
              <w:pStyle w:val="TableParagraph"/>
              <w:spacing w:before="31"/>
              <w:ind w:left="64" w:right="239"/>
              <w:rPr>
                <w:sz w:val="22"/>
              </w:rPr>
            </w:pPr>
            <w:r>
              <w:rPr>
                <w:sz w:val="22"/>
              </w:rPr>
              <w:t>An aproximation to the structure and diversification models of entrepreneur activity in rural districs: analysis and trens in two Spanish regions</w:t>
            </w:r>
          </w:p>
        </w:tc>
        <w:tc>
          <w:tcPr>
            <w:tcW w:w="761" w:type="dxa"/>
          </w:tcPr>
          <w:p>
            <w:pPr>
              <w:pStyle w:val="TableParagraph"/>
              <w:rPr>
                <w:b/>
                <w:sz w:val="22"/>
              </w:rPr>
            </w:pPr>
          </w:p>
          <w:p>
            <w:pPr>
              <w:pStyle w:val="TableParagraph"/>
              <w:spacing w:before="8"/>
              <w:rPr>
                <w:b/>
                <w:sz w:val="24"/>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8"/>
              <w:rPr>
                <w:b/>
                <w:sz w:val="24"/>
              </w:rPr>
            </w:pPr>
          </w:p>
          <w:p>
            <w:pPr>
              <w:pStyle w:val="TableParagraph"/>
              <w:ind w:left="45" w:right="46"/>
              <w:jc w:val="center"/>
              <w:rPr>
                <w:sz w:val="22"/>
              </w:rPr>
            </w:pPr>
            <w:r>
              <w:rPr>
                <w:sz w:val="22"/>
              </w:rPr>
              <w:t>1.079</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201</w:t>
            </w:r>
          </w:p>
        </w:tc>
        <w:tc>
          <w:tcPr>
            <w:tcW w:w="5274" w:type="dxa"/>
          </w:tcPr>
          <w:p>
            <w:pPr>
              <w:pStyle w:val="TableParagraph"/>
              <w:spacing w:before="26"/>
              <w:ind w:left="64" w:right="264"/>
              <w:rPr>
                <w:sz w:val="22"/>
              </w:rPr>
            </w:pPr>
            <w:r>
              <w:rPr>
                <w:sz w:val="22"/>
              </w:rPr>
              <w:t>Re-thinking the Brazilian regional question: trends, challenges and ways</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0.996</w:t>
            </w:r>
          </w:p>
        </w:tc>
      </w:tr>
      <w:tr>
        <w:trPr>
          <w:trHeight w:val="545" w:hRule="exact"/>
        </w:trPr>
        <w:tc>
          <w:tcPr>
            <w:tcW w:w="552" w:type="dxa"/>
          </w:tcPr>
          <w:p>
            <w:pPr>
              <w:pStyle w:val="TableParagraph"/>
              <w:spacing w:before="2"/>
              <w:rPr>
                <w:b/>
                <w:sz w:val="24"/>
              </w:rPr>
            </w:pPr>
          </w:p>
          <w:p>
            <w:pPr>
              <w:pStyle w:val="TableParagraph"/>
              <w:ind w:left="67" w:right="67"/>
              <w:jc w:val="center"/>
              <w:rPr>
                <w:sz w:val="22"/>
              </w:rPr>
            </w:pPr>
            <w:r>
              <w:rPr>
                <w:sz w:val="22"/>
              </w:rPr>
              <w:t>202</w:t>
            </w:r>
          </w:p>
        </w:tc>
        <w:tc>
          <w:tcPr>
            <w:tcW w:w="5274" w:type="dxa"/>
          </w:tcPr>
          <w:p>
            <w:pPr>
              <w:pStyle w:val="TableParagraph"/>
              <w:spacing w:before="26"/>
              <w:ind w:left="64" w:right="166"/>
              <w:rPr>
                <w:sz w:val="22"/>
              </w:rPr>
            </w:pPr>
            <w:r>
              <w:rPr>
                <w:sz w:val="22"/>
              </w:rPr>
              <w:t>From the Civil Code to the City Statute: some notes about the trajectory of Urban Right in Brazil</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0.913</w:t>
            </w:r>
          </w:p>
        </w:tc>
      </w:tr>
      <w:tr>
        <w:trPr>
          <w:trHeight w:val="548" w:hRule="exact"/>
        </w:trPr>
        <w:tc>
          <w:tcPr>
            <w:tcW w:w="552" w:type="dxa"/>
          </w:tcPr>
          <w:p>
            <w:pPr>
              <w:pStyle w:val="TableParagraph"/>
              <w:spacing w:before="2"/>
              <w:rPr>
                <w:b/>
                <w:sz w:val="24"/>
              </w:rPr>
            </w:pPr>
          </w:p>
          <w:p>
            <w:pPr>
              <w:pStyle w:val="TableParagraph"/>
              <w:ind w:left="67" w:right="67"/>
              <w:jc w:val="center"/>
              <w:rPr>
                <w:sz w:val="22"/>
              </w:rPr>
            </w:pPr>
            <w:r>
              <w:rPr>
                <w:sz w:val="22"/>
              </w:rPr>
              <w:t>203</w:t>
            </w:r>
          </w:p>
        </w:tc>
        <w:tc>
          <w:tcPr>
            <w:tcW w:w="5274" w:type="dxa"/>
          </w:tcPr>
          <w:p>
            <w:pPr>
              <w:pStyle w:val="TableParagraph"/>
              <w:spacing w:before="26"/>
              <w:ind w:left="64" w:right="509"/>
              <w:rPr>
                <w:sz w:val="22"/>
              </w:rPr>
            </w:pPr>
            <w:r>
              <w:rPr>
                <w:sz w:val="22"/>
              </w:rPr>
              <w:t>Fortress communities: The walling and gating of American suburbs</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0.830</w:t>
            </w:r>
          </w:p>
        </w:tc>
      </w:tr>
      <w:tr>
        <w:trPr>
          <w:trHeight w:val="314" w:hRule="exact"/>
        </w:trPr>
        <w:tc>
          <w:tcPr>
            <w:tcW w:w="552" w:type="dxa"/>
          </w:tcPr>
          <w:p>
            <w:pPr>
              <w:pStyle w:val="TableParagraph"/>
              <w:spacing w:before="47"/>
              <w:ind w:left="67" w:right="67"/>
              <w:jc w:val="center"/>
              <w:rPr>
                <w:sz w:val="22"/>
              </w:rPr>
            </w:pPr>
            <w:r>
              <w:rPr>
                <w:sz w:val="22"/>
              </w:rPr>
              <w:t>204</w:t>
            </w:r>
          </w:p>
        </w:tc>
        <w:tc>
          <w:tcPr>
            <w:tcW w:w="5274" w:type="dxa"/>
          </w:tcPr>
          <w:p>
            <w:pPr>
              <w:pStyle w:val="TableParagraph"/>
              <w:spacing w:before="47"/>
              <w:ind w:left="64" w:right="679"/>
              <w:rPr>
                <w:sz w:val="22"/>
              </w:rPr>
            </w:pPr>
            <w:r>
              <w:rPr>
                <w:sz w:val="22"/>
              </w:rPr>
              <w:t>Jails of misery</w:t>
            </w:r>
          </w:p>
        </w:tc>
        <w:tc>
          <w:tcPr>
            <w:tcW w:w="761" w:type="dxa"/>
          </w:tcPr>
          <w:p>
            <w:pPr>
              <w:pStyle w:val="TableParagraph"/>
              <w:spacing w:before="47"/>
              <w:jc w:val="center"/>
              <w:rPr>
                <w:sz w:val="22"/>
              </w:rPr>
            </w:pPr>
            <w:r>
              <w:rPr>
                <w:w w:val="100"/>
                <w:sz w:val="22"/>
              </w:rPr>
              <w:t>1</w:t>
            </w:r>
          </w:p>
        </w:tc>
        <w:tc>
          <w:tcPr>
            <w:tcW w:w="802" w:type="dxa"/>
          </w:tcPr>
          <w:p>
            <w:pPr>
              <w:pStyle w:val="TableParagraph"/>
              <w:spacing w:before="47"/>
              <w:ind w:right="240"/>
              <w:jc w:val="right"/>
              <w:rPr>
                <w:sz w:val="22"/>
              </w:rPr>
            </w:pPr>
            <w:r>
              <w:rPr>
                <w:sz w:val="22"/>
              </w:rPr>
              <w:t>0.1</w:t>
            </w:r>
          </w:p>
        </w:tc>
        <w:tc>
          <w:tcPr>
            <w:tcW w:w="1438" w:type="dxa"/>
          </w:tcPr>
          <w:p>
            <w:pPr>
              <w:pStyle w:val="TableParagraph"/>
              <w:spacing w:before="47"/>
              <w:ind w:left="45" w:right="46"/>
              <w:jc w:val="center"/>
              <w:rPr>
                <w:sz w:val="22"/>
              </w:rPr>
            </w:pPr>
            <w:r>
              <w:rPr>
                <w:sz w:val="22"/>
              </w:rPr>
              <w:t>0.747</w:t>
            </w:r>
          </w:p>
        </w:tc>
      </w:tr>
      <w:tr>
        <w:trPr>
          <w:trHeight w:val="516" w:hRule="exact"/>
        </w:trPr>
        <w:tc>
          <w:tcPr>
            <w:tcW w:w="552" w:type="dxa"/>
          </w:tcPr>
          <w:p>
            <w:pPr>
              <w:pStyle w:val="TableParagraph"/>
              <w:spacing w:before="7"/>
              <w:rPr>
                <w:b/>
                <w:sz w:val="21"/>
              </w:rPr>
            </w:pPr>
          </w:p>
          <w:p>
            <w:pPr>
              <w:pStyle w:val="TableParagraph"/>
              <w:ind w:left="67" w:right="67"/>
              <w:jc w:val="center"/>
              <w:rPr>
                <w:sz w:val="22"/>
              </w:rPr>
            </w:pPr>
            <w:r>
              <w:rPr>
                <w:sz w:val="22"/>
              </w:rPr>
              <w:t>205</w:t>
            </w:r>
          </w:p>
        </w:tc>
        <w:tc>
          <w:tcPr>
            <w:tcW w:w="5274" w:type="dxa"/>
          </w:tcPr>
          <w:p>
            <w:pPr>
              <w:pStyle w:val="TableParagraph"/>
              <w:spacing w:line="242" w:lineRule="auto"/>
              <w:ind w:left="64" w:right="802"/>
              <w:rPr>
                <w:sz w:val="22"/>
              </w:rPr>
            </w:pPr>
            <w:r>
              <w:rPr>
                <w:sz w:val="22"/>
              </w:rPr>
              <w:t>Waterfronts transformations: urban form as a standard product</w:t>
            </w:r>
          </w:p>
        </w:tc>
        <w:tc>
          <w:tcPr>
            <w:tcW w:w="761" w:type="dxa"/>
          </w:tcPr>
          <w:p>
            <w:pPr>
              <w:pStyle w:val="TableParagraph"/>
              <w:spacing w:before="7"/>
              <w:rPr>
                <w:b/>
                <w:sz w:val="21"/>
              </w:rPr>
            </w:pPr>
          </w:p>
          <w:p>
            <w:pPr>
              <w:pStyle w:val="TableParagraph"/>
              <w:jc w:val="center"/>
              <w:rPr>
                <w:sz w:val="22"/>
              </w:rPr>
            </w:pPr>
            <w:r>
              <w:rPr>
                <w:w w:val="100"/>
                <w:sz w:val="22"/>
              </w:rPr>
              <w:t>1</w:t>
            </w:r>
          </w:p>
        </w:tc>
        <w:tc>
          <w:tcPr>
            <w:tcW w:w="802" w:type="dxa"/>
          </w:tcPr>
          <w:p>
            <w:pPr>
              <w:pStyle w:val="TableParagraph"/>
              <w:spacing w:before="7"/>
              <w:rPr>
                <w:b/>
                <w:sz w:val="21"/>
              </w:rPr>
            </w:pPr>
          </w:p>
          <w:p>
            <w:pPr>
              <w:pStyle w:val="TableParagraph"/>
              <w:ind w:right="240"/>
              <w:jc w:val="right"/>
              <w:rPr>
                <w:sz w:val="22"/>
              </w:rPr>
            </w:pPr>
            <w:r>
              <w:rPr>
                <w:sz w:val="22"/>
              </w:rPr>
              <w:t>0.1</w:t>
            </w:r>
          </w:p>
        </w:tc>
        <w:tc>
          <w:tcPr>
            <w:tcW w:w="1438" w:type="dxa"/>
          </w:tcPr>
          <w:p>
            <w:pPr>
              <w:pStyle w:val="TableParagraph"/>
              <w:spacing w:before="7"/>
              <w:rPr>
                <w:b/>
                <w:sz w:val="21"/>
              </w:rPr>
            </w:pPr>
          </w:p>
          <w:p>
            <w:pPr>
              <w:pStyle w:val="TableParagraph"/>
              <w:ind w:left="45" w:right="46"/>
              <w:jc w:val="center"/>
              <w:rPr>
                <w:sz w:val="22"/>
              </w:rPr>
            </w:pPr>
            <w:r>
              <w:rPr>
                <w:sz w:val="22"/>
              </w:rPr>
              <w:t>0.664</w:t>
            </w:r>
          </w:p>
        </w:tc>
      </w:tr>
      <w:tr>
        <w:trPr>
          <w:trHeight w:val="317" w:hRule="exact"/>
        </w:trPr>
        <w:tc>
          <w:tcPr>
            <w:tcW w:w="552" w:type="dxa"/>
          </w:tcPr>
          <w:p>
            <w:pPr>
              <w:pStyle w:val="TableParagraph"/>
              <w:spacing w:before="47"/>
              <w:ind w:left="67" w:right="67"/>
              <w:jc w:val="center"/>
              <w:rPr>
                <w:sz w:val="22"/>
              </w:rPr>
            </w:pPr>
            <w:r>
              <w:rPr>
                <w:sz w:val="22"/>
              </w:rPr>
              <w:t>206</w:t>
            </w:r>
          </w:p>
        </w:tc>
        <w:tc>
          <w:tcPr>
            <w:tcW w:w="5274" w:type="dxa"/>
          </w:tcPr>
          <w:p>
            <w:pPr>
              <w:pStyle w:val="TableParagraph"/>
              <w:spacing w:before="47"/>
              <w:ind w:left="64" w:right="679"/>
              <w:rPr>
                <w:sz w:val="22"/>
              </w:rPr>
            </w:pPr>
            <w:r>
              <w:rPr>
                <w:sz w:val="22"/>
              </w:rPr>
              <w:t>Revisiting the sitcom suburbs</w:t>
            </w:r>
          </w:p>
        </w:tc>
        <w:tc>
          <w:tcPr>
            <w:tcW w:w="761" w:type="dxa"/>
          </w:tcPr>
          <w:p>
            <w:pPr>
              <w:pStyle w:val="TableParagraph"/>
              <w:spacing w:before="47"/>
              <w:jc w:val="center"/>
              <w:rPr>
                <w:sz w:val="22"/>
              </w:rPr>
            </w:pPr>
            <w:r>
              <w:rPr>
                <w:w w:val="100"/>
                <w:sz w:val="22"/>
              </w:rPr>
              <w:t>1</w:t>
            </w:r>
          </w:p>
        </w:tc>
        <w:tc>
          <w:tcPr>
            <w:tcW w:w="802" w:type="dxa"/>
          </w:tcPr>
          <w:p>
            <w:pPr>
              <w:pStyle w:val="TableParagraph"/>
              <w:spacing w:before="47"/>
              <w:ind w:right="240"/>
              <w:jc w:val="right"/>
              <w:rPr>
                <w:sz w:val="22"/>
              </w:rPr>
            </w:pPr>
            <w:r>
              <w:rPr>
                <w:sz w:val="22"/>
              </w:rPr>
              <w:t>0.1</w:t>
            </w:r>
          </w:p>
        </w:tc>
        <w:tc>
          <w:tcPr>
            <w:tcW w:w="1438" w:type="dxa"/>
          </w:tcPr>
          <w:p>
            <w:pPr>
              <w:pStyle w:val="TableParagraph"/>
              <w:spacing w:before="47"/>
              <w:ind w:left="45" w:right="46"/>
              <w:jc w:val="center"/>
              <w:rPr>
                <w:sz w:val="22"/>
              </w:rPr>
            </w:pPr>
            <w:r>
              <w:rPr>
                <w:sz w:val="22"/>
              </w:rPr>
              <w:t>0.581</w:t>
            </w:r>
          </w:p>
        </w:tc>
      </w:tr>
      <w:tr>
        <w:trPr>
          <w:trHeight w:val="768" w:hRule="exact"/>
        </w:trPr>
        <w:tc>
          <w:tcPr>
            <w:tcW w:w="552" w:type="dxa"/>
          </w:tcPr>
          <w:p>
            <w:pPr>
              <w:pStyle w:val="TableParagraph"/>
              <w:rPr>
                <w:b/>
                <w:sz w:val="22"/>
              </w:rPr>
            </w:pPr>
          </w:p>
          <w:p>
            <w:pPr>
              <w:pStyle w:val="TableParagraph"/>
              <w:spacing w:before="6"/>
              <w:rPr>
                <w:b/>
                <w:sz w:val="21"/>
              </w:rPr>
            </w:pPr>
          </w:p>
          <w:p>
            <w:pPr>
              <w:pStyle w:val="TableParagraph"/>
              <w:ind w:left="67" w:right="67"/>
              <w:jc w:val="center"/>
              <w:rPr>
                <w:sz w:val="22"/>
              </w:rPr>
            </w:pPr>
            <w:r>
              <w:rPr>
                <w:sz w:val="22"/>
              </w:rPr>
              <w:t>207</w:t>
            </w:r>
          </w:p>
        </w:tc>
        <w:tc>
          <w:tcPr>
            <w:tcW w:w="5274" w:type="dxa"/>
          </w:tcPr>
          <w:p>
            <w:pPr>
              <w:pStyle w:val="TableParagraph"/>
              <w:ind w:left="64" w:right="121"/>
              <w:jc w:val="both"/>
              <w:rPr>
                <w:sz w:val="22"/>
              </w:rPr>
            </w:pPr>
            <w:r>
              <w:rPr>
                <w:sz w:val="22"/>
              </w:rPr>
              <w:t>Regional development strategies for the new global- local scenario: A critical review of their potential and limits</w:t>
            </w:r>
          </w:p>
        </w:tc>
        <w:tc>
          <w:tcPr>
            <w:tcW w:w="761" w:type="dxa"/>
          </w:tcPr>
          <w:p>
            <w:pPr>
              <w:pStyle w:val="TableParagraph"/>
              <w:rPr>
                <w:b/>
                <w:sz w:val="22"/>
              </w:rPr>
            </w:pPr>
          </w:p>
          <w:p>
            <w:pPr>
              <w:pStyle w:val="TableParagraph"/>
              <w:spacing w:before="6"/>
              <w:rPr>
                <w:b/>
                <w:sz w:val="21"/>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6"/>
              <w:rPr>
                <w:b/>
                <w:sz w:val="21"/>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6"/>
              <w:rPr>
                <w:b/>
                <w:sz w:val="21"/>
              </w:rPr>
            </w:pPr>
          </w:p>
          <w:p>
            <w:pPr>
              <w:pStyle w:val="TableParagraph"/>
              <w:ind w:left="45" w:right="46"/>
              <w:jc w:val="center"/>
              <w:rPr>
                <w:sz w:val="22"/>
              </w:rPr>
            </w:pPr>
            <w:r>
              <w:rPr>
                <w:sz w:val="22"/>
              </w:rPr>
              <w:t>0.498</w:t>
            </w:r>
          </w:p>
        </w:tc>
      </w:tr>
      <w:tr>
        <w:trPr>
          <w:trHeight w:val="806" w:hRule="exact"/>
        </w:trPr>
        <w:tc>
          <w:tcPr>
            <w:tcW w:w="552" w:type="dxa"/>
          </w:tcPr>
          <w:p>
            <w:pPr>
              <w:pStyle w:val="TableParagraph"/>
              <w:rPr>
                <w:b/>
                <w:sz w:val="22"/>
              </w:rPr>
            </w:pPr>
          </w:p>
          <w:p>
            <w:pPr>
              <w:pStyle w:val="TableParagraph"/>
              <w:spacing w:before="8"/>
              <w:rPr>
                <w:b/>
                <w:sz w:val="24"/>
              </w:rPr>
            </w:pPr>
          </w:p>
          <w:p>
            <w:pPr>
              <w:pStyle w:val="TableParagraph"/>
              <w:ind w:left="67" w:right="67"/>
              <w:jc w:val="center"/>
              <w:rPr>
                <w:sz w:val="22"/>
              </w:rPr>
            </w:pPr>
            <w:r>
              <w:rPr>
                <w:sz w:val="22"/>
              </w:rPr>
              <w:t>208</w:t>
            </w:r>
          </w:p>
        </w:tc>
        <w:tc>
          <w:tcPr>
            <w:tcW w:w="5274" w:type="dxa"/>
          </w:tcPr>
          <w:p>
            <w:pPr>
              <w:pStyle w:val="TableParagraph"/>
              <w:spacing w:before="31"/>
              <w:ind w:left="64" w:right="191"/>
              <w:rPr>
                <w:sz w:val="22"/>
              </w:rPr>
            </w:pPr>
            <w:r>
              <w:rPr>
                <w:sz w:val="22"/>
              </w:rPr>
              <w:t>Industrial deceleration, crisis, reactiviation and resession in the central Mexican region. The center and periphery's long restructuration cycle</w:t>
            </w:r>
          </w:p>
        </w:tc>
        <w:tc>
          <w:tcPr>
            <w:tcW w:w="761" w:type="dxa"/>
          </w:tcPr>
          <w:p>
            <w:pPr>
              <w:pStyle w:val="TableParagraph"/>
              <w:rPr>
                <w:b/>
                <w:sz w:val="22"/>
              </w:rPr>
            </w:pPr>
          </w:p>
          <w:p>
            <w:pPr>
              <w:pStyle w:val="TableParagraph"/>
              <w:spacing w:before="8"/>
              <w:rPr>
                <w:b/>
                <w:sz w:val="24"/>
              </w:rPr>
            </w:pPr>
          </w:p>
          <w:p>
            <w:pPr>
              <w:pStyle w:val="TableParagraph"/>
              <w:jc w:val="center"/>
              <w:rPr>
                <w:sz w:val="22"/>
              </w:rPr>
            </w:pPr>
            <w:r>
              <w:rPr>
                <w:w w:val="100"/>
                <w:sz w:val="22"/>
              </w:rPr>
              <w:t>1</w:t>
            </w:r>
          </w:p>
        </w:tc>
        <w:tc>
          <w:tcPr>
            <w:tcW w:w="802" w:type="dxa"/>
          </w:tcPr>
          <w:p>
            <w:pPr>
              <w:pStyle w:val="TableParagraph"/>
              <w:rPr>
                <w:b/>
                <w:sz w:val="22"/>
              </w:rPr>
            </w:pPr>
          </w:p>
          <w:p>
            <w:pPr>
              <w:pStyle w:val="TableParagraph"/>
              <w:spacing w:before="8"/>
              <w:rPr>
                <w:b/>
                <w:sz w:val="24"/>
              </w:rPr>
            </w:pPr>
          </w:p>
          <w:p>
            <w:pPr>
              <w:pStyle w:val="TableParagraph"/>
              <w:ind w:right="240"/>
              <w:jc w:val="right"/>
              <w:rPr>
                <w:sz w:val="22"/>
              </w:rPr>
            </w:pPr>
            <w:r>
              <w:rPr>
                <w:sz w:val="22"/>
              </w:rPr>
              <w:t>0.1</w:t>
            </w:r>
          </w:p>
        </w:tc>
        <w:tc>
          <w:tcPr>
            <w:tcW w:w="1438" w:type="dxa"/>
          </w:tcPr>
          <w:p>
            <w:pPr>
              <w:pStyle w:val="TableParagraph"/>
              <w:rPr>
                <w:b/>
                <w:sz w:val="22"/>
              </w:rPr>
            </w:pPr>
          </w:p>
          <w:p>
            <w:pPr>
              <w:pStyle w:val="TableParagraph"/>
              <w:spacing w:before="8"/>
              <w:rPr>
                <w:b/>
                <w:sz w:val="24"/>
              </w:rPr>
            </w:pPr>
          </w:p>
          <w:p>
            <w:pPr>
              <w:pStyle w:val="TableParagraph"/>
              <w:ind w:left="45" w:right="46"/>
              <w:jc w:val="center"/>
              <w:rPr>
                <w:sz w:val="22"/>
              </w:rPr>
            </w:pPr>
            <w:r>
              <w:rPr>
                <w:sz w:val="22"/>
              </w:rPr>
              <w:t>0.415</w:t>
            </w:r>
          </w:p>
        </w:tc>
      </w:tr>
      <w:tr>
        <w:trPr>
          <w:trHeight w:val="545" w:hRule="exact"/>
        </w:trPr>
        <w:tc>
          <w:tcPr>
            <w:tcW w:w="552" w:type="dxa"/>
          </w:tcPr>
          <w:p>
            <w:pPr>
              <w:pStyle w:val="TableParagraph"/>
              <w:rPr>
                <w:b/>
                <w:sz w:val="24"/>
              </w:rPr>
            </w:pPr>
          </w:p>
          <w:p>
            <w:pPr>
              <w:pStyle w:val="TableParagraph"/>
              <w:ind w:left="67" w:right="67"/>
              <w:jc w:val="center"/>
              <w:rPr>
                <w:sz w:val="22"/>
              </w:rPr>
            </w:pPr>
            <w:r>
              <w:rPr>
                <w:sz w:val="22"/>
              </w:rPr>
              <w:t>209</w:t>
            </w:r>
          </w:p>
        </w:tc>
        <w:tc>
          <w:tcPr>
            <w:tcW w:w="5274" w:type="dxa"/>
          </w:tcPr>
          <w:p>
            <w:pPr>
              <w:pStyle w:val="TableParagraph"/>
              <w:spacing w:before="24"/>
              <w:ind w:left="64" w:right="1058"/>
              <w:rPr>
                <w:sz w:val="22"/>
              </w:rPr>
            </w:pPr>
            <w:r>
              <w:rPr>
                <w:sz w:val="22"/>
              </w:rPr>
              <w:t>The globalization of the insalubrity and the contamination of the urban air</w:t>
            </w:r>
          </w:p>
        </w:tc>
        <w:tc>
          <w:tcPr>
            <w:tcW w:w="761" w:type="dxa"/>
          </w:tcPr>
          <w:p>
            <w:pPr>
              <w:pStyle w:val="TableParagraph"/>
              <w:rPr>
                <w:b/>
                <w:sz w:val="24"/>
              </w:rPr>
            </w:pPr>
          </w:p>
          <w:p>
            <w:pPr>
              <w:pStyle w:val="TableParagraph"/>
              <w:jc w:val="center"/>
              <w:rPr>
                <w:sz w:val="22"/>
              </w:rPr>
            </w:pPr>
            <w:r>
              <w:rPr>
                <w:w w:val="100"/>
                <w:sz w:val="22"/>
              </w:rPr>
              <w:t>1</w:t>
            </w:r>
          </w:p>
        </w:tc>
        <w:tc>
          <w:tcPr>
            <w:tcW w:w="802" w:type="dxa"/>
          </w:tcPr>
          <w:p>
            <w:pPr>
              <w:pStyle w:val="TableParagraph"/>
              <w:rPr>
                <w:b/>
                <w:sz w:val="24"/>
              </w:rPr>
            </w:pPr>
          </w:p>
          <w:p>
            <w:pPr>
              <w:pStyle w:val="TableParagraph"/>
              <w:ind w:right="240"/>
              <w:jc w:val="right"/>
              <w:rPr>
                <w:sz w:val="22"/>
              </w:rPr>
            </w:pPr>
            <w:r>
              <w:rPr>
                <w:sz w:val="22"/>
              </w:rPr>
              <w:t>0.1</w:t>
            </w:r>
          </w:p>
        </w:tc>
        <w:tc>
          <w:tcPr>
            <w:tcW w:w="1438" w:type="dxa"/>
          </w:tcPr>
          <w:p>
            <w:pPr>
              <w:pStyle w:val="TableParagraph"/>
              <w:rPr>
                <w:b/>
                <w:sz w:val="24"/>
              </w:rPr>
            </w:pPr>
          </w:p>
          <w:p>
            <w:pPr>
              <w:pStyle w:val="TableParagraph"/>
              <w:ind w:left="45" w:right="46"/>
              <w:jc w:val="center"/>
              <w:rPr>
                <w:sz w:val="22"/>
              </w:rPr>
            </w:pPr>
            <w:r>
              <w:rPr>
                <w:sz w:val="22"/>
              </w:rPr>
              <w:t>0.332</w:t>
            </w:r>
          </w:p>
        </w:tc>
      </w:tr>
      <w:tr>
        <w:trPr>
          <w:trHeight w:val="314" w:hRule="exact"/>
        </w:trPr>
        <w:tc>
          <w:tcPr>
            <w:tcW w:w="552" w:type="dxa"/>
          </w:tcPr>
          <w:p>
            <w:pPr>
              <w:pStyle w:val="TableParagraph"/>
              <w:spacing w:before="47"/>
              <w:ind w:left="67" w:right="67"/>
              <w:jc w:val="center"/>
              <w:rPr>
                <w:sz w:val="22"/>
              </w:rPr>
            </w:pPr>
            <w:r>
              <w:rPr>
                <w:sz w:val="22"/>
              </w:rPr>
              <w:t>210</w:t>
            </w:r>
          </w:p>
        </w:tc>
        <w:tc>
          <w:tcPr>
            <w:tcW w:w="5274" w:type="dxa"/>
          </w:tcPr>
          <w:p>
            <w:pPr>
              <w:pStyle w:val="TableParagraph"/>
              <w:spacing w:before="47"/>
              <w:ind w:left="64" w:right="679"/>
              <w:rPr>
                <w:sz w:val="22"/>
              </w:rPr>
            </w:pPr>
            <w:r>
              <w:rPr>
                <w:sz w:val="22"/>
              </w:rPr>
              <w:t>Caracas: a quest for metropolitan government</w:t>
            </w:r>
          </w:p>
        </w:tc>
        <w:tc>
          <w:tcPr>
            <w:tcW w:w="761" w:type="dxa"/>
          </w:tcPr>
          <w:p>
            <w:pPr>
              <w:pStyle w:val="TableParagraph"/>
              <w:spacing w:before="47"/>
              <w:jc w:val="center"/>
              <w:rPr>
                <w:sz w:val="22"/>
              </w:rPr>
            </w:pPr>
            <w:r>
              <w:rPr>
                <w:w w:val="100"/>
                <w:sz w:val="22"/>
              </w:rPr>
              <w:t>1</w:t>
            </w:r>
          </w:p>
        </w:tc>
        <w:tc>
          <w:tcPr>
            <w:tcW w:w="802" w:type="dxa"/>
          </w:tcPr>
          <w:p>
            <w:pPr>
              <w:pStyle w:val="TableParagraph"/>
              <w:spacing w:before="47"/>
              <w:ind w:right="240"/>
              <w:jc w:val="right"/>
              <w:rPr>
                <w:sz w:val="22"/>
              </w:rPr>
            </w:pPr>
            <w:r>
              <w:rPr>
                <w:sz w:val="22"/>
              </w:rPr>
              <w:t>0.1</w:t>
            </w:r>
          </w:p>
        </w:tc>
        <w:tc>
          <w:tcPr>
            <w:tcW w:w="1438" w:type="dxa"/>
          </w:tcPr>
          <w:p>
            <w:pPr>
              <w:pStyle w:val="TableParagraph"/>
              <w:spacing w:before="47"/>
              <w:ind w:left="45" w:right="46"/>
              <w:jc w:val="center"/>
              <w:rPr>
                <w:sz w:val="22"/>
              </w:rPr>
            </w:pPr>
            <w:r>
              <w:rPr>
                <w:sz w:val="22"/>
              </w:rPr>
              <w:t>0.249</w:t>
            </w:r>
          </w:p>
        </w:tc>
      </w:tr>
      <w:tr>
        <w:trPr>
          <w:trHeight w:val="547" w:hRule="exact"/>
        </w:trPr>
        <w:tc>
          <w:tcPr>
            <w:tcW w:w="552" w:type="dxa"/>
          </w:tcPr>
          <w:p>
            <w:pPr>
              <w:pStyle w:val="TableParagraph"/>
              <w:spacing w:before="2"/>
              <w:rPr>
                <w:b/>
                <w:sz w:val="24"/>
              </w:rPr>
            </w:pPr>
          </w:p>
          <w:p>
            <w:pPr>
              <w:pStyle w:val="TableParagraph"/>
              <w:ind w:left="67" w:right="67"/>
              <w:jc w:val="center"/>
              <w:rPr>
                <w:sz w:val="22"/>
              </w:rPr>
            </w:pPr>
            <w:r>
              <w:rPr>
                <w:sz w:val="22"/>
              </w:rPr>
              <w:t>211</w:t>
            </w:r>
          </w:p>
        </w:tc>
        <w:tc>
          <w:tcPr>
            <w:tcW w:w="5274" w:type="dxa"/>
          </w:tcPr>
          <w:p>
            <w:pPr>
              <w:pStyle w:val="TableParagraph"/>
              <w:spacing w:before="26"/>
              <w:ind w:left="64" w:right="301"/>
              <w:rPr>
                <w:sz w:val="22"/>
              </w:rPr>
            </w:pPr>
            <w:r>
              <w:rPr>
                <w:sz w:val="22"/>
              </w:rPr>
              <w:t>Economic and migratory transformations in the central region of Mexico in the context of the crisis</w:t>
            </w:r>
          </w:p>
        </w:tc>
        <w:tc>
          <w:tcPr>
            <w:tcW w:w="761" w:type="dxa"/>
          </w:tcPr>
          <w:p>
            <w:pPr>
              <w:pStyle w:val="TableParagraph"/>
              <w:spacing w:before="2"/>
              <w:rPr>
                <w:b/>
                <w:sz w:val="24"/>
              </w:rPr>
            </w:pPr>
          </w:p>
          <w:p>
            <w:pPr>
              <w:pStyle w:val="TableParagraph"/>
              <w:jc w:val="center"/>
              <w:rPr>
                <w:sz w:val="22"/>
              </w:rPr>
            </w:pPr>
            <w:r>
              <w:rPr>
                <w:w w:val="100"/>
                <w:sz w:val="22"/>
              </w:rPr>
              <w:t>1</w:t>
            </w:r>
          </w:p>
        </w:tc>
        <w:tc>
          <w:tcPr>
            <w:tcW w:w="802" w:type="dxa"/>
          </w:tcPr>
          <w:p>
            <w:pPr>
              <w:pStyle w:val="TableParagraph"/>
              <w:spacing w:before="2"/>
              <w:rPr>
                <w:b/>
                <w:sz w:val="24"/>
              </w:rPr>
            </w:pPr>
          </w:p>
          <w:p>
            <w:pPr>
              <w:pStyle w:val="TableParagraph"/>
              <w:ind w:right="240"/>
              <w:jc w:val="right"/>
              <w:rPr>
                <w:sz w:val="22"/>
              </w:rPr>
            </w:pPr>
            <w:r>
              <w:rPr>
                <w:sz w:val="22"/>
              </w:rPr>
              <w:t>0.1</w:t>
            </w:r>
          </w:p>
        </w:tc>
        <w:tc>
          <w:tcPr>
            <w:tcW w:w="1438" w:type="dxa"/>
          </w:tcPr>
          <w:p>
            <w:pPr>
              <w:pStyle w:val="TableParagraph"/>
              <w:spacing w:before="2"/>
              <w:rPr>
                <w:b/>
                <w:sz w:val="24"/>
              </w:rPr>
            </w:pPr>
          </w:p>
          <w:p>
            <w:pPr>
              <w:pStyle w:val="TableParagraph"/>
              <w:ind w:left="45" w:right="46"/>
              <w:jc w:val="center"/>
              <w:rPr>
                <w:sz w:val="22"/>
              </w:rPr>
            </w:pPr>
            <w:r>
              <w:rPr>
                <w:sz w:val="22"/>
              </w:rPr>
              <w:t>0.166</w:t>
            </w:r>
          </w:p>
        </w:tc>
      </w:tr>
      <w:tr>
        <w:trPr>
          <w:trHeight w:val="545" w:hRule="exact"/>
        </w:trPr>
        <w:tc>
          <w:tcPr>
            <w:tcW w:w="552" w:type="dxa"/>
          </w:tcPr>
          <w:p>
            <w:pPr>
              <w:pStyle w:val="TableParagraph"/>
              <w:spacing w:before="11"/>
              <w:rPr>
                <w:b/>
                <w:sz w:val="23"/>
              </w:rPr>
            </w:pPr>
          </w:p>
          <w:p>
            <w:pPr>
              <w:pStyle w:val="TableParagraph"/>
              <w:ind w:left="67" w:right="67"/>
              <w:jc w:val="center"/>
              <w:rPr>
                <w:sz w:val="22"/>
              </w:rPr>
            </w:pPr>
            <w:r>
              <w:rPr>
                <w:sz w:val="22"/>
              </w:rPr>
              <w:t>212</w:t>
            </w:r>
          </w:p>
        </w:tc>
        <w:tc>
          <w:tcPr>
            <w:tcW w:w="5274" w:type="dxa"/>
          </w:tcPr>
          <w:p>
            <w:pPr>
              <w:pStyle w:val="TableParagraph"/>
              <w:spacing w:before="23"/>
              <w:ind w:left="64" w:right="924"/>
              <w:rPr>
                <w:sz w:val="22"/>
              </w:rPr>
            </w:pPr>
            <w:r>
              <w:rPr>
                <w:sz w:val="22"/>
              </w:rPr>
              <w:t>Territorial facets of the changes in the agro- alimentary system of the pampas</w:t>
            </w:r>
          </w:p>
        </w:tc>
        <w:tc>
          <w:tcPr>
            <w:tcW w:w="761" w:type="dxa"/>
          </w:tcPr>
          <w:p>
            <w:pPr>
              <w:pStyle w:val="TableParagraph"/>
              <w:spacing w:before="11"/>
              <w:rPr>
                <w:b/>
                <w:sz w:val="23"/>
              </w:rPr>
            </w:pPr>
          </w:p>
          <w:p>
            <w:pPr>
              <w:pStyle w:val="TableParagraph"/>
              <w:jc w:val="center"/>
              <w:rPr>
                <w:sz w:val="22"/>
              </w:rPr>
            </w:pPr>
            <w:r>
              <w:rPr>
                <w:w w:val="100"/>
                <w:sz w:val="22"/>
              </w:rPr>
              <w:t>1</w:t>
            </w:r>
          </w:p>
        </w:tc>
        <w:tc>
          <w:tcPr>
            <w:tcW w:w="802" w:type="dxa"/>
          </w:tcPr>
          <w:p>
            <w:pPr>
              <w:pStyle w:val="TableParagraph"/>
              <w:spacing w:before="11"/>
              <w:rPr>
                <w:b/>
                <w:sz w:val="23"/>
              </w:rPr>
            </w:pPr>
          </w:p>
          <w:p>
            <w:pPr>
              <w:pStyle w:val="TableParagraph"/>
              <w:ind w:right="240"/>
              <w:jc w:val="right"/>
              <w:rPr>
                <w:sz w:val="22"/>
              </w:rPr>
            </w:pPr>
            <w:r>
              <w:rPr>
                <w:sz w:val="22"/>
              </w:rPr>
              <w:t>0.1</w:t>
            </w:r>
          </w:p>
        </w:tc>
        <w:tc>
          <w:tcPr>
            <w:tcW w:w="1438" w:type="dxa"/>
          </w:tcPr>
          <w:p>
            <w:pPr/>
          </w:p>
        </w:tc>
      </w:tr>
    </w:tbl>
    <w:p>
      <w:pPr>
        <w:spacing w:after="0"/>
        <w:sectPr>
          <w:pgSz w:w="12240" w:h="15840"/>
          <w:pgMar w:header="0" w:footer="629" w:top="1420" w:bottom="820" w:left="1580" w:right="1580"/>
        </w:sectPr>
      </w:pPr>
    </w:p>
    <w:p>
      <w:pPr>
        <w:spacing w:before="54"/>
        <w:ind w:left="2606" w:right="0" w:firstLine="0"/>
        <w:jc w:val="left"/>
        <w:rPr>
          <w:b/>
          <w:sz w:val="24"/>
        </w:rPr>
      </w:pPr>
      <w:r>
        <w:rPr>
          <w:b/>
          <w:sz w:val="24"/>
        </w:rPr>
        <w:t>Base de datos Análisis cualitativo</w:t>
      </w:r>
    </w:p>
    <w:p>
      <w:pPr>
        <w:pStyle w:val="BodyText"/>
        <w:spacing w:before="3"/>
        <w:rPr>
          <w:b/>
          <w:sz w:val="1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9"/>
        <w:gridCol w:w="1423"/>
        <w:gridCol w:w="1441"/>
        <w:gridCol w:w="1351"/>
        <w:gridCol w:w="1119"/>
        <w:gridCol w:w="1210"/>
        <w:gridCol w:w="764"/>
        <w:gridCol w:w="785"/>
      </w:tblGrid>
      <w:tr>
        <w:trPr>
          <w:trHeight w:val="382" w:hRule="exact"/>
        </w:trPr>
        <w:tc>
          <w:tcPr>
            <w:tcW w:w="8891" w:type="dxa"/>
            <w:gridSpan w:val="8"/>
          </w:tcPr>
          <w:p>
            <w:pPr>
              <w:pStyle w:val="TableParagraph"/>
              <w:spacing w:before="91"/>
              <w:ind w:left="2561"/>
              <w:rPr>
                <w:b/>
                <w:sz w:val="24"/>
              </w:rPr>
            </w:pPr>
            <w:r>
              <w:rPr>
                <w:b/>
                <w:sz w:val="24"/>
              </w:rPr>
              <w:t>Sección 1. Autoría (variable 1 a la 7)</w:t>
            </w:r>
          </w:p>
        </w:tc>
      </w:tr>
      <w:tr>
        <w:trPr>
          <w:trHeight w:val="379" w:hRule="exact"/>
        </w:trPr>
        <w:tc>
          <w:tcPr>
            <w:tcW w:w="799" w:type="dxa"/>
            <w:vMerge w:val="restart"/>
          </w:tcPr>
          <w:p>
            <w:pPr>
              <w:pStyle w:val="TableParagraph"/>
              <w:spacing w:before="11"/>
              <w:rPr>
                <w:b/>
                <w:sz w:val="20"/>
              </w:rPr>
            </w:pPr>
          </w:p>
          <w:p>
            <w:pPr>
              <w:pStyle w:val="TableParagraph"/>
              <w:ind w:left="100" w:right="96" w:hanging="3"/>
              <w:jc w:val="center"/>
              <w:rPr>
                <w:b/>
                <w:sz w:val="16"/>
              </w:rPr>
            </w:pPr>
            <w:r>
              <w:rPr>
                <w:b/>
                <w:sz w:val="16"/>
              </w:rPr>
              <w:t>Unidad de análisis</w:t>
            </w:r>
          </w:p>
        </w:tc>
        <w:tc>
          <w:tcPr>
            <w:tcW w:w="1423" w:type="dxa"/>
          </w:tcPr>
          <w:p>
            <w:pPr>
              <w:pStyle w:val="TableParagraph"/>
              <w:spacing w:before="6"/>
              <w:rPr>
                <w:b/>
                <w:sz w:val="15"/>
              </w:rPr>
            </w:pPr>
          </w:p>
          <w:p>
            <w:pPr>
              <w:pStyle w:val="TableParagraph"/>
              <w:ind w:left="335" w:right="241"/>
              <w:rPr>
                <w:b/>
                <w:sz w:val="16"/>
              </w:rPr>
            </w:pPr>
            <w:r>
              <w:rPr>
                <w:b/>
                <w:sz w:val="16"/>
              </w:rPr>
              <w:t>variable 1</w:t>
            </w:r>
          </w:p>
        </w:tc>
        <w:tc>
          <w:tcPr>
            <w:tcW w:w="1441" w:type="dxa"/>
          </w:tcPr>
          <w:p>
            <w:pPr>
              <w:pStyle w:val="TableParagraph"/>
              <w:spacing w:before="6"/>
              <w:rPr>
                <w:b/>
                <w:sz w:val="15"/>
              </w:rPr>
            </w:pPr>
          </w:p>
          <w:p>
            <w:pPr>
              <w:pStyle w:val="TableParagraph"/>
              <w:ind w:left="346" w:right="121"/>
              <w:rPr>
                <w:b/>
                <w:sz w:val="16"/>
              </w:rPr>
            </w:pPr>
            <w:r>
              <w:rPr>
                <w:b/>
                <w:sz w:val="16"/>
              </w:rPr>
              <w:t>variable 2</w:t>
            </w:r>
          </w:p>
        </w:tc>
        <w:tc>
          <w:tcPr>
            <w:tcW w:w="1351" w:type="dxa"/>
          </w:tcPr>
          <w:p>
            <w:pPr>
              <w:pStyle w:val="TableParagraph"/>
              <w:spacing w:before="6"/>
              <w:rPr>
                <w:b/>
                <w:sz w:val="15"/>
              </w:rPr>
            </w:pPr>
          </w:p>
          <w:p>
            <w:pPr>
              <w:pStyle w:val="TableParagraph"/>
              <w:ind w:left="50" w:right="50"/>
              <w:jc w:val="center"/>
              <w:rPr>
                <w:b/>
                <w:sz w:val="16"/>
              </w:rPr>
            </w:pPr>
            <w:r>
              <w:rPr>
                <w:b/>
                <w:sz w:val="16"/>
              </w:rPr>
              <w:t>variable 3</w:t>
            </w:r>
          </w:p>
        </w:tc>
        <w:tc>
          <w:tcPr>
            <w:tcW w:w="1119" w:type="dxa"/>
          </w:tcPr>
          <w:p>
            <w:pPr>
              <w:pStyle w:val="TableParagraph"/>
              <w:spacing w:before="6"/>
              <w:rPr>
                <w:b/>
                <w:sz w:val="15"/>
              </w:rPr>
            </w:pPr>
          </w:p>
          <w:p>
            <w:pPr>
              <w:pStyle w:val="TableParagraph"/>
              <w:ind w:left="55" w:right="56"/>
              <w:jc w:val="center"/>
              <w:rPr>
                <w:b/>
                <w:sz w:val="16"/>
              </w:rPr>
            </w:pPr>
            <w:r>
              <w:rPr>
                <w:b/>
                <w:sz w:val="16"/>
              </w:rPr>
              <w:t>variable 4</w:t>
            </w:r>
          </w:p>
        </w:tc>
        <w:tc>
          <w:tcPr>
            <w:tcW w:w="1210" w:type="dxa"/>
          </w:tcPr>
          <w:p>
            <w:pPr>
              <w:pStyle w:val="TableParagraph"/>
              <w:spacing w:before="6"/>
              <w:rPr>
                <w:b/>
                <w:sz w:val="15"/>
              </w:rPr>
            </w:pPr>
          </w:p>
          <w:p>
            <w:pPr>
              <w:pStyle w:val="TableParagraph"/>
              <w:ind w:left="210" w:right="211"/>
              <w:jc w:val="center"/>
              <w:rPr>
                <w:b/>
                <w:sz w:val="16"/>
              </w:rPr>
            </w:pPr>
            <w:r>
              <w:rPr>
                <w:b/>
                <w:sz w:val="16"/>
              </w:rPr>
              <w:t>variable 5</w:t>
            </w:r>
          </w:p>
        </w:tc>
        <w:tc>
          <w:tcPr>
            <w:tcW w:w="764" w:type="dxa"/>
          </w:tcPr>
          <w:p>
            <w:pPr>
              <w:pStyle w:val="TableParagraph"/>
              <w:spacing w:line="182" w:lineRule="exact" w:before="1"/>
              <w:ind w:left="331" w:right="58" w:hanging="260"/>
              <w:rPr>
                <w:b/>
                <w:sz w:val="16"/>
              </w:rPr>
            </w:pPr>
            <w:r>
              <w:rPr>
                <w:b/>
                <w:sz w:val="16"/>
              </w:rPr>
              <w:t>variable 6</w:t>
            </w:r>
          </w:p>
        </w:tc>
        <w:tc>
          <w:tcPr>
            <w:tcW w:w="785" w:type="dxa"/>
          </w:tcPr>
          <w:p>
            <w:pPr>
              <w:pStyle w:val="TableParagraph"/>
              <w:spacing w:line="182" w:lineRule="exact" w:before="1"/>
              <w:ind w:left="340" w:right="70" w:hanging="260"/>
              <w:rPr>
                <w:b/>
                <w:sz w:val="16"/>
              </w:rPr>
            </w:pPr>
            <w:r>
              <w:rPr>
                <w:b/>
                <w:sz w:val="16"/>
              </w:rPr>
              <w:t>variable 7</w:t>
            </w:r>
          </w:p>
        </w:tc>
      </w:tr>
      <w:tr>
        <w:trPr>
          <w:trHeight w:val="430" w:hRule="exact"/>
        </w:trPr>
        <w:tc>
          <w:tcPr>
            <w:tcW w:w="799" w:type="dxa"/>
            <w:vMerge/>
          </w:tcPr>
          <w:p>
            <w:pPr/>
          </w:p>
        </w:tc>
        <w:tc>
          <w:tcPr>
            <w:tcW w:w="1423" w:type="dxa"/>
          </w:tcPr>
          <w:p>
            <w:pPr>
              <w:pStyle w:val="TableParagraph"/>
              <w:spacing w:before="46"/>
              <w:ind w:left="460" w:right="358" w:hanging="92"/>
              <w:rPr>
                <w:b/>
                <w:sz w:val="16"/>
              </w:rPr>
            </w:pPr>
            <w:r>
              <w:rPr>
                <w:b/>
                <w:sz w:val="16"/>
              </w:rPr>
              <w:t>Palabras clave1</w:t>
            </w:r>
          </w:p>
        </w:tc>
        <w:tc>
          <w:tcPr>
            <w:tcW w:w="1441" w:type="dxa"/>
          </w:tcPr>
          <w:p>
            <w:pPr>
              <w:pStyle w:val="TableParagraph"/>
              <w:spacing w:before="10"/>
              <w:rPr>
                <w:b/>
                <w:sz w:val="19"/>
              </w:rPr>
            </w:pPr>
          </w:p>
          <w:p>
            <w:pPr>
              <w:pStyle w:val="TableParagraph"/>
              <w:ind w:right="111"/>
              <w:jc w:val="right"/>
              <w:rPr>
                <w:b/>
                <w:sz w:val="16"/>
              </w:rPr>
            </w:pPr>
            <w:r>
              <w:rPr>
                <w:b/>
                <w:sz w:val="16"/>
              </w:rPr>
              <w:t>Palabras clave2</w:t>
            </w:r>
          </w:p>
        </w:tc>
        <w:tc>
          <w:tcPr>
            <w:tcW w:w="1351" w:type="dxa"/>
          </w:tcPr>
          <w:p>
            <w:pPr>
              <w:pStyle w:val="TableParagraph"/>
              <w:spacing w:before="10"/>
              <w:rPr>
                <w:b/>
                <w:sz w:val="19"/>
              </w:rPr>
            </w:pPr>
          </w:p>
          <w:p>
            <w:pPr>
              <w:pStyle w:val="TableParagraph"/>
              <w:ind w:left="50" w:right="50"/>
              <w:jc w:val="center"/>
              <w:rPr>
                <w:b/>
                <w:sz w:val="16"/>
              </w:rPr>
            </w:pPr>
            <w:r>
              <w:rPr>
                <w:b/>
                <w:sz w:val="16"/>
              </w:rPr>
              <w:t>Palabras clave3</w:t>
            </w:r>
          </w:p>
        </w:tc>
        <w:tc>
          <w:tcPr>
            <w:tcW w:w="1119" w:type="dxa"/>
          </w:tcPr>
          <w:p>
            <w:pPr>
              <w:pStyle w:val="TableParagraph"/>
              <w:spacing w:before="46"/>
              <w:ind w:left="307" w:right="207" w:hanging="92"/>
              <w:rPr>
                <w:b/>
                <w:sz w:val="16"/>
              </w:rPr>
            </w:pPr>
            <w:r>
              <w:rPr>
                <w:b/>
                <w:sz w:val="16"/>
              </w:rPr>
              <w:t>Palabras clave4</w:t>
            </w:r>
          </w:p>
        </w:tc>
        <w:tc>
          <w:tcPr>
            <w:tcW w:w="1210" w:type="dxa"/>
          </w:tcPr>
          <w:p>
            <w:pPr>
              <w:pStyle w:val="TableParagraph"/>
              <w:spacing w:before="46"/>
              <w:ind w:left="153" w:right="138" w:firstLine="172"/>
              <w:rPr>
                <w:b/>
                <w:sz w:val="16"/>
              </w:rPr>
            </w:pPr>
            <w:r>
              <w:rPr>
                <w:b/>
                <w:sz w:val="16"/>
              </w:rPr>
              <w:t>Año de publicación</w:t>
            </w:r>
          </w:p>
        </w:tc>
        <w:tc>
          <w:tcPr>
            <w:tcW w:w="764" w:type="dxa"/>
          </w:tcPr>
          <w:p>
            <w:pPr>
              <w:pStyle w:val="TableParagraph"/>
              <w:spacing w:before="46"/>
              <w:ind w:left="194" w:right="51" w:hanging="125"/>
              <w:rPr>
                <w:b/>
                <w:sz w:val="16"/>
              </w:rPr>
            </w:pPr>
            <w:r>
              <w:rPr>
                <w:b/>
                <w:sz w:val="16"/>
              </w:rPr>
              <w:t>Total de citas</w:t>
            </w:r>
          </w:p>
        </w:tc>
        <w:tc>
          <w:tcPr>
            <w:tcW w:w="785" w:type="dxa"/>
          </w:tcPr>
          <w:p>
            <w:pPr>
              <w:pStyle w:val="TableParagraph"/>
              <w:spacing w:before="46"/>
              <w:ind w:left="95" w:right="63" w:hanging="17"/>
              <w:rPr>
                <w:b/>
                <w:sz w:val="16"/>
              </w:rPr>
            </w:pPr>
            <w:r>
              <w:rPr>
                <w:b/>
                <w:sz w:val="16"/>
              </w:rPr>
              <w:t>Total de autores</w:t>
            </w:r>
          </w:p>
        </w:tc>
      </w:tr>
      <w:tr>
        <w:trPr>
          <w:trHeight w:val="487" w:hRule="exact"/>
        </w:trPr>
        <w:tc>
          <w:tcPr>
            <w:tcW w:w="799" w:type="dxa"/>
          </w:tcPr>
          <w:p>
            <w:pPr>
              <w:pStyle w:val="TableParagraph"/>
              <w:rPr>
                <w:b/>
                <w:sz w:val="16"/>
              </w:rPr>
            </w:pPr>
          </w:p>
          <w:p>
            <w:pPr>
              <w:pStyle w:val="TableParagraph"/>
              <w:spacing w:before="102"/>
              <w:jc w:val="center"/>
              <w:rPr>
                <w:b/>
                <w:sz w:val="16"/>
              </w:rPr>
            </w:pPr>
            <w:r>
              <w:rPr>
                <w:b/>
                <w:w w:val="100"/>
                <w:sz w:val="16"/>
              </w:rPr>
              <w:t>1</w:t>
            </w:r>
          </w:p>
        </w:tc>
        <w:tc>
          <w:tcPr>
            <w:tcW w:w="1423" w:type="dxa"/>
          </w:tcPr>
          <w:p>
            <w:pPr>
              <w:pStyle w:val="TableParagraph"/>
              <w:spacing w:before="106"/>
              <w:ind w:left="290" w:right="241" w:hanging="36"/>
              <w:rPr>
                <w:sz w:val="16"/>
              </w:rPr>
            </w:pPr>
            <w:r>
              <w:rPr>
                <w:sz w:val="16"/>
              </w:rPr>
              <w:t>Segregación Residencial</w:t>
            </w:r>
          </w:p>
        </w:tc>
        <w:tc>
          <w:tcPr>
            <w:tcW w:w="1441" w:type="dxa"/>
          </w:tcPr>
          <w:p>
            <w:pPr>
              <w:pStyle w:val="TableParagraph"/>
              <w:rPr>
                <w:b/>
                <w:sz w:val="16"/>
              </w:rPr>
            </w:pPr>
          </w:p>
          <w:p>
            <w:pPr>
              <w:pStyle w:val="TableParagraph"/>
              <w:spacing w:before="105"/>
              <w:ind w:left="329" w:right="121"/>
              <w:rPr>
                <w:sz w:val="16"/>
              </w:rPr>
            </w:pPr>
            <w:r>
              <w:rPr>
                <w:sz w:val="16"/>
              </w:rPr>
              <w:t>Malignidad</w:t>
            </w:r>
          </w:p>
        </w:tc>
        <w:tc>
          <w:tcPr>
            <w:tcW w:w="1351" w:type="dxa"/>
          </w:tcPr>
          <w:p>
            <w:pPr>
              <w:pStyle w:val="TableParagraph"/>
              <w:spacing w:before="106"/>
              <w:ind w:left="451" w:right="207" w:hanging="226"/>
              <w:rPr>
                <w:sz w:val="16"/>
              </w:rPr>
            </w:pPr>
            <w:r>
              <w:rPr>
                <w:sz w:val="16"/>
              </w:rPr>
              <w:t>Desigualdad Social</w:t>
            </w:r>
          </w:p>
        </w:tc>
        <w:tc>
          <w:tcPr>
            <w:tcW w:w="1119" w:type="dxa"/>
          </w:tcPr>
          <w:p>
            <w:pPr>
              <w:pStyle w:val="TableParagraph"/>
              <w:spacing w:before="106"/>
              <w:ind w:left="257" w:right="200" w:hanging="44"/>
              <w:rPr>
                <w:sz w:val="16"/>
              </w:rPr>
            </w:pPr>
            <w:r>
              <w:rPr>
                <w:sz w:val="16"/>
              </w:rPr>
              <w:t>Ciudades chilenas</w:t>
            </w:r>
          </w:p>
        </w:tc>
        <w:tc>
          <w:tcPr>
            <w:tcW w:w="1210" w:type="dxa"/>
          </w:tcPr>
          <w:p>
            <w:pPr>
              <w:pStyle w:val="TableParagraph"/>
              <w:rPr>
                <w:b/>
                <w:sz w:val="16"/>
              </w:rPr>
            </w:pPr>
          </w:p>
          <w:p>
            <w:pPr>
              <w:pStyle w:val="TableParagraph"/>
              <w:spacing w:before="105"/>
              <w:ind w:left="209" w:right="211"/>
              <w:jc w:val="center"/>
              <w:rPr>
                <w:sz w:val="16"/>
              </w:rPr>
            </w:pPr>
            <w:r>
              <w:rPr>
                <w:sz w:val="16"/>
              </w:rPr>
              <w:t>2001</w:t>
            </w:r>
          </w:p>
        </w:tc>
        <w:tc>
          <w:tcPr>
            <w:tcW w:w="764" w:type="dxa"/>
          </w:tcPr>
          <w:p>
            <w:pPr>
              <w:pStyle w:val="TableParagraph"/>
              <w:rPr>
                <w:b/>
                <w:sz w:val="16"/>
              </w:rPr>
            </w:pPr>
          </w:p>
          <w:p>
            <w:pPr>
              <w:pStyle w:val="TableParagraph"/>
              <w:spacing w:before="105"/>
              <w:ind w:right="286"/>
              <w:jc w:val="right"/>
              <w:rPr>
                <w:sz w:val="16"/>
              </w:rPr>
            </w:pPr>
            <w:r>
              <w:rPr>
                <w:sz w:val="16"/>
              </w:rPr>
              <w:t>63</w:t>
            </w:r>
          </w:p>
        </w:tc>
        <w:tc>
          <w:tcPr>
            <w:tcW w:w="785" w:type="dxa"/>
          </w:tcPr>
          <w:p>
            <w:pPr>
              <w:pStyle w:val="TableParagraph"/>
              <w:rPr>
                <w:b/>
                <w:sz w:val="16"/>
              </w:rPr>
            </w:pPr>
          </w:p>
          <w:p>
            <w:pPr>
              <w:pStyle w:val="TableParagraph"/>
              <w:spacing w:before="105"/>
              <w:ind w:right="344"/>
              <w:jc w:val="right"/>
              <w:rPr>
                <w:sz w:val="16"/>
              </w:rPr>
            </w:pPr>
            <w:r>
              <w:rPr>
                <w:w w:val="100"/>
                <w:sz w:val="16"/>
              </w:rPr>
              <w:t>3</w:t>
            </w:r>
          </w:p>
        </w:tc>
      </w:tr>
      <w:tr>
        <w:trPr>
          <w:trHeight w:val="727" w:hRule="exact"/>
        </w:trPr>
        <w:tc>
          <w:tcPr>
            <w:tcW w:w="799" w:type="dxa"/>
          </w:tcPr>
          <w:p>
            <w:pPr>
              <w:pStyle w:val="TableParagraph"/>
              <w:rPr>
                <w:b/>
                <w:sz w:val="16"/>
              </w:rPr>
            </w:pPr>
          </w:p>
          <w:p>
            <w:pPr>
              <w:pStyle w:val="TableParagraph"/>
              <w:rPr>
                <w:b/>
                <w:sz w:val="16"/>
              </w:rPr>
            </w:pPr>
          </w:p>
          <w:p>
            <w:pPr>
              <w:pStyle w:val="TableParagraph"/>
              <w:spacing w:before="9"/>
              <w:rPr>
                <w:b/>
                <w:sz w:val="13"/>
              </w:rPr>
            </w:pPr>
          </w:p>
          <w:p>
            <w:pPr>
              <w:pStyle w:val="TableParagraph"/>
              <w:jc w:val="center"/>
              <w:rPr>
                <w:b/>
                <w:sz w:val="16"/>
              </w:rPr>
            </w:pPr>
            <w:r>
              <w:rPr>
                <w:b/>
                <w:w w:val="100"/>
                <w:sz w:val="16"/>
              </w:rPr>
              <w:t>2</w:t>
            </w:r>
          </w:p>
        </w:tc>
        <w:tc>
          <w:tcPr>
            <w:tcW w:w="1423" w:type="dxa"/>
          </w:tcPr>
          <w:p>
            <w:pPr>
              <w:pStyle w:val="TableParagraph"/>
              <w:rPr>
                <w:b/>
                <w:sz w:val="16"/>
              </w:rPr>
            </w:pPr>
          </w:p>
          <w:p>
            <w:pPr>
              <w:pStyle w:val="TableParagraph"/>
              <w:rPr>
                <w:b/>
                <w:sz w:val="16"/>
              </w:rPr>
            </w:pPr>
          </w:p>
          <w:p>
            <w:pPr>
              <w:pStyle w:val="TableParagraph"/>
              <w:rPr>
                <w:b/>
                <w:sz w:val="14"/>
              </w:rPr>
            </w:pPr>
          </w:p>
          <w:p>
            <w:pPr>
              <w:pStyle w:val="TableParagraph"/>
              <w:ind w:right="127"/>
              <w:jc w:val="right"/>
              <w:rPr>
                <w:sz w:val="16"/>
              </w:rPr>
            </w:pPr>
            <w:r>
              <w:rPr>
                <w:sz w:val="16"/>
              </w:rPr>
              <w:t>Barrios privados</w:t>
            </w:r>
          </w:p>
        </w:tc>
        <w:tc>
          <w:tcPr>
            <w:tcW w:w="1441" w:type="dxa"/>
          </w:tcPr>
          <w:p>
            <w:pPr>
              <w:pStyle w:val="TableParagraph"/>
              <w:rPr>
                <w:b/>
                <w:sz w:val="16"/>
              </w:rPr>
            </w:pPr>
          </w:p>
          <w:p>
            <w:pPr>
              <w:pStyle w:val="TableParagraph"/>
              <w:rPr>
                <w:b/>
                <w:sz w:val="16"/>
              </w:rPr>
            </w:pPr>
          </w:p>
          <w:p>
            <w:pPr>
              <w:pStyle w:val="TableParagraph"/>
              <w:rPr>
                <w:b/>
                <w:sz w:val="14"/>
              </w:rPr>
            </w:pPr>
          </w:p>
          <w:p>
            <w:pPr>
              <w:pStyle w:val="TableParagraph"/>
              <w:ind w:left="238" w:right="121"/>
              <w:rPr>
                <w:sz w:val="16"/>
              </w:rPr>
            </w:pPr>
            <w:r>
              <w:rPr>
                <w:sz w:val="16"/>
              </w:rPr>
              <w:t>Buenos Aires</w:t>
            </w:r>
          </w:p>
        </w:tc>
        <w:tc>
          <w:tcPr>
            <w:tcW w:w="1351" w:type="dxa"/>
          </w:tcPr>
          <w:p>
            <w:pPr>
              <w:pStyle w:val="TableParagraph"/>
              <w:rPr>
                <w:b/>
                <w:sz w:val="16"/>
              </w:rPr>
            </w:pPr>
          </w:p>
          <w:p>
            <w:pPr>
              <w:pStyle w:val="TableParagraph"/>
              <w:rPr>
                <w:b/>
                <w:sz w:val="16"/>
              </w:rPr>
            </w:pPr>
          </w:p>
          <w:p>
            <w:pPr>
              <w:pStyle w:val="TableParagraph"/>
              <w:rPr>
                <w:b/>
                <w:sz w:val="14"/>
              </w:rPr>
            </w:pPr>
          </w:p>
          <w:p>
            <w:pPr>
              <w:pStyle w:val="TableParagraph"/>
              <w:ind w:left="50" w:right="50"/>
              <w:jc w:val="center"/>
              <w:rPr>
                <w:sz w:val="16"/>
              </w:rPr>
            </w:pPr>
            <w:r>
              <w:rPr>
                <w:sz w:val="16"/>
              </w:rPr>
              <w:t>Nordelta</w:t>
            </w:r>
          </w:p>
        </w:tc>
        <w:tc>
          <w:tcPr>
            <w:tcW w:w="1119" w:type="dxa"/>
          </w:tcPr>
          <w:p>
            <w:pPr>
              <w:pStyle w:val="TableParagraph"/>
              <w:rPr>
                <w:b/>
                <w:sz w:val="14"/>
              </w:rPr>
            </w:pPr>
          </w:p>
          <w:p>
            <w:pPr>
              <w:pStyle w:val="TableParagraph"/>
              <w:spacing w:before="1"/>
              <w:ind w:left="93" w:right="95" w:hanging="2"/>
              <w:jc w:val="center"/>
              <w:rPr>
                <w:sz w:val="16"/>
              </w:rPr>
            </w:pPr>
            <w:r>
              <w:rPr>
                <w:sz w:val="16"/>
              </w:rPr>
              <w:t>Modelos estructurales de ciudad</w:t>
            </w:r>
          </w:p>
        </w:tc>
        <w:tc>
          <w:tcPr>
            <w:tcW w:w="1210" w:type="dxa"/>
          </w:tcPr>
          <w:p>
            <w:pPr>
              <w:pStyle w:val="TableParagraph"/>
              <w:rPr>
                <w:b/>
                <w:sz w:val="16"/>
              </w:rPr>
            </w:pPr>
          </w:p>
          <w:p>
            <w:pPr>
              <w:pStyle w:val="TableParagraph"/>
              <w:rPr>
                <w:b/>
                <w:sz w:val="16"/>
              </w:rPr>
            </w:pPr>
          </w:p>
          <w:p>
            <w:pPr>
              <w:pStyle w:val="TableParagraph"/>
              <w:rPr>
                <w:b/>
                <w:sz w:val="14"/>
              </w:rPr>
            </w:pPr>
          </w:p>
          <w:p>
            <w:pPr>
              <w:pStyle w:val="TableParagraph"/>
              <w:ind w:left="209" w:right="211"/>
              <w:jc w:val="center"/>
              <w:rPr>
                <w:sz w:val="16"/>
              </w:rPr>
            </w:pPr>
            <w:r>
              <w:rPr>
                <w:sz w:val="16"/>
              </w:rPr>
              <w:t>2002</w:t>
            </w:r>
          </w:p>
        </w:tc>
        <w:tc>
          <w:tcPr>
            <w:tcW w:w="764" w:type="dxa"/>
          </w:tcPr>
          <w:p>
            <w:pPr>
              <w:pStyle w:val="TableParagraph"/>
              <w:rPr>
                <w:b/>
                <w:sz w:val="16"/>
              </w:rPr>
            </w:pPr>
          </w:p>
          <w:p>
            <w:pPr>
              <w:pStyle w:val="TableParagraph"/>
              <w:rPr>
                <w:b/>
                <w:sz w:val="16"/>
              </w:rPr>
            </w:pPr>
          </w:p>
          <w:p>
            <w:pPr>
              <w:pStyle w:val="TableParagraph"/>
              <w:rPr>
                <w:b/>
                <w:sz w:val="14"/>
              </w:rPr>
            </w:pPr>
          </w:p>
          <w:p>
            <w:pPr>
              <w:pStyle w:val="TableParagraph"/>
              <w:ind w:right="286"/>
              <w:jc w:val="right"/>
              <w:rPr>
                <w:sz w:val="16"/>
              </w:rPr>
            </w:pPr>
            <w:r>
              <w:rPr>
                <w:sz w:val="16"/>
              </w:rPr>
              <w:t>53</w:t>
            </w:r>
          </w:p>
        </w:tc>
        <w:tc>
          <w:tcPr>
            <w:tcW w:w="785" w:type="dxa"/>
          </w:tcPr>
          <w:p>
            <w:pPr>
              <w:pStyle w:val="TableParagraph"/>
              <w:rPr>
                <w:b/>
                <w:sz w:val="16"/>
              </w:rPr>
            </w:pPr>
          </w:p>
          <w:p>
            <w:pPr>
              <w:pStyle w:val="TableParagraph"/>
              <w:rPr>
                <w:b/>
                <w:sz w:val="16"/>
              </w:rPr>
            </w:pPr>
          </w:p>
          <w:p>
            <w:pPr>
              <w:pStyle w:val="TableParagraph"/>
              <w:rPr>
                <w:b/>
                <w:sz w:val="14"/>
              </w:rPr>
            </w:pPr>
          </w:p>
          <w:p>
            <w:pPr>
              <w:pStyle w:val="TableParagraph"/>
              <w:ind w:right="344"/>
              <w:jc w:val="right"/>
              <w:rPr>
                <w:sz w:val="16"/>
              </w:rPr>
            </w:pPr>
            <w:r>
              <w:rPr>
                <w:w w:val="100"/>
                <w:sz w:val="16"/>
              </w:rPr>
              <w:t>1</w:t>
            </w:r>
          </w:p>
        </w:tc>
      </w:tr>
      <w:tr>
        <w:trPr>
          <w:trHeight w:val="485" w:hRule="exact"/>
        </w:trPr>
        <w:tc>
          <w:tcPr>
            <w:tcW w:w="799" w:type="dxa"/>
          </w:tcPr>
          <w:p>
            <w:pPr>
              <w:pStyle w:val="TableParagraph"/>
              <w:rPr>
                <w:b/>
                <w:sz w:val="16"/>
              </w:rPr>
            </w:pPr>
          </w:p>
          <w:p>
            <w:pPr>
              <w:pStyle w:val="TableParagraph"/>
              <w:spacing w:before="102"/>
              <w:jc w:val="center"/>
              <w:rPr>
                <w:b/>
                <w:sz w:val="16"/>
              </w:rPr>
            </w:pPr>
            <w:r>
              <w:rPr>
                <w:b/>
                <w:w w:val="100"/>
                <w:sz w:val="16"/>
              </w:rPr>
              <w:t>3</w:t>
            </w:r>
          </w:p>
        </w:tc>
        <w:tc>
          <w:tcPr>
            <w:tcW w:w="1423" w:type="dxa"/>
          </w:tcPr>
          <w:p>
            <w:pPr>
              <w:pStyle w:val="TableParagraph"/>
              <w:spacing w:before="104"/>
              <w:ind w:left="100" w:right="84" w:firstLine="283"/>
              <w:rPr>
                <w:sz w:val="16"/>
              </w:rPr>
            </w:pPr>
            <w:r>
              <w:rPr>
                <w:sz w:val="16"/>
              </w:rPr>
              <w:t>ciudades latinoamericanas</w:t>
            </w:r>
          </w:p>
        </w:tc>
        <w:tc>
          <w:tcPr>
            <w:tcW w:w="1441" w:type="dxa"/>
          </w:tcPr>
          <w:p>
            <w:pPr>
              <w:pStyle w:val="TableParagraph"/>
              <w:rPr>
                <w:b/>
                <w:sz w:val="16"/>
              </w:rPr>
            </w:pPr>
          </w:p>
          <w:p>
            <w:pPr>
              <w:pStyle w:val="TableParagraph"/>
              <w:spacing w:before="105"/>
              <w:ind w:right="100"/>
              <w:jc w:val="right"/>
              <w:rPr>
                <w:sz w:val="16"/>
              </w:rPr>
            </w:pPr>
            <w:r>
              <w:rPr>
                <w:sz w:val="16"/>
              </w:rPr>
              <w:t>modelos urbanos</w:t>
            </w:r>
          </w:p>
        </w:tc>
        <w:tc>
          <w:tcPr>
            <w:tcW w:w="1351" w:type="dxa"/>
          </w:tcPr>
          <w:p>
            <w:pPr>
              <w:pStyle w:val="TableParagraph"/>
              <w:spacing w:before="104"/>
              <w:ind w:left="91" w:right="74" w:firstLine="242"/>
              <w:rPr>
                <w:sz w:val="16"/>
              </w:rPr>
            </w:pPr>
            <w:r>
              <w:rPr>
                <w:sz w:val="16"/>
              </w:rPr>
              <w:t>geografía urbana alemana</w:t>
            </w:r>
          </w:p>
        </w:tc>
        <w:tc>
          <w:tcPr>
            <w:tcW w:w="1119" w:type="dxa"/>
          </w:tcPr>
          <w:p>
            <w:pPr/>
          </w:p>
        </w:tc>
        <w:tc>
          <w:tcPr>
            <w:tcW w:w="1210" w:type="dxa"/>
          </w:tcPr>
          <w:p>
            <w:pPr>
              <w:pStyle w:val="TableParagraph"/>
              <w:rPr>
                <w:b/>
                <w:sz w:val="16"/>
              </w:rPr>
            </w:pPr>
          </w:p>
          <w:p>
            <w:pPr>
              <w:pStyle w:val="TableParagraph"/>
              <w:spacing w:before="105"/>
              <w:ind w:left="209" w:right="211"/>
              <w:jc w:val="center"/>
              <w:rPr>
                <w:sz w:val="16"/>
              </w:rPr>
            </w:pPr>
            <w:r>
              <w:rPr>
                <w:sz w:val="16"/>
              </w:rPr>
              <w:t>2003</w:t>
            </w:r>
          </w:p>
        </w:tc>
        <w:tc>
          <w:tcPr>
            <w:tcW w:w="764" w:type="dxa"/>
          </w:tcPr>
          <w:p>
            <w:pPr>
              <w:pStyle w:val="TableParagraph"/>
              <w:rPr>
                <w:b/>
                <w:sz w:val="16"/>
              </w:rPr>
            </w:pPr>
          </w:p>
          <w:p>
            <w:pPr>
              <w:pStyle w:val="TableParagraph"/>
              <w:spacing w:before="105"/>
              <w:ind w:right="286"/>
              <w:jc w:val="right"/>
              <w:rPr>
                <w:sz w:val="16"/>
              </w:rPr>
            </w:pPr>
            <w:r>
              <w:rPr>
                <w:sz w:val="16"/>
              </w:rPr>
              <w:t>47</w:t>
            </w:r>
          </w:p>
        </w:tc>
        <w:tc>
          <w:tcPr>
            <w:tcW w:w="785" w:type="dxa"/>
          </w:tcPr>
          <w:p>
            <w:pPr>
              <w:pStyle w:val="TableParagraph"/>
              <w:rPr>
                <w:b/>
                <w:sz w:val="16"/>
              </w:rPr>
            </w:pPr>
          </w:p>
          <w:p>
            <w:pPr>
              <w:pStyle w:val="TableParagraph"/>
              <w:spacing w:before="105"/>
              <w:ind w:right="344"/>
              <w:jc w:val="right"/>
              <w:rPr>
                <w:sz w:val="16"/>
              </w:rPr>
            </w:pPr>
            <w:r>
              <w:rPr>
                <w:w w:val="100"/>
                <w:sz w:val="16"/>
              </w:rPr>
              <w:t>1</w:t>
            </w:r>
          </w:p>
        </w:tc>
      </w:tr>
      <w:tr>
        <w:trPr>
          <w:trHeight w:val="488" w:hRule="exact"/>
        </w:trPr>
        <w:tc>
          <w:tcPr>
            <w:tcW w:w="799" w:type="dxa"/>
          </w:tcPr>
          <w:p>
            <w:pPr>
              <w:pStyle w:val="TableParagraph"/>
              <w:rPr>
                <w:b/>
                <w:sz w:val="16"/>
              </w:rPr>
            </w:pPr>
          </w:p>
          <w:p>
            <w:pPr>
              <w:pStyle w:val="TableParagraph"/>
              <w:spacing w:before="105"/>
              <w:jc w:val="center"/>
              <w:rPr>
                <w:b/>
                <w:sz w:val="16"/>
              </w:rPr>
            </w:pPr>
            <w:r>
              <w:rPr>
                <w:b/>
                <w:w w:val="100"/>
                <w:sz w:val="16"/>
              </w:rPr>
              <w:t>4</w:t>
            </w:r>
          </w:p>
        </w:tc>
        <w:tc>
          <w:tcPr>
            <w:tcW w:w="1423" w:type="dxa"/>
          </w:tcPr>
          <w:p>
            <w:pPr>
              <w:pStyle w:val="TableParagraph"/>
              <w:spacing w:before="107"/>
              <w:ind w:left="455" w:right="80" w:hanging="360"/>
              <w:rPr>
                <w:sz w:val="16"/>
              </w:rPr>
            </w:pPr>
            <w:r>
              <w:rPr>
                <w:sz w:val="16"/>
              </w:rPr>
              <w:t>Precios del suelo urbano</w:t>
            </w:r>
          </w:p>
        </w:tc>
        <w:tc>
          <w:tcPr>
            <w:tcW w:w="1441" w:type="dxa"/>
          </w:tcPr>
          <w:p>
            <w:pPr>
              <w:pStyle w:val="TableParagraph"/>
              <w:rPr>
                <w:b/>
                <w:sz w:val="16"/>
              </w:rPr>
            </w:pPr>
          </w:p>
          <w:p>
            <w:pPr>
              <w:pStyle w:val="TableParagraph"/>
              <w:spacing w:before="108"/>
              <w:ind w:left="252" w:right="121"/>
              <w:rPr>
                <w:sz w:val="16"/>
              </w:rPr>
            </w:pPr>
            <w:r>
              <w:rPr>
                <w:sz w:val="16"/>
              </w:rPr>
              <w:t>liberalización</w:t>
            </w:r>
          </w:p>
        </w:tc>
        <w:tc>
          <w:tcPr>
            <w:tcW w:w="1351" w:type="dxa"/>
          </w:tcPr>
          <w:p>
            <w:pPr>
              <w:pStyle w:val="TableParagraph"/>
              <w:spacing w:before="107"/>
              <w:ind w:left="419" w:right="218" w:hanging="188"/>
              <w:rPr>
                <w:sz w:val="16"/>
              </w:rPr>
            </w:pPr>
            <w:r>
              <w:rPr>
                <w:sz w:val="16"/>
              </w:rPr>
              <w:t>segregación urbana</w:t>
            </w:r>
          </w:p>
        </w:tc>
        <w:tc>
          <w:tcPr>
            <w:tcW w:w="1119" w:type="dxa"/>
          </w:tcPr>
          <w:p>
            <w:pPr/>
          </w:p>
        </w:tc>
        <w:tc>
          <w:tcPr>
            <w:tcW w:w="1210" w:type="dxa"/>
          </w:tcPr>
          <w:p>
            <w:pPr>
              <w:pStyle w:val="TableParagraph"/>
              <w:rPr>
                <w:b/>
                <w:sz w:val="16"/>
              </w:rPr>
            </w:pPr>
          </w:p>
          <w:p>
            <w:pPr>
              <w:pStyle w:val="TableParagraph"/>
              <w:spacing w:before="108"/>
              <w:ind w:left="209" w:right="211"/>
              <w:jc w:val="center"/>
              <w:rPr>
                <w:sz w:val="16"/>
              </w:rPr>
            </w:pPr>
            <w:r>
              <w:rPr>
                <w:sz w:val="16"/>
              </w:rPr>
              <w:t>2000</w:t>
            </w:r>
          </w:p>
        </w:tc>
        <w:tc>
          <w:tcPr>
            <w:tcW w:w="764" w:type="dxa"/>
          </w:tcPr>
          <w:p>
            <w:pPr>
              <w:pStyle w:val="TableParagraph"/>
              <w:rPr>
                <w:b/>
                <w:sz w:val="16"/>
              </w:rPr>
            </w:pPr>
          </w:p>
          <w:p>
            <w:pPr>
              <w:pStyle w:val="TableParagraph"/>
              <w:spacing w:before="108"/>
              <w:ind w:right="286"/>
              <w:jc w:val="right"/>
              <w:rPr>
                <w:sz w:val="16"/>
              </w:rPr>
            </w:pPr>
            <w:r>
              <w:rPr>
                <w:sz w:val="16"/>
              </w:rPr>
              <w:t>31</w:t>
            </w:r>
          </w:p>
        </w:tc>
        <w:tc>
          <w:tcPr>
            <w:tcW w:w="785" w:type="dxa"/>
          </w:tcPr>
          <w:p>
            <w:pPr>
              <w:pStyle w:val="TableParagraph"/>
              <w:rPr>
                <w:b/>
                <w:sz w:val="16"/>
              </w:rPr>
            </w:pPr>
          </w:p>
          <w:p>
            <w:pPr>
              <w:pStyle w:val="TableParagraph"/>
              <w:spacing w:before="108"/>
              <w:ind w:right="344"/>
              <w:jc w:val="right"/>
              <w:rPr>
                <w:sz w:val="16"/>
              </w:rPr>
            </w:pPr>
            <w:r>
              <w:rPr>
                <w:w w:val="100"/>
                <w:sz w:val="16"/>
              </w:rPr>
              <w:t>1</w:t>
            </w:r>
          </w:p>
        </w:tc>
      </w:tr>
      <w:tr>
        <w:trPr>
          <w:trHeight w:val="487" w:hRule="exact"/>
        </w:trPr>
        <w:tc>
          <w:tcPr>
            <w:tcW w:w="799" w:type="dxa"/>
          </w:tcPr>
          <w:p>
            <w:pPr>
              <w:pStyle w:val="TableParagraph"/>
              <w:rPr>
                <w:b/>
                <w:sz w:val="16"/>
              </w:rPr>
            </w:pPr>
          </w:p>
          <w:p>
            <w:pPr>
              <w:pStyle w:val="TableParagraph"/>
              <w:spacing w:before="105"/>
              <w:jc w:val="center"/>
              <w:rPr>
                <w:b/>
                <w:sz w:val="16"/>
              </w:rPr>
            </w:pPr>
            <w:r>
              <w:rPr>
                <w:b/>
                <w:w w:val="100"/>
                <w:sz w:val="16"/>
              </w:rPr>
              <w:t>5</w:t>
            </w:r>
          </w:p>
        </w:tc>
        <w:tc>
          <w:tcPr>
            <w:tcW w:w="1423" w:type="dxa"/>
          </w:tcPr>
          <w:p>
            <w:pPr>
              <w:pStyle w:val="TableParagraph"/>
              <w:spacing w:before="106"/>
              <w:ind w:left="393" w:right="152" w:hanging="228"/>
              <w:rPr>
                <w:sz w:val="16"/>
              </w:rPr>
            </w:pPr>
            <w:r>
              <w:rPr>
                <w:sz w:val="16"/>
              </w:rPr>
              <w:t>urbanizaciones cerradas</w:t>
            </w:r>
          </w:p>
        </w:tc>
        <w:tc>
          <w:tcPr>
            <w:tcW w:w="1441" w:type="dxa"/>
          </w:tcPr>
          <w:p>
            <w:pPr>
              <w:pStyle w:val="TableParagraph"/>
              <w:spacing w:before="106"/>
              <w:ind w:left="122" w:right="121" w:firstLine="22"/>
              <w:rPr>
                <w:sz w:val="16"/>
              </w:rPr>
            </w:pPr>
            <w:r>
              <w:rPr>
                <w:sz w:val="16"/>
              </w:rPr>
              <w:t>trasformaciones socio-espaciales</w:t>
            </w:r>
          </w:p>
        </w:tc>
        <w:tc>
          <w:tcPr>
            <w:tcW w:w="1351" w:type="dxa"/>
          </w:tcPr>
          <w:p>
            <w:pPr>
              <w:pStyle w:val="TableParagraph"/>
              <w:spacing w:before="106"/>
              <w:ind w:left="487" w:right="225" w:hanging="245"/>
              <w:rPr>
                <w:sz w:val="16"/>
              </w:rPr>
            </w:pPr>
            <w:r>
              <w:rPr>
                <w:sz w:val="16"/>
              </w:rPr>
              <w:t>Santiago de Chile</w:t>
            </w:r>
          </w:p>
        </w:tc>
        <w:tc>
          <w:tcPr>
            <w:tcW w:w="1119" w:type="dxa"/>
          </w:tcPr>
          <w:p>
            <w:pPr/>
          </w:p>
        </w:tc>
        <w:tc>
          <w:tcPr>
            <w:tcW w:w="1210" w:type="dxa"/>
          </w:tcPr>
          <w:p>
            <w:pPr>
              <w:pStyle w:val="TableParagraph"/>
              <w:rPr>
                <w:b/>
                <w:sz w:val="16"/>
              </w:rPr>
            </w:pPr>
          </w:p>
          <w:p>
            <w:pPr>
              <w:pStyle w:val="TableParagraph"/>
              <w:spacing w:before="107"/>
              <w:ind w:left="209" w:right="211"/>
              <w:jc w:val="center"/>
              <w:rPr>
                <w:sz w:val="16"/>
              </w:rPr>
            </w:pPr>
            <w:r>
              <w:rPr>
                <w:sz w:val="16"/>
              </w:rPr>
              <w:t>2004</w:t>
            </w:r>
          </w:p>
        </w:tc>
        <w:tc>
          <w:tcPr>
            <w:tcW w:w="764" w:type="dxa"/>
          </w:tcPr>
          <w:p>
            <w:pPr>
              <w:pStyle w:val="TableParagraph"/>
              <w:rPr>
                <w:b/>
                <w:sz w:val="16"/>
              </w:rPr>
            </w:pPr>
          </w:p>
          <w:p>
            <w:pPr>
              <w:pStyle w:val="TableParagraph"/>
              <w:spacing w:before="107"/>
              <w:ind w:right="286"/>
              <w:jc w:val="right"/>
              <w:rPr>
                <w:sz w:val="16"/>
              </w:rPr>
            </w:pPr>
            <w:r>
              <w:rPr>
                <w:sz w:val="16"/>
              </w:rPr>
              <w:t>26</w:t>
            </w:r>
          </w:p>
        </w:tc>
        <w:tc>
          <w:tcPr>
            <w:tcW w:w="785" w:type="dxa"/>
          </w:tcPr>
          <w:p>
            <w:pPr>
              <w:pStyle w:val="TableParagraph"/>
              <w:rPr>
                <w:b/>
                <w:sz w:val="16"/>
              </w:rPr>
            </w:pPr>
          </w:p>
          <w:p>
            <w:pPr>
              <w:pStyle w:val="TableParagraph"/>
              <w:spacing w:before="107"/>
              <w:ind w:right="344"/>
              <w:jc w:val="right"/>
              <w:rPr>
                <w:sz w:val="16"/>
              </w:rPr>
            </w:pPr>
            <w:r>
              <w:rPr>
                <w:w w:val="100"/>
                <w:sz w:val="16"/>
              </w:rPr>
              <w:t>1</w:t>
            </w:r>
          </w:p>
        </w:tc>
      </w:tr>
      <w:tr>
        <w:trPr>
          <w:trHeight w:val="487" w:hRule="exact"/>
        </w:trPr>
        <w:tc>
          <w:tcPr>
            <w:tcW w:w="799" w:type="dxa"/>
          </w:tcPr>
          <w:p>
            <w:pPr>
              <w:pStyle w:val="TableParagraph"/>
              <w:rPr>
                <w:b/>
                <w:sz w:val="16"/>
              </w:rPr>
            </w:pPr>
          </w:p>
          <w:p>
            <w:pPr>
              <w:pStyle w:val="TableParagraph"/>
              <w:spacing w:before="105"/>
              <w:jc w:val="center"/>
              <w:rPr>
                <w:b/>
                <w:sz w:val="16"/>
              </w:rPr>
            </w:pPr>
            <w:r>
              <w:rPr>
                <w:b/>
                <w:w w:val="100"/>
                <w:sz w:val="16"/>
              </w:rPr>
              <w:t>6</w:t>
            </w:r>
          </w:p>
        </w:tc>
        <w:tc>
          <w:tcPr>
            <w:tcW w:w="1423" w:type="dxa"/>
          </w:tcPr>
          <w:p>
            <w:pPr>
              <w:pStyle w:val="TableParagraph"/>
              <w:rPr>
                <w:b/>
                <w:sz w:val="16"/>
              </w:rPr>
            </w:pPr>
          </w:p>
          <w:p>
            <w:pPr>
              <w:pStyle w:val="TableParagraph"/>
              <w:spacing w:before="107"/>
              <w:ind w:left="319" w:right="241"/>
              <w:rPr>
                <w:sz w:val="16"/>
              </w:rPr>
            </w:pPr>
            <w:r>
              <w:rPr>
                <w:sz w:val="16"/>
              </w:rPr>
              <w:t>Innovación</w:t>
            </w:r>
          </w:p>
        </w:tc>
        <w:tc>
          <w:tcPr>
            <w:tcW w:w="1441" w:type="dxa"/>
          </w:tcPr>
          <w:p>
            <w:pPr>
              <w:pStyle w:val="TableParagraph"/>
              <w:spacing w:before="106"/>
              <w:ind w:left="100" w:right="83" w:firstLine="271"/>
              <w:rPr>
                <w:sz w:val="16"/>
              </w:rPr>
            </w:pPr>
            <w:r>
              <w:rPr>
                <w:sz w:val="16"/>
              </w:rPr>
              <w:t>Desarrollo Territorial y Local</w:t>
            </w:r>
          </w:p>
        </w:tc>
        <w:tc>
          <w:tcPr>
            <w:tcW w:w="1351" w:type="dxa"/>
          </w:tcPr>
          <w:p>
            <w:pPr>
              <w:pStyle w:val="TableParagraph"/>
              <w:rPr>
                <w:b/>
                <w:sz w:val="16"/>
              </w:rPr>
            </w:pPr>
          </w:p>
          <w:p>
            <w:pPr>
              <w:pStyle w:val="TableParagraph"/>
              <w:spacing w:before="107"/>
              <w:ind w:left="50" w:right="48"/>
              <w:jc w:val="center"/>
              <w:rPr>
                <w:sz w:val="16"/>
              </w:rPr>
            </w:pPr>
            <w:r>
              <w:rPr>
                <w:sz w:val="16"/>
              </w:rPr>
              <w:t>Empresa</w:t>
            </w:r>
          </w:p>
        </w:tc>
        <w:tc>
          <w:tcPr>
            <w:tcW w:w="1119" w:type="dxa"/>
          </w:tcPr>
          <w:p>
            <w:pPr>
              <w:pStyle w:val="TableParagraph"/>
              <w:spacing w:before="106"/>
              <w:ind w:left="156" w:right="141" w:firstLine="40"/>
              <w:rPr>
                <w:sz w:val="16"/>
              </w:rPr>
            </w:pPr>
            <w:r>
              <w:rPr>
                <w:sz w:val="16"/>
              </w:rPr>
              <w:t>Geografía Económica</w:t>
            </w:r>
          </w:p>
        </w:tc>
        <w:tc>
          <w:tcPr>
            <w:tcW w:w="1210" w:type="dxa"/>
          </w:tcPr>
          <w:p>
            <w:pPr>
              <w:pStyle w:val="TableParagraph"/>
              <w:rPr>
                <w:b/>
                <w:sz w:val="16"/>
              </w:rPr>
            </w:pPr>
          </w:p>
          <w:p>
            <w:pPr>
              <w:pStyle w:val="TableParagraph"/>
              <w:spacing w:before="107"/>
              <w:ind w:left="209" w:right="211"/>
              <w:jc w:val="center"/>
              <w:rPr>
                <w:sz w:val="16"/>
              </w:rPr>
            </w:pPr>
            <w:r>
              <w:rPr>
                <w:sz w:val="16"/>
              </w:rPr>
              <w:t>2002</w:t>
            </w:r>
          </w:p>
        </w:tc>
        <w:tc>
          <w:tcPr>
            <w:tcW w:w="764" w:type="dxa"/>
          </w:tcPr>
          <w:p>
            <w:pPr>
              <w:pStyle w:val="TableParagraph"/>
              <w:rPr>
                <w:b/>
                <w:sz w:val="16"/>
              </w:rPr>
            </w:pPr>
          </w:p>
          <w:p>
            <w:pPr>
              <w:pStyle w:val="TableParagraph"/>
              <w:spacing w:before="107"/>
              <w:ind w:right="286"/>
              <w:jc w:val="right"/>
              <w:rPr>
                <w:sz w:val="16"/>
              </w:rPr>
            </w:pPr>
            <w:r>
              <w:rPr>
                <w:sz w:val="16"/>
              </w:rPr>
              <w:t>26</w:t>
            </w:r>
          </w:p>
        </w:tc>
        <w:tc>
          <w:tcPr>
            <w:tcW w:w="785" w:type="dxa"/>
          </w:tcPr>
          <w:p>
            <w:pPr>
              <w:pStyle w:val="TableParagraph"/>
              <w:rPr>
                <w:b/>
                <w:sz w:val="16"/>
              </w:rPr>
            </w:pPr>
          </w:p>
          <w:p>
            <w:pPr>
              <w:pStyle w:val="TableParagraph"/>
              <w:spacing w:before="107"/>
              <w:ind w:right="344"/>
              <w:jc w:val="right"/>
              <w:rPr>
                <w:sz w:val="16"/>
              </w:rPr>
            </w:pPr>
            <w:r>
              <w:rPr>
                <w:w w:val="100"/>
                <w:sz w:val="16"/>
              </w:rPr>
              <w:t>1</w:t>
            </w:r>
          </w:p>
        </w:tc>
      </w:tr>
      <w:tr>
        <w:trPr>
          <w:trHeight w:val="264" w:hRule="exact"/>
        </w:trPr>
        <w:tc>
          <w:tcPr>
            <w:tcW w:w="799" w:type="dxa"/>
          </w:tcPr>
          <w:p>
            <w:pPr>
              <w:pStyle w:val="TableParagraph"/>
              <w:spacing w:before="66"/>
              <w:jc w:val="center"/>
              <w:rPr>
                <w:b/>
                <w:sz w:val="16"/>
              </w:rPr>
            </w:pPr>
            <w:r>
              <w:rPr>
                <w:b/>
                <w:w w:val="100"/>
                <w:sz w:val="16"/>
              </w:rPr>
              <w:t>7</w:t>
            </w:r>
          </w:p>
        </w:tc>
        <w:tc>
          <w:tcPr>
            <w:tcW w:w="1423" w:type="dxa"/>
          </w:tcPr>
          <w:p>
            <w:pPr>
              <w:pStyle w:val="TableParagraph"/>
              <w:spacing w:before="68"/>
              <w:ind w:right="2"/>
              <w:jc w:val="center"/>
              <w:rPr>
                <w:sz w:val="16"/>
              </w:rPr>
            </w:pPr>
            <w:r>
              <w:rPr>
                <w:w w:val="100"/>
                <w:sz w:val="16"/>
              </w:rPr>
              <w:t>0</w:t>
            </w:r>
          </w:p>
        </w:tc>
        <w:tc>
          <w:tcPr>
            <w:tcW w:w="1441" w:type="dxa"/>
          </w:tcPr>
          <w:p>
            <w:pPr>
              <w:pStyle w:val="TableParagraph"/>
              <w:spacing w:before="68"/>
              <w:ind w:right="1"/>
              <w:jc w:val="center"/>
              <w:rPr>
                <w:sz w:val="16"/>
              </w:rPr>
            </w:pPr>
            <w:r>
              <w:rPr>
                <w:w w:val="100"/>
                <w:sz w:val="16"/>
              </w:rPr>
              <w:t>0</w:t>
            </w:r>
          </w:p>
        </w:tc>
        <w:tc>
          <w:tcPr>
            <w:tcW w:w="1351" w:type="dxa"/>
          </w:tcPr>
          <w:p>
            <w:pPr>
              <w:pStyle w:val="TableParagraph"/>
              <w:spacing w:before="68"/>
              <w:jc w:val="center"/>
              <w:rPr>
                <w:sz w:val="16"/>
              </w:rPr>
            </w:pPr>
            <w:r>
              <w:rPr>
                <w:w w:val="100"/>
                <w:sz w:val="16"/>
              </w:rPr>
              <w:t>0</w:t>
            </w:r>
          </w:p>
        </w:tc>
        <w:tc>
          <w:tcPr>
            <w:tcW w:w="1119" w:type="dxa"/>
          </w:tcPr>
          <w:p>
            <w:pPr>
              <w:pStyle w:val="TableParagraph"/>
              <w:spacing w:before="68"/>
              <w:ind w:right="4"/>
              <w:jc w:val="center"/>
              <w:rPr>
                <w:sz w:val="16"/>
              </w:rPr>
            </w:pPr>
            <w:r>
              <w:rPr>
                <w:w w:val="100"/>
                <w:sz w:val="16"/>
              </w:rPr>
              <w:t>0</w:t>
            </w:r>
          </w:p>
        </w:tc>
        <w:tc>
          <w:tcPr>
            <w:tcW w:w="1210" w:type="dxa"/>
          </w:tcPr>
          <w:p>
            <w:pPr>
              <w:pStyle w:val="TableParagraph"/>
              <w:spacing w:before="68"/>
              <w:ind w:left="209" w:right="211"/>
              <w:jc w:val="center"/>
              <w:rPr>
                <w:sz w:val="16"/>
              </w:rPr>
            </w:pPr>
            <w:r>
              <w:rPr>
                <w:sz w:val="16"/>
              </w:rPr>
              <w:t>2002</w:t>
            </w:r>
          </w:p>
        </w:tc>
        <w:tc>
          <w:tcPr>
            <w:tcW w:w="764" w:type="dxa"/>
          </w:tcPr>
          <w:p>
            <w:pPr>
              <w:pStyle w:val="TableParagraph"/>
              <w:spacing w:before="68"/>
              <w:ind w:right="286"/>
              <w:jc w:val="right"/>
              <w:rPr>
                <w:sz w:val="16"/>
              </w:rPr>
            </w:pPr>
            <w:r>
              <w:rPr>
                <w:sz w:val="16"/>
              </w:rPr>
              <w:t>25</w:t>
            </w:r>
          </w:p>
        </w:tc>
        <w:tc>
          <w:tcPr>
            <w:tcW w:w="785" w:type="dxa"/>
          </w:tcPr>
          <w:p>
            <w:pPr>
              <w:pStyle w:val="TableParagraph"/>
              <w:spacing w:before="68"/>
              <w:ind w:right="344"/>
              <w:jc w:val="right"/>
              <w:rPr>
                <w:sz w:val="16"/>
              </w:rPr>
            </w:pPr>
            <w:r>
              <w:rPr>
                <w:w w:val="100"/>
                <w:sz w:val="16"/>
              </w:rPr>
              <w:t>1</w:t>
            </w:r>
          </w:p>
        </w:tc>
      </w:tr>
      <w:tr>
        <w:trPr>
          <w:trHeight w:val="487" w:hRule="exact"/>
        </w:trPr>
        <w:tc>
          <w:tcPr>
            <w:tcW w:w="799" w:type="dxa"/>
          </w:tcPr>
          <w:p>
            <w:pPr>
              <w:pStyle w:val="TableParagraph"/>
              <w:rPr>
                <w:b/>
                <w:sz w:val="16"/>
              </w:rPr>
            </w:pPr>
          </w:p>
          <w:p>
            <w:pPr>
              <w:pStyle w:val="TableParagraph"/>
              <w:spacing w:before="102"/>
              <w:jc w:val="center"/>
              <w:rPr>
                <w:b/>
                <w:sz w:val="16"/>
              </w:rPr>
            </w:pPr>
            <w:r>
              <w:rPr>
                <w:b/>
                <w:w w:val="100"/>
                <w:sz w:val="16"/>
              </w:rPr>
              <w:t>8</w:t>
            </w:r>
          </w:p>
        </w:tc>
        <w:tc>
          <w:tcPr>
            <w:tcW w:w="1423" w:type="dxa"/>
          </w:tcPr>
          <w:p>
            <w:pPr>
              <w:pStyle w:val="TableParagraph"/>
              <w:rPr>
                <w:b/>
                <w:sz w:val="16"/>
              </w:rPr>
            </w:pPr>
          </w:p>
          <w:p>
            <w:pPr>
              <w:pStyle w:val="TableParagraph"/>
              <w:spacing w:before="105"/>
              <w:ind w:left="227" w:right="84"/>
              <w:rPr>
                <w:sz w:val="16"/>
              </w:rPr>
            </w:pPr>
            <w:r>
              <w:rPr>
                <w:sz w:val="16"/>
              </w:rPr>
              <w:t>Buenos Aires</w:t>
            </w:r>
          </w:p>
        </w:tc>
        <w:tc>
          <w:tcPr>
            <w:tcW w:w="1441" w:type="dxa"/>
          </w:tcPr>
          <w:p>
            <w:pPr>
              <w:pStyle w:val="TableParagraph"/>
              <w:rPr>
                <w:b/>
                <w:sz w:val="16"/>
              </w:rPr>
            </w:pPr>
          </w:p>
          <w:p>
            <w:pPr>
              <w:pStyle w:val="TableParagraph"/>
              <w:spacing w:before="105"/>
              <w:ind w:right="118"/>
              <w:jc w:val="right"/>
              <w:rPr>
                <w:sz w:val="16"/>
              </w:rPr>
            </w:pPr>
            <w:r>
              <w:rPr>
                <w:sz w:val="16"/>
              </w:rPr>
              <w:t>Suburbanización</w:t>
            </w:r>
          </w:p>
        </w:tc>
        <w:tc>
          <w:tcPr>
            <w:tcW w:w="1351" w:type="dxa"/>
          </w:tcPr>
          <w:p>
            <w:pPr>
              <w:pStyle w:val="TableParagraph"/>
              <w:spacing w:before="106"/>
              <w:ind w:left="287" w:right="204" w:hanging="68"/>
              <w:rPr>
                <w:sz w:val="16"/>
              </w:rPr>
            </w:pPr>
            <w:r>
              <w:rPr>
                <w:sz w:val="16"/>
              </w:rPr>
              <w:t>Segregación residencial</w:t>
            </w:r>
          </w:p>
        </w:tc>
        <w:tc>
          <w:tcPr>
            <w:tcW w:w="1119" w:type="dxa"/>
          </w:tcPr>
          <w:p>
            <w:pPr>
              <w:pStyle w:val="TableParagraph"/>
              <w:spacing w:before="106"/>
              <w:ind w:left="199" w:right="187" w:firstLine="98"/>
              <w:rPr>
                <w:sz w:val="16"/>
              </w:rPr>
            </w:pPr>
            <w:r>
              <w:rPr>
                <w:sz w:val="16"/>
              </w:rPr>
              <w:t>Barrios Cerrados.</w:t>
            </w:r>
          </w:p>
        </w:tc>
        <w:tc>
          <w:tcPr>
            <w:tcW w:w="1210" w:type="dxa"/>
          </w:tcPr>
          <w:p>
            <w:pPr>
              <w:pStyle w:val="TableParagraph"/>
              <w:rPr>
                <w:b/>
                <w:sz w:val="16"/>
              </w:rPr>
            </w:pPr>
          </w:p>
          <w:p>
            <w:pPr>
              <w:pStyle w:val="TableParagraph"/>
              <w:spacing w:before="105"/>
              <w:ind w:left="209" w:right="211"/>
              <w:jc w:val="center"/>
              <w:rPr>
                <w:sz w:val="16"/>
              </w:rPr>
            </w:pPr>
            <w:r>
              <w:rPr>
                <w:sz w:val="16"/>
              </w:rPr>
              <w:t>2001</w:t>
            </w:r>
          </w:p>
        </w:tc>
        <w:tc>
          <w:tcPr>
            <w:tcW w:w="764" w:type="dxa"/>
          </w:tcPr>
          <w:p>
            <w:pPr>
              <w:pStyle w:val="TableParagraph"/>
              <w:rPr>
                <w:b/>
                <w:sz w:val="16"/>
              </w:rPr>
            </w:pPr>
          </w:p>
          <w:p>
            <w:pPr>
              <w:pStyle w:val="TableParagraph"/>
              <w:spacing w:before="105"/>
              <w:ind w:right="286"/>
              <w:jc w:val="right"/>
              <w:rPr>
                <w:sz w:val="16"/>
              </w:rPr>
            </w:pPr>
            <w:r>
              <w:rPr>
                <w:sz w:val="16"/>
              </w:rPr>
              <w:t>23</w:t>
            </w:r>
          </w:p>
        </w:tc>
        <w:tc>
          <w:tcPr>
            <w:tcW w:w="785" w:type="dxa"/>
          </w:tcPr>
          <w:p>
            <w:pPr>
              <w:pStyle w:val="TableParagraph"/>
              <w:rPr>
                <w:b/>
                <w:sz w:val="16"/>
              </w:rPr>
            </w:pPr>
          </w:p>
          <w:p>
            <w:pPr>
              <w:pStyle w:val="TableParagraph"/>
              <w:spacing w:before="105"/>
              <w:ind w:right="344"/>
              <w:jc w:val="right"/>
              <w:rPr>
                <w:sz w:val="16"/>
              </w:rPr>
            </w:pPr>
            <w:r>
              <w:rPr>
                <w:w w:val="100"/>
                <w:sz w:val="16"/>
              </w:rPr>
              <w:t>1</w:t>
            </w:r>
          </w:p>
        </w:tc>
      </w:tr>
      <w:tr>
        <w:trPr>
          <w:trHeight w:val="487" w:hRule="exact"/>
        </w:trPr>
        <w:tc>
          <w:tcPr>
            <w:tcW w:w="799" w:type="dxa"/>
          </w:tcPr>
          <w:p>
            <w:pPr>
              <w:pStyle w:val="TableParagraph"/>
              <w:rPr>
                <w:b/>
                <w:sz w:val="16"/>
              </w:rPr>
            </w:pPr>
          </w:p>
          <w:p>
            <w:pPr>
              <w:pStyle w:val="TableParagraph"/>
              <w:spacing w:before="102"/>
              <w:jc w:val="center"/>
              <w:rPr>
                <w:b/>
                <w:sz w:val="16"/>
              </w:rPr>
            </w:pPr>
            <w:r>
              <w:rPr>
                <w:b/>
                <w:w w:val="100"/>
                <w:sz w:val="16"/>
              </w:rPr>
              <w:t>9</w:t>
            </w:r>
          </w:p>
        </w:tc>
        <w:tc>
          <w:tcPr>
            <w:tcW w:w="1423" w:type="dxa"/>
          </w:tcPr>
          <w:p>
            <w:pPr>
              <w:pStyle w:val="TableParagraph"/>
              <w:spacing w:before="106"/>
              <w:ind w:left="194" w:right="176" w:firstLine="55"/>
              <w:rPr>
                <w:sz w:val="16"/>
              </w:rPr>
            </w:pPr>
            <w:r>
              <w:rPr>
                <w:sz w:val="16"/>
              </w:rPr>
              <w:t>conmutación entre regiones</w:t>
            </w:r>
          </w:p>
        </w:tc>
        <w:tc>
          <w:tcPr>
            <w:tcW w:w="1441" w:type="dxa"/>
          </w:tcPr>
          <w:p>
            <w:pPr>
              <w:pStyle w:val="TableParagraph"/>
              <w:spacing w:before="106"/>
              <w:ind w:left="430" w:right="346" w:hanging="68"/>
              <w:rPr>
                <w:sz w:val="16"/>
              </w:rPr>
            </w:pPr>
            <w:r>
              <w:rPr>
                <w:sz w:val="16"/>
              </w:rPr>
              <w:t>desarrollo regional</w:t>
            </w:r>
          </w:p>
        </w:tc>
        <w:tc>
          <w:tcPr>
            <w:tcW w:w="1351" w:type="dxa"/>
          </w:tcPr>
          <w:p>
            <w:pPr>
              <w:pStyle w:val="TableParagraph"/>
              <w:spacing w:before="106"/>
              <w:ind w:left="391" w:right="159" w:hanging="216"/>
              <w:rPr>
                <w:sz w:val="16"/>
              </w:rPr>
            </w:pPr>
            <w:r>
              <w:rPr>
                <w:sz w:val="16"/>
              </w:rPr>
              <w:t>evaluación de impacto</w:t>
            </w:r>
          </w:p>
        </w:tc>
        <w:tc>
          <w:tcPr>
            <w:tcW w:w="1119" w:type="dxa"/>
          </w:tcPr>
          <w:p>
            <w:pPr/>
          </w:p>
        </w:tc>
        <w:tc>
          <w:tcPr>
            <w:tcW w:w="1210" w:type="dxa"/>
          </w:tcPr>
          <w:p>
            <w:pPr>
              <w:pStyle w:val="TableParagraph"/>
              <w:rPr>
                <w:b/>
                <w:sz w:val="16"/>
              </w:rPr>
            </w:pPr>
          </w:p>
          <w:p>
            <w:pPr>
              <w:pStyle w:val="TableParagraph"/>
              <w:spacing w:before="105"/>
              <w:ind w:left="209" w:right="211"/>
              <w:jc w:val="center"/>
              <w:rPr>
                <w:sz w:val="16"/>
              </w:rPr>
            </w:pPr>
            <w:r>
              <w:rPr>
                <w:sz w:val="16"/>
              </w:rPr>
              <w:t>2008</w:t>
            </w:r>
          </w:p>
        </w:tc>
        <w:tc>
          <w:tcPr>
            <w:tcW w:w="764" w:type="dxa"/>
          </w:tcPr>
          <w:p>
            <w:pPr>
              <w:pStyle w:val="TableParagraph"/>
              <w:rPr>
                <w:b/>
                <w:sz w:val="16"/>
              </w:rPr>
            </w:pPr>
          </w:p>
          <w:p>
            <w:pPr>
              <w:pStyle w:val="TableParagraph"/>
              <w:spacing w:before="105"/>
              <w:ind w:right="286"/>
              <w:jc w:val="right"/>
              <w:rPr>
                <w:sz w:val="16"/>
              </w:rPr>
            </w:pPr>
            <w:r>
              <w:rPr>
                <w:sz w:val="16"/>
              </w:rPr>
              <w:t>21</w:t>
            </w:r>
          </w:p>
        </w:tc>
        <w:tc>
          <w:tcPr>
            <w:tcW w:w="785" w:type="dxa"/>
          </w:tcPr>
          <w:p>
            <w:pPr>
              <w:pStyle w:val="TableParagraph"/>
              <w:rPr>
                <w:b/>
                <w:sz w:val="16"/>
              </w:rPr>
            </w:pPr>
          </w:p>
          <w:p>
            <w:pPr>
              <w:pStyle w:val="TableParagraph"/>
              <w:spacing w:before="105"/>
              <w:ind w:right="344"/>
              <w:jc w:val="right"/>
              <w:rPr>
                <w:sz w:val="16"/>
              </w:rPr>
            </w:pPr>
            <w:r>
              <w:rPr>
                <w:w w:val="100"/>
                <w:sz w:val="16"/>
              </w:rPr>
              <w:t>2</w:t>
            </w:r>
          </w:p>
        </w:tc>
      </w:tr>
      <w:tr>
        <w:trPr>
          <w:trHeight w:val="488" w:hRule="exact"/>
        </w:trPr>
        <w:tc>
          <w:tcPr>
            <w:tcW w:w="799" w:type="dxa"/>
          </w:tcPr>
          <w:p>
            <w:pPr>
              <w:pStyle w:val="TableParagraph"/>
              <w:rPr>
                <w:b/>
                <w:sz w:val="16"/>
              </w:rPr>
            </w:pPr>
          </w:p>
          <w:p>
            <w:pPr>
              <w:pStyle w:val="TableParagraph"/>
              <w:spacing w:before="102"/>
              <w:ind w:left="285" w:right="285"/>
              <w:jc w:val="center"/>
              <w:rPr>
                <w:b/>
                <w:sz w:val="16"/>
              </w:rPr>
            </w:pPr>
            <w:r>
              <w:rPr>
                <w:b/>
                <w:sz w:val="16"/>
              </w:rPr>
              <w:t>10</w:t>
            </w:r>
          </w:p>
        </w:tc>
        <w:tc>
          <w:tcPr>
            <w:tcW w:w="1423" w:type="dxa"/>
          </w:tcPr>
          <w:p>
            <w:pPr>
              <w:pStyle w:val="TableParagraph"/>
              <w:rPr>
                <w:b/>
                <w:sz w:val="16"/>
              </w:rPr>
            </w:pPr>
          </w:p>
          <w:p>
            <w:pPr>
              <w:pStyle w:val="TableParagraph"/>
              <w:spacing w:before="105"/>
              <w:ind w:left="321" w:right="241"/>
              <w:rPr>
                <w:sz w:val="16"/>
              </w:rPr>
            </w:pPr>
            <w:r>
              <w:rPr>
                <w:sz w:val="16"/>
              </w:rPr>
              <w:t>innovación</w:t>
            </w:r>
          </w:p>
        </w:tc>
        <w:tc>
          <w:tcPr>
            <w:tcW w:w="1441" w:type="dxa"/>
          </w:tcPr>
          <w:p>
            <w:pPr>
              <w:pStyle w:val="TableParagraph"/>
              <w:rPr>
                <w:b/>
                <w:sz w:val="16"/>
              </w:rPr>
            </w:pPr>
          </w:p>
          <w:p>
            <w:pPr>
              <w:pStyle w:val="TableParagraph"/>
              <w:spacing w:before="105"/>
              <w:ind w:left="57" w:right="59"/>
              <w:jc w:val="center"/>
              <w:rPr>
                <w:sz w:val="16"/>
              </w:rPr>
            </w:pPr>
            <w:r>
              <w:rPr>
                <w:sz w:val="16"/>
              </w:rPr>
              <w:t>redes</w:t>
            </w:r>
          </w:p>
        </w:tc>
        <w:tc>
          <w:tcPr>
            <w:tcW w:w="1351" w:type="dxa"/>
          </w:tcPr>
          <w:p>
            <w:pPr>
              <w:pStyle w:val="TableParagraph"/>
              <w:spacing w:before="106"/>
              <w:ind w:left="194" w:right="176" w:firstLine="168"/>
              <w:rPr>
                <w:sz w:val="16"/>
              </w:rPr>
            </w:pPr>
            <w:r>
              <w:rPr>
                <w:sz w:val="16"/>
              </w:rPr>
              <w:t>recursos patrimoniales</w:t>
            </w:r>
          </w:p>
        </w:tc>
        <w:tc>
          <w:tcPr>
            <w:tcW w:w="1119" w:type="dxa"/>
          </w:tcPr>
          <w:p>
            <w:pPr>
              <w:pStyle w:val="TableParagraph"/>
              <w:spacing w:before="106"/>
              <w:ind w:left="240" w:right="187" w:hanging="41"/>
              <w:rPr>
                <w:sz w:val="16"/>
              </w:rPr>
            </w:pPr>
            <w:r>
              <w:rPr>
                <w:sz w:val="16"/>
              </w:rPr>
              <w:t>desarrollo territorial</w:t>
            </w:r>
          </w:p>
        </w:tc>
        <w:tc>
          <w:tcPr>
            <w:tcW w:w="1210" w:type="dxa"/>
          </w:tcPr>
          <w:p>
            <w:pPr>
              <w:pStyle w:val="TableParagraph"/>
              <w:rPr>
                <w:b/>
                <w:sz w:val="16"/>
              </w:rPr>
            </w:pPr>
          </w:p>
          <w:p>
            <w:pPr>
              <w:pStyle w:val="TableParagraph"/>
              <w:spacing w:before="105"/>
              <w:ind w:left="209" w:right="211"/>
              <w:jc w:val="center"/>
              <w:rPr>
                <w:sz w:val="16"/>
              </w:rPr>
            </w:pPr>
            <w:r>
              <w:rPr>
                <w:sz w:val="16"/>
              </w:rPr>
              <w:t>2005</w:t>
            </w:r>
          </w:p>
        </w:tc>
        <w:tc>
          <w:tcPr>
            <w:tcW w:w="764" w:type="dxa"/>
          </w:tcPr>
          <w:p>
            <w:pPr>
              <w:pStyle w:val="TableParagraph"/>
              <w:rPr>
                <w:b/>
                <w:sz w:val="16"/>
              </w:rPr>
            </w:pPr>
          </w:p>
          <w:p>
            <w:pPr>
              <w:pStyle w:val="TableParagraph"/>
              <w:spacing w:before="105"/>
              <w:ind w:right="286"/>
              <w:jc w:val="right"/>
              <w:rPr>
                <w:sz w:val="16"/>
              </w:rPr>
            </w:pPr>
            <w:r>
              <w:rPr>
                <w:sz w:val="16"/>
              </w:rPr>
              <w:t>18</w:t>
            </w:r>
          </w:p>
        </w:tc>
        <w:tc>
          <w:tcPr>
            <w:tcW w:w="785" w:type="dxa"/>
          </w:tcPr>
          <w:p>
            <w:pPr>
              <w:pStyle w:val="TableParagraph"/>
              <w:rPr>
                <w:b/>
                <w:sz w:val="16"/>
              </w:rPr>
            </w:pPr>
          </w:p>
          <w:p>
            <w:pPr>
              <w:pStyle w:val="TableParagraph"/>
              <w:spacing w:before="105"/>
              <w:ind w:right="344"/>
              <w:jc w:val="right"/>
              <w:rPr>
                <w:sz w:val="16"/>
              </w:rPr>
            </w:pPr>
            <w:r>
              <w:rPr>
                <w:w w:val="100"/>
                <w:sz w:val="16"/>
              </w:rPr>
              <w:t>3</w:t>
            </w:r>
          </w:p>
        </w:tc>
      </w:tr>
      <w:tr>
        <w:trPr>
          <w:trHeight w:val="487" w:hRule="exact"/>
        </w:trPr>
        <w:tc>
          <w:tcPr>
            <w:tcW w:w="799" w:type="dxa"/>
          </w:tcPr>
          <w:p>
            <w:pPr>
              <w:pStyle w:val="TableParagraph"/>
              <w:rPr>
                <w:b/>
                <w:sz w:val="16"/>
              </w:rPr>
            </w:pPr>
          </w:p>
          <w:p>
            <w:pPr>
              <w:pStyle w:val="TableParagraph"/>
              <w:spacing w:before="102"/>
              <w:ind w:left="285" w:right="285"/>
              <w:jc w:val="center"/>
              <w:rPr>
                <w:b/>
                <w:sz w:val="16"/>
              </w:rPr>
            </w:pPr>
            <w:r>
              <w:rPr>
                <w:b/>
                <w:sz w:val="16"/>
              </w:rPr>
              <w:t>11</w:t>
            </w:r>
          </w:p>
        </w:tc>
        <w:tc>
          <w:tcPr>
            <w:tcW w:w="1423" w:type="dxa"/>
          </w:tcPr>
          <w:p>
            <w:pPr>
              <w:pStyle w:val="TableParagraph"/>
              <w:spacing w:before="106"/>
              <w:ind w:left="455" w:right="281" w:hanging="161"/>
              <w:rPr>
                <w:sz w:val="16"/>
              </w:rPr>
            </w:pPr>
            <w:r>
              <w:rPr>
                <w:sz w:val="16"/>
              </w:rPr>
              <w:t>crecimiento urbano</w:t>
            </w:r>
          </w:p>
        </w:tc>
        <w:tc>
          <w:tcPr>
            <w:tcW w:w="1441" w:type="dxa"/>
          </w:tcPr>
          <w:p>
            <w:pPr>
              <w:pStyle w:val="TableParagraph"/>
              <w:spacing w:before="106"/>
              <w:ind w:left="336" w:right="319" w:firstLine="124"/>
              <w:rPr>
                <w:sz w:val="16"/>
              </w:rPr>
            </w:pPr>
            <w:r>
              <w:rPr>
                <w:sz w:val="16"/>
              </w:rPr>
              <w:t>índices espaciales</w:t>
            </w:r>
          </w:p>
        </w:tc>
        <w:tc>
          <w:tcPr>
            <w:tcW w:w="1351" w:type="dxa"/>
          </w:tcPr>
          <w:p>
            <w:pPr>
              <w:pStyle w:val="TableParagraph"/>
              <w:rPr>
                <w:b/>
                <w:sz w:val="16"/>
              </w:rPr>
            </w:pPr>
          </w:p>
          <w:p>
            <w:pPr>
              <w:pStyle w:val="TableParagraph"/>
              <w:spacing w:before="105"/>
              <w:ind w:left="50" w:right="47"/>
              <w:jc w:val="center"/>
              <w:rPr>
                <w:sz w:val="16"/>
              </w:rPr>
            </w:pPr>
            <w:r>
              <w:rPr>
                <w:sz w:val="16"/>
              </w:rPr>
              <w:t>SIG</w:t>
            </w:r>
          </w:p>
        </w:tc>
        <w:tc>
          <w:tcPr>
            <w:tcW w:w="1119" w:type="dxa"/>
          </w:tcPr>
          <w:p>
            <w:pPr>
              <w:pStyle w:val="TableParagraph"/>
              <w:spacing w:before="106"/>
              <w:ind w:left="307" w:right="192" w:hanging="104"/>
              <w:rPr>
                <w:sz w:val="16"/>
              </w:rPr>
            </w:pPr>
            <w:r>
              <w:rPr>
                <w:sz w:val="16"/>
              </w:rPr>
              <w:t>ciudad de Chillán</w:t>
            </w:r>
          </w:p>
        </w:tc>
        <w:tc>
          <w:tcPr>
            <w:tcW w:w="1210" w:type="dxa"/>
          </w:tcPr>
          <w:p>
            <w:pPr>
              <w:pStyle w:val="TableParagraph"/>
              <w:rPr>
                <w:b/>
                <w:sz w:val="16"/>
              </w:rPr>
            </w:pPr>
          </w:p>
          <w:p>
            <w:pPr>
              <w:pStyle w:val="TableParagraph"/>
              <w:spacing w:before="105"/>
              <w:ind w:left="209" w:right="211"/>
              <w:jc w:val="center"/>
              <w:rPr>
                <w:sz w:val="16"/>
              </w:rPr>
            </w:pPr>
            <w:r>
              <w:rPr>
                <w:sz w:val="16"/>
              </w:rPr>
              <w:t>2003</w:t>
            </w:r>
          </w:p>
        </w:tc>
        <w:tc>
          <w:tcPr>
            <w:tcW w:w="764" w:type="dxa"/>
          </w:tcPr>
          <w:p>
            <w:pPr>
              <w:pStyle w:val="TableParagraph"/>
              <w:rPr>
                <w:b/>
                <w:sz w:val="16"/>
              </w:rPr>
            </w:pPr>
          </w:p>
          <w:p>
            <w:pPr>
              <w:pStyle w:val="TableParagraph"/>
              <w:spacing w:before="105"/>
              <w:ind w:right="286"/>
              <w:jc w:val="right"/>
              <w:rPr>
                <w:sz w:val="16"/>
              </w:rPr>
            </w:pPr>
            <w:r>
              <w:rPr>
                <w:sz w:val="16"/>
              </w:rPr>
              <w:t>18</w:t>
            </w:r>
          </w:p>
        </w:tc>
        <w:tc>
          <w:tcPr>
            <w:tcW w:w="785" w:type="dxa"/>
          </w:tcPr>
          <w:p>
            <w:pPr>
              <w:pStyle w:val="TableParagraph"/>
              <w:rPr>
                <w:b/>
                <w:sz w:val="16"/>
              </w:rPr>
            </w:pPr>
          </w:p>
          <w:p>
            <w:pPr>
              <w:pStyle w:val="TableParagraph"/>
              <w:spacing w:before="105"/>
              <w:ind w:right="344"/>
              <w:jc w:val="right"/>
              <w:rPr>
                <w:sz w:val="16"/>
              </w:rPr>
            </w:pPr>
            <w:r>
              <w:rPr>
                <w:w w:val="100"/>
                <w:sz w:val="16"/>
              </w:rPr>
              <w:t>3</w:t>
            </w:r>
          </w:p>
        </w:tc>
      </w:tr>
      <w:tr>
        <w:trPr>
          <w:trHeight w:val="487" w:hRule="exact"/>
        </w:trPr>
        <w:tc>
          <w:tcPr>
            <w:tcW w:w="799" w:type="dxa"/>
          </w:tcPr>
          <w:p>
            <w:pPr>
              <w:pStyle w:val="TableParagraph"/>
              <w:rPr>
                <w:b/>
                <w:sz w:val="16"/>
              </w:rPr>
            </w:pPr>
          </w:p>
          <w:p>
            <w:pPr>
              <w:pStyle w:val="TableParagraph"/>
              <w:spacing w:before="102"/>
              <w:ind w:left="285" w:right="285"/>
              <w:jc w:val="center"/>
              <w:rPr>
                <w:b/>
                <w:sz w:val="16"/>
              </w:rPr>
            </w:pPr>
            <w:r>
              <w:rPr>
                <w:b/>
                <w:sz w:val="16"/>
              </w:rPr>
              <w:t>12</w:t>
            </w:r>
          </w:p>
        </w:tc>
        <w:tc>
          <w:tcPr>
            <w:tcW w:w="1423" w:type="dxa"/>
          </w:tcPr>
          <w:p>
            <w:pPr>
              <w:pStyle w:val="TableParagraph"/>
              <w:spacing w:before="104"/>
              <w:ind w:left="321" w:right="242" w:hanging="68"/>
              <w:rPr>
                <w:sz w:val="16"/>
              </w:rPr>
            </w:pPr>
            <w:r>
              <w:rPr>
                <w:sz w:val="16"/>
              </w:rPr>
              <w:t>Segregación residencial</w:t>
            </w:r>
          </w:p>
        </w:tc>
        <w:tc>
          <w:tcPr>
            <w:tcW w:w="1441" w:type="dxa"/>
          </w:tcPr>
          <w:p>
            <w:pPr>
              <w:pStyle w:val="TableParagraph"/>
              <w:rPr>
                <w:b/>
                <w:sz w:val="16"/>
              </w:rPr>
            </w:pPr>
          </w:p>
          <w:p>
            <w:pPr>
              <w:pStyle w:val="TableParagraph"/>
              <w:spacing w:before="105"/>
              <w:ind w:left="475" w:right="121"/>
              <w:rPr>
                <w:sz w:val="16"/>
              </w:rPr>
            </w:pPr>
            <w:r>
              <w:rPr>
                <w:sz w:val="16"/>
              </w:rPr>
              <w:t>guetos</w:t>
            </w:r>
          </w:p>
        </w:tc>
        <w:tc>
          <w:tcPr>
            <w:tcW w:w="1351" w:type="dxa"/>
          </w:tcPr>
          <w:p>
            <w:pPr>
              <w:pStyle w:val="TableParagraph"/>
              <w:spacing w:before="104"/>
              <w:ind w:left="465" w:right="261" w:hanging="188"/>
              <w:rPr>
                <w:sz w:val="16"/>
              </w:rPr>
            </w:pPr>
            <w:r>
              <w:rPr>
                <w:sz w:val="16"/>
              </w:rPr>
              <w:t>integración social</w:t>
            </w:r>
          </w:p>
        </w:tc>
        <w:tc>
          <w:tcPr>
            <w:tcW w:w="1119" w:type="dxa"/>
          </w:tcPr>
          <w:p>
            <w:pPr>
              <w:pStyle w:val="TableParagraph"/>
              <w:spacing w:before="104"/>
              <w:ind w:left="333" w:right="246" w:hanging="77"/>
              <w:rPr>
                <w:sz w:val="16"/>
              </w:rPr>
            </w:pPr>
            <w:r>
              <w:rPr>
                <w:sz w:val="16"/>
              </w:rPr>
              <w:t>América Latina</w:t>
            </w:r>
          </w:p>
        </w:tc>
        <w:tc>
          <w:tcPr>
            <w:tcW w:w="1210" w:type="dxa"/>
          </w:tcPr>
          <w:p>
            <w:pPr>
              <w:pStyle w:val="TableParagraph"/>
              <w:rPr>
                <w:b/>
                <w:sz w:val="16"/>
              </w:rPr>
            </w:pPr>
          </w:p>
          <w:p>
            <w:pPr>
              <w:pStyle w:val="TableParagraph"/>
              <w:spacing w:before="105"/>
              <w:ind w:left="209" w:right="211"/>
              <w:jc w:val="center"/>
              <w:rPr>
                <w:sz w:val="16"/>
              </w:rPr>
            </w:pPr>
            <w:r>
              <w:rPr>
                <w:sz w:val="16"/>
              </w:rPr>
              <w:t>2008</w:t>
            </w:r>
          </w:p>
        </w:tc>
        <w:tc>
          <w:tcPr>
            <w:tcW w:w="764" w:type="dxa"/>
          </w:tcPr>
          <w:p>
            <w:pPr>
              <w:pStyle w:val="TableParagraph"/>
              <w:rPr>
                <w:b/>
                <w:sz w:val="16"/>
              </w:rPr>
            </w:pPr>
          </w:p>
          <w:p>
            <w:pPr>
              <w:pStyle w:val="TableParagraph"/>
              <w:spacing w:before="105"/>
              <w:ind w:right="286"/>
              <w:jc w:val="right"/>
              <w:rPr>
                <w:sz w:val="16"/>
              </w:rPr>
            </w:pPr>
            <w:r>
              <w:rPr>
                <w:sz w:val="16"/>
              </w:rPr>
              <w:t>16</w:t>
            </w:r>
          </w:p>
        </w:tc>
        <w:tc>
          <w:tcPr>
            <w:tcW w:w="785" w:type="dxa"/>
          </w:tcPr>
          <w:p>
            <w:pPr>
              <w:pStyle w:val="TableParagraph"/>
              <w:rPr>
                <w:b/>
                <w:sz w:val="16"/>
              </w:rPr>
            </w:pPr>
          </w:p>
          <w:p>
            <w:pPr>
              <w:pStyle w:val="TableParagraph"/>
              <w:spacing w:before="105"/>
              <w:ind w:right="344"/>
              <w:jc w:val="right"/>
              <w:rPr>
                <w:sz w:val="16"/>
              </w:rPr>
            </w:pPr>
            <w:r>
              <w:rPr>
                <w:w w:val="100"/>
                <w:sz w:val="16"/>
              </w:rPr>
              <w:t>2</w:t>
            </w:r>
          </w:p>
        </w:tc>
      </w:tr>
      <w:tr>
        <w:trPr>
          <w:trHeight w:val="725" w:hRule="exact"/>
        </w:trPr>
        <w:tc>
          <w:tcPr>
            <w:tcW w:w="799" w:type="dxa"/>
          </w:tcPr>
          <w:p>
            <w:pPr>
              <w:pStyle w:val="TableParagraph"/>
              <w:rPr>
                <w:b/>
                <w:sz w:val="16"/>
              </w:rPr>
            </w:pPr>
          </w:p>
          <w:p>
            <w:pPr>
              <w:pStyle w:val="TableParagraph"/>
              <w:rPr>
                <w:b/>
                <w:sz w:val="16"/>
              </w:rPr>
            </w:pPr>
          </w:p>
          <w:p>
            <w:pPr>
              <w:pStyle w:val="TableParagraph"/>
              <w:spacing w:before="9"/>
              <w:rPr>
                <w:b/>
                <w:sz w:val="13"/>
              </w:rPr>
            </w:pPr>
          </w:p>
          <w:p>
            <w:pPr>
              <w:pStyle w:val="TableParagraph"/>
              <w:ind w:left="285" w:right="285"/>
              <w:jc w:val="center"/>
              <w:rPr>
                <w:b/>
                <w:sz w:val="16"/>
              </w:rPr>
            </w:pPr>
            <w:r>
              <w:rPr>
                <w:b/>
                <w:sz w:val="16"/>
              </w:rPr>
              <w:t>13</w:t>
            </w:r>
          </w:p>
        </w:tc>
        <w:tc>
          <w:tcPr>
            <w:tcW w:w="1423" w:type="dxa"/>
          </w:tcPr>
          <w:p>
            <w:pPr>
              <w:pStyle w:val="TableParagraph"/>
              <w:rPr>
                <w:b/>
                <w:sz w:val="16"/>
              </w:rPr>
            </w:pPr>
          </w:p>
          <w:p>
            <w:pPr>
              <w:pStyle w:val="TableParagraph"/>
              <w:spacing w:before="10"/>
              <w:rPr>
                <w:b/>
                <w:sz w:val="13"/>
              </w:rPr>
            </w:pPr>
          </w:p>
          <w:p>
            <w:pPr>
              <w:pStyle w:val="TableParagraph"/>
              <w:spacing w:before="1"/>
              <w:ind w:left="95" w:right="80" w:firstLine="240"/>
              <w:rPr>
                <w:sz w:val="16"/>
              </w:rPr>
            </w:pPr>
            <w:r>
              <w:rPr>
                <w:sz w:val="16"/>
              </w:rPr>
              <w:t>gestión de cuencas urbanas</w:t>
            </w:r>
          </w:p>
        </w:tc>
        <w:tc>
          <w:tcPr>
            <w:tcW w:w="1441" w:type="dxa"/>
          </w:tcPr>
          <w:p>
            <w:pPr>
              <w:pStyle w:val="TableParagraph"/>
              <w:spacing w:before="10"/>
              <w:rPr>
                <w:b/>
                <w:sz w:val="13"/>
              </w:rPr>
            </w:pPr>
          </w:p>
          <w:p>
            <w:pPr>
              <w:pStyle w:val="TableParagraph"/>
              <w:ind w:left="300" w:right="284" w:hanging="12"/>
              <w:jc w:val="both"/>
              <w:rPr>
                <w:sz w:val="16"/>
              </w:rPr>
            </w:pPr>
            <w:r>
              <w:rPr>
                <w:sz w:val="16"/>
              </w:rPr>
              <w:t>sistemas de información geográfica</w:t>
            </w:r>
          </w:p>
        </w:tc>
        <w:tc>
          <w:tcPr>
            <w:tcW w:w="1351" w:type="dxa"/>
          </w:tcPr>
          <w:p>
            <w:pPr>
              <w:pStyle w:val="TableParagraph"/>
              <w:rPr>
                <w:b/>
                <w:sz w:val="16"/>
              </w:rPr>
            </w:pPr>
          </w:p>
          <w:p>
            <w:pPr>
              <w:pStyle w:val="TableParagraph"/>
              <w:spacing w:before="10"/>
              <w:rPr>
                <w:b/>
                <w:sz w:val="13"/>
              </w:rPr>
            </w:pPr>
          </w:p>
          <w:p>
            <w:pPr>
              <w:pStyle w:val="TableParagraph"/>
              <w:spacing w:before="1"/>
              <w:ind w:left="487" w:right="225" w:hanging="245"/>
              <w:rPr>
                <w:sz w:val="16"/>
              </w:rPr>
            </w:pPr>
            <w:r>
              <w:rPr>
                <w:sz w:val="16"/>
              </w:rPr>
              <w:t>Santiago de Chile</w:t>
            </w:r>
          </w:p>
        </w:tc>
        <w:tc>
          <w:tcPr>
            <w:tcW w:w="1119" w:type="dxa"/>
          </w:tcPr>
          <w:p>
            <w:pPr/>
          </w:p>
        </w:tc>
        <w:tc>
          <w:tcPr>
            <w:tcW w:w="1210" w:type="dxa"/>
          </w:tcPr>
          <w:p>
            <w:pPr>
              <w:pStyle w:val="TableParagraph"/>
              <w:rPr>
                <w:b/>
                <w:sz w:val="16"/>
              </w:rPr>
            </w:pPr>
          </w:p>
          <w:p>
            <w:pPr>
              <w:pStyle w:val="TableParagraph"/>
              <w:rPr>
                <w:b/>
                <w:sz w:val="16"/>
              </w:rPr>
            </w:pPr>
          </w:p>
          <w:p>
            <w:pPr>
              <w:pStyle w:val="TableParagraph"/>
              <w:rPr>
                <w:b/>
                <w:sz w:val="14"/>
              </w:rPr>
            </w:pPr>
          </w:p>
          <w:p>
            <w:pPr>
              <w:pStyle w:val="TableParagraph"/>
              <w:ind w:left="209" w:right="211"/>
              <w:jc w:val="center"/>
              <w:rPr>
                <w:sz w:val="16"/>
              </w:rPr>
            </w:pPr>
            <w:r>
              <w:rPr>
                <w:sz w:val="16"/>
              </w:rPr>
              <w:t>2005</w:t>
            </w:r>
          </w:p>
        </w:tc>
        <w:tc>
          <w:tcPr>
            <w:tcW w:w="764" w:type="dxa"/>
          </w:tcPr>
          <w:p>
            <w:pPr>
              <w:pStyle w:val="TableParagraph"/>
              <w:rPr>
                <w:b/>
                <w:sz w:val="16"/>
              </w:rPr>
            </w:pPr>
          </w:p>
          <w:p>
            <w:pPr>
              <w:pStyle w:val="TableParagraph"/>
              <w:rPr>
                <w:b/>
                <w:sz w:val="16"/>
              </w:rPr>
            </w:pPr>
          </w:p>
          <w:p>
            <w:pPr>
              <w:pStyle w:val="TableParagraph"/>
              <w:rPr>
                <w:b/>
                <w:sz w:val="14"/>
              </w:rPr>
            </w:pPr>
          </w:p>
          <w:p>
            <w:pPr>
              <w:pStyle w:val="TableParagraph"/>
              <w:ind w:right="286"/>
              <w:jc w:val="right"/>
              <w:rPr>
                <w:sz w:val="16"/>
              </w:rPr>
            </w:pPr>
            <w:r>
              <w:rPr>
                <w:sz w:val="16"/>
              </w:rPr>
              <w:t>15</w:t>
            </w:r>
          </w:p>
        </w:tc>
        <w:tc>
          <w:tcPr>
            <w:tcW w:w="785" w:type="dxa"/>
          </w:tcPr>
          <w:p>
            <w:pPr>
              <w:pStyle w:val="TableParagraph"/>
              <w:rPr>
                <w:b/>
                <w:sz w:val="16"/>
              </w:rPr>
            </w:pPr>
          </w:p>
          <w:p>
            <w:pPr>
              <w:pStyle w:val="TableParagraph"/>
              <w:rPr>
                <w:b/>
                <w:sz w:val="16"/>
              </w:rPr>
            </w:pPr>
          </w:p>
          <w:p>
            <w:pPr>
              <w:pStyle w:val="TableParagraph"/>
              <w:rPr>
                <w:b/>
                <w:sz w:val="14"/>
              </w:rPr>
            </w:pPr>
          </w:p>
          <w:p>
            <w:pPr>
              <w:pStyle w:val="TableParagraph"/>
              <w:ind w:right="344"/>
              <w:jc w:val="right"/>
              <w:rPr>
                <w:sz w:val="16"/>
              </w:rPr>
            </w:pPr>
            <w:r>
              <w:rPr>
                <w:w w:val="100"/>
                <w:sz w:val="16"/>
              </w:rPr>
              <w:t>2</w:t>
            </w:r>
          </w:p>
        </w:tc>
      </w:tr>
      <w:tr>
        <w:trPr>
          <w:trHeight w:val="487" w:hRule="exact"/>
        </w:trPr>
        <w:tc>
          <w:tcPr>
            <w:tcW w:w="799" w:type="dxa"/>
          </w:tcPr>
          <w:p>
            <w:pPr>
              <w:pStyle w:val="TableParagraph"/>
              <w:rPr>
                <w:b/>
                <w:sz w:val="16"/>
              </w:rPr>
            </w:pPr>
          </w:p>
          <w:p>
            <w:pPr>
              <w:pStyle w:val="TableParagraph"/>
              <w:spacing w:before="105"/>
              <w:ind w:left="285" w:right="285"/>
              <w:jc w:val="center"/>
              <w:rPr>
                <w:b/>
                <w:sz w:val="16"/>
              </w:rPr>
            </w:pPr>
            <w:r>
              <w:rPr>
                <w:b/>
                <w:sz w:val="16"/>
              </w:rPr>
              <w:t>14</w:t>
            </w:r>
          </w:p>
        </w:tc>
        <w:tc>
          <w:tcPr>
            <w:tcW w:w="1423" w:type="dxa"/>
          </w:tcPr>
          <w:p>
            <w:pPr>
              <w:pStyle w:val="TableParagraph"/>
              <w:spacing w:before="106"/>
              <w:ind w:left="383" w:right="277" w:hanging="94"/>
              <w:rPr>
                <w:sz w:val="16"/>
              </w:rPr>
            </w:pPr>
            <w:r>
              <w:rPr>
                <w:sz w:val="16"/>
              </w:rPr>
              <w:t>localización industrial</w:t>
            </w:r>
          </w:p>
        </w:tc>
        <w:tc>
          <w:tcPr>
            <w:tcW w:w="1441" w:type="dxa"/>
          </w:tcPr>
          <w:p>
            <w:pPr>
              <w:pStyle w:val="TableParagraph"/>
              <w:spacing w:before="106"/>
              <w:ind w:left="190" w:right="171" w:firstLine="324"/>
              <w:rPr>
                <w:sz w:val="16"/>
              </w:rPr>
            </w:pPr>
            <w:r>
              <w:rPr>
                <w:sz w:val="16"/>
              </w:rPr>
              <w:t>áreas metropolitanas</w:t>
            </w:r>
          </w:p>
        </w:tc>
        <w:tc>
          <w:tcPr>
            <w:tcW w:w="1351" w:type="dxa"/>
          </w:tcPr>
          <w:p>
            <w:pPr>
              <w:pStyle w:val="TableParagraph"/>
              <w:spacing w:before="106"/>
              <w:ind w:left="419" w:right="289" w:hanging="116"/>
              <w:rPr>
                <w:sz w:val="16"/>
              </w:rPr>
            </w:pPr>
            <w:r>
              <w:rPr>
                <w:sz w:val="16"/>
              </w:rPr>
              <w:t>expansión urbana</w:t>
            </w:r>
          </w:p>
        </w:tc>
        <w:tc>
          <w:tcPr>
            <w:tcW w:w="1119" w:type="dxa"/>
          </w:tcPr>
          <w:p>
            <w:pPr/>
          </w:p>
        </w:tc>
        <w:tc>
          <w:tcPr>
            <w:tcW w:w="1210" w:type="dxa"/>
          </w:tcPr>
          <w:p>
            <w:pPr>
              <w:pStyle w:val="TableParagraph"/>
              <w:rPr>
                <w:b/>
                <w:sz w:val="16"/>
              </w:rPr>
            </w:pPr>
          </w:p>
          <w:p>
            <w:pPr>
              <w:pStyle w:val="TableParagraph"/>
              <w:spacing w:before="107"/>
              <w:ind w:left="209" w:right="211"/>
              <w:jc w:val="center"/>
              <w:rPr>
                <w:sz w:val="16"/>
              </w:rPr>
            </w:pPr>
            <w:r>
              <w:rPr>
                <w:sz w:val="16"/>
              </w:rPr>
              <w:t>2003</w:t>
            </w:r>
          </w:p>
        </w:tc>
        <w:tc>
          <w:tcPr>
            <w:tcW w:w="764" w:type="dxa"/>
          </w:tcPr>
          <w:p>
            <w:pPr>
              <w:pStyle w:val="TableParagraph"/>
              <w:rPr>
                <w:b/>
                <w:sz w:val="16"/>
              </w:rPr>
            </w:pPr>
          </w:p>
          <w:p>
            <w:pPr>
              <w:pStyle w:val="TableParagraph"/>
              <w:spacing w:before="107"/>
              <w:ind w:right="286"/>
              <w:jc w:val="right"/>
              <w:rPr>
                <w:sz w:val="16"/>
              </w:rPr>
            </w:pPr>
            <w:r>
              <w:rPr>
                <w:sz w:val="16"/>
              </w:rPr>
              <w:t>15</w:t>
            </w:r>
          </w:p>
        </w:tc>
        <w:tc>
          <w:tcPr>
            <w:tcW w:w="785" w:type="dxa"/>
          </w:tcPr>
          <w:p>
            <w:pPr>
              <w:pStyle w:val="TableParagraph"/>
              <w:rPr>
                <w:b/>
                <w:sz w:val="16"/>
              </w:rPr>
            </w:pPr>
          </w:p>
          <w:p>
            <w:pPr>
              <w:pStyle w:val="TableParagraph"/>
              <w:spacing w:before="107"/>
              <w:ind w:right="344"/>
              <w:jc w:val="right"/>
              <w:rPr>
                <w:sz w:val="16"/>
              </w:rPr>
            </w:pPr>
            <w:r>
              <w:rPr>
                <w:w w:val="100"/>
                <w:sz w:val="16"/>
              </w:rPr>
              <w:t>2</w:t>
            </w:r>
          </w:p>
        </w:tc>
      </w:tr>
      <w:tr>
        <w:trPr>
          <w:trHeight w:val="487" w:hRule="exact"/>
        </w:trPr>
        <w:tc>
          <w:tcPr>
            <w:tcW w:w="799" w:type="dxa"/>
          </w:tcPr>
          <w:p>
            <w:pPr>
              <w:pStyle w:val="TableParagraph"/>
              <w:rPr>
                <w:b/>
                <w:sz w:val="16"/>
              </w:rPr>
            </w:pPr>
          </w:p>
          <w:p>
            <w:pPr>
              <w:pStyle w:val="TableParagraph"/>
              <w:spacing w:before="102"/>
              <w:ind w:left="285" w:right="285"/>
              <w:jc w:val="center"/>
              <w:rPr>
                <w:b/>
                <w:sz w:val="16"/>
              </w:rPr>
            </w:pPr>
            <w:r>
              <w:rPr>
                <w:b/>
                <w:sz w:val="16"/>
              </w:rPr>
              <w:t>15</w:t>
            </w:r>
          </w:p>
        </w:tc>
        <w:tc>
          <w:tcPr>
            <w:tcW w:w="1423" w:type="dxa"/>
          </w:tcPr>
          <w:p>
            <w:pPr>
              <w:pStyle w:val="TableParagraph"/>
              <w:spacing w:before="106"/>
              <w:ind w:left="383" w:right="370" w:firstLine="4"/>
              <w:rPr>
                <w:sz w:val="16"/>
              </w:rPr>
            </w:pPr>
            <w:r>
              <w:rPr>
                <w:sz w:val="16"/>
              </w:rPr>
              <w:t>enclaves turísticos</w:t>
            </w:r>
          </w:p>
        </w:tc>
        <w:tc>
          <w:tcPr>
            <w:tcW w:w="1441" w:type="dxa"/>
          </w:tcPr>
          <w:p>
            <w:pPr>
              <w:pStyle w:val="TableParagraph"/>
              <w:rPr>
                <w:b/>
                <w:sz w:val="16"/>
              </w:rPr>
            </w:pPr>
          </w:p>
          <w:p>
            <w:pPr>
              <w:pStyle w:val="TableParagraph"/>
              <w:spacing w:before="105"/>
              <w:ind w:left="247" w:right="121"/>
              <w:rPr>
                <w:sz w:val="16"/>
              </w:rPr>
            </w:pPr>
            <w:r>
              <w:rPr>
                <w:sz w:val="16"/>
              </w:rPr>
              <w:t>control social</w:t>
            </w:r>
          </w:p>
        </w:tc>
        <w:tc>
          <w:tcPr>
            <w:tcW w:w="1351" w:type="dxa"/>
          </w:tcPr>
          <w:p>
            <w:pPr>
              <w:pStyle w:val="TableParagraph"/>
              <w:spacing w:before="106"/>
              <w:ind w:left="170" w:right="79" w:hanging="75"/>
              <w:rPr>
                <w:sz w:val="16"/>
              </w:rPr>
            </w:pPr>
            <w:r>
              <w:rPr>
                <w:sz w:val="16"/>
              </w:rPr>
              <w:t>urbanismo post- estructuralista</w:t>
            </w:r>
          </w:p>
        </w:tc>
        <w:tc>
          <w:tcPr>
            <w:tcW w:w="1119" w:type="dxa"/>
          </w:tcPr>
          <w:p>
            <w:pPr>
              <w:pStyle w:val="TableParagraph"/>
              <w:rPr>
                <w:b/>
                <w:sz w:val="16"/>
              </w:rPr>
            </w:pPr>
          </w:p>
          <w:p>
            <w:pPr>
              <w:pStyle w:val="TableParagraph"/>
              <w:spacing w:before="105"/>
              <w:ind w:left="55" w:right="62"/>
              <w:jc w:val="center"/>
              <w:rPr>
                <w:sz w:val="16"/>
              </w:rPr>
            </w:pPr>
            <w:r>
              <w:rPr>
                <w:sz w:val="16"/>
              </w:rPr>
              <w:t>teoría urbana</w:t>
            </w:r>
          </w:p>
        </w:tc>
        <w:tc>
          <w:tcPr>
            <w:tcW w:w="1210" w:type="dxa"/>
          </w:tcPr>
          <w:p>
            <w:pPr>
              <w:pStyle w:val="TableParagraph"/>
              <w:rPr>
                <w:b/>
                <w:sz w:val="16"/>
              </w:rPr>
            </w:pPr>
          </w:p>
          <w:p>
            <w:pPr>
              <w:pStyle w:val="TableParagraph"/>
              <w:spacing w:before="105"/>
              <w:ind w:left="209" w:right="211"/>
              <w:jc w:val="center"/>
              <w:rPr>
                <w:sz w:val="16"/>
              </w:rPr>
            </w:pPr>
            <w:r>
              <w:rPr>
                <w:sz w:val="16"/>
              </w:rPr>
              <w:t>2003</w:t>
            </w:r>
          </w:p>
        </w:tc>
        <w:tc>
          <w:tcPr>
            <w:tcW w:w="764" w:type="dxa"/>
          </w:tcPr>
          <w:p>
            <w:pPr>
              <w:pStyle w:val="TableParagraph"/>
              <w:rPr>
                <w:b/>
                <w:sz w:val="16"/>
              </w:rPr>
            </w:pPr>
          </w:p>
          <w:p>
            <w:pPr>
              <w:pStyle w:val="TableParagraph"/>
              <w:spacing w:before="105"/>
              <w:ind w:right="286"/>
              <w:jc w:val="right"/>
              <w:rPr>
                <w:sz w:val="16"/>
              </w:rPr>
            </w:pPr>
            <w:r>
              <w:rPr>
                <w:sz w:val="16"/>
              </w:rPr>
              <w:t>15</w:t>
            </w:r>
          </w:p>
        </w:tc>
        <w:tc>
          <w:tcPr>
            <w:tcW w:w="785" w:type="dxa"/>
          </w:tcPr>
          <w:p>
            <w:pPr>
              <w:pStyle w:val="TableParagraph"/>
              <w:rPr>
                <w:b/>
                <w:sz w:val="16"/>
              </w:rPr>
            </w:pPr>
          </w:p>
          <w:p>
            <w:pPr>
              <w:pStyle w:val="TableParagraph"/>
              <w:spacing w:before="105"/>
              <w:ind w:right="344"/>
              <w:jc w:val="right"/>
              <w:rPr>
                <w:sz w:val="16"/>
              </w:rPr>
            </w:pPr>
            <w:r>
              <w:rPr>
                <w:w w:val="100"/>
                <w:sz w:val="16"/>
              </w:rPr>
              <w:t>1</w:t>
            </w:r>
          </w:p>
        </w:tc>
      </w:tr>
      <w:tr>
        <w:trPr>
          <w:trHeight w:val="488" w:hRule="exact"/>
        </w:trPr>
        <w:tc>
          <w:tcPr>
            <w:tcW w:w="799" w:type="dxa"/>
          </w:tcPr>
          <w:p>
            <w:pPr>
              <w:pStyle w:val="TableParagraph"/>
              <w:rPr>
                <w:b/>
                <w:sz w:val="16"/>
              </w:rPr>
            </w:pPr>
          </w:p>
          <w:p>
            <w:pPr>
              <w:pStyle w:val="TableParagraph"/>
              <w:spacing w:before="102"/>
              <w:ind w:left="285" w:right="285"/>
              <w:jc w:val="center"/>
              <w:rPr>
                <w:b/>
                <w:sz w:val="16"/>
              </w:rPr>
            </w:pPr>
            <w:r>
              <w:rPr>
                <w:b/>
                <w:sz w:val="16"/>
              </w:rPr>
              <w:t>16</w:t>
            </w:r>
          </w:p>
        </w:tc>
        <w:tc>
          <w:tcPr>
            <w:tcW w:w="1423" w:type="dxa"/>
          </w:tcPr>
          <w:p>
            <w:pPr>
              <w:pStyle w:val="TableParagraph"/>
              <w:spacing w:before="106"/>
              <w:ind w:left="220" w:right="204" w:firstLine="74"/>
              <w:rPr>
                <w:sz w:val="16"/>
              </w:rPr>
            </w:pPr>
            <w:r>
              <w:rPr>
                <w:sz w:val="16"/>
              </w:rPr>
              <w:t>crecimiento metropolitano</w:t>
            </w:r>
          </w:p>
        </w:tc>
        <w:tc>
          <w:tcPr>
            <w:tcW w:w="1441" w:type="dxa"/>
          </w:tcPr>
          <w:p>
            <w:pPr>
              <w:pStyle w:val="TableParagraph"/>
              <w:rPr>
                <w:b/>
                <w:sz w:val="16"/>
              </w:rPr>
            </w:pPr>
          </w:p>
          <w:p>
            <w:pPr>
              <w:pStyle w:val="TableParagraph"/>
              <w:spacing w:before="105"/>
              <w:ind w:right="143"/>
              <w:jc w:val="right"/>
              <w:rPr>
                <w:sz w:val="16"/>
              </w:rPr>
            </w:pPr>
            <w:r>
              <w:rPr>
                <w:sz w:val="16"/>
              </w:rPr>
              <w:t>mega-ciudades</w:t>
            </w:r>
          </w:p>
        </w:tc>
        <w:tc>
          <w:tcPr>
            <w:tcW w:w="1351" w:type="dxa"/>
          </w:tcPr>
          <w:p>
            <w:pPr>
              <w:pStyle w:val="TableParagraph"/>
              <w:rPr>
                <w:b/>
                <w:sz w:val="16"/>
              </w:rPr>
            </w:pPr>
          </w:p>
          <w:p>
            <w:pPr>
              <w:pStyle w:val="TableParagraph"/>
              <w:spacing w:before="105"/>
              <w:ind w:left="50" w:right="50"/>
              <w:jc w:val="center"/>
              <w:rPr>
                <w:sz w:val="16"/>
              </w:rPr>
            </w:pPr>
            <w:r>
              <w:rPr>
                <w:sz w:val="16"/>
              </w:rPr>
              <w:t>periurbanización</w:t>
            </w:r>
          </w:p>
        </w:tc>
        <w:tc>
          <w:tcPr>
            <w:tcW w:w="1119" w:type="dxa"/>
          </w:tcPr>
          <w:p>
            <w:pPr>
              <w:pStyle w:val="TableParagraph"/>
              <w:spacing w:before="106"/>
              <w:ind w:left="165" w:right="150" w:firstLine="55"/>
              <w:rPr>
                <w:sz w:val="16"/>
              </w:rPr>
            </w:pPr>
            <w:r>
              <w:rPr>
                <w:sz w:val="16"/>
              </w:rPr>
              <w:t>periferias extendidas</w:t>
            </w:r>
          </w:p>
        </w:tc>
        <w:tc>
          <w:tcPr>
            <w:tcW w:w="1210" w:type="dxa"/>
          </w:tcPr>
          <w:p>
            <w:pPr>
              <w:pStyle w:val="TableParagraph"/>
              <w:rPr>
                <w:b/>
                <w:sz w:val="16"/>
              </w:rPr>
            </w:pPr>
          </w:p>
          <w:p>
            <w:pPr>
              <w:pStyle w:val="TableParagraph"/>
              <w:spacing w:before="105"/>
              <w:ind w:left="209" w:right="211"/>
              <w:jc w:val="center"/>
              <w:rPr>
                <w:sz w:val="16"/>
              </w:rPr>
            </w:pPr>
            <w:r>
              <w:rPr>
                <w:sz w:val="16"/>
              </w:rPr>
              <w:t>2002</w:t>
            </w:r>
          </w:p>
        </w:tc>
        <w:tc>
          <w:tcPr>
            <w:tcW w:w="764" w:type="dxa"/>
          </w:tcPr>
          <w:p>
            <w:pPr>
              <w:pStyle w:val="TableParagraph"/>
              <w:rPr>
                <w:b/>
                <w:sz w:val="16"/>
              </w:rPr>
            </w:pPr>
          </w:p>
          <w:p>
            <w:pPr>
              <w:pStyle w:val="TableParagraph"/>
              <w:spacing w:before="105"/>
              <w:ind w:right="286"/>
              <w:jc w:val="right"/>
              <w:rPr>
                <w:sz w:val="16"/>
              </w:rPr>
            </w:pPr>
            <w:r>
              <w:rPr>
                <w:sz w:val="16"/>
              </w:rPr>
              <w:t>15</w:t>
            </w:r>
          </w:p>
        </w:tc>
        <w:tc>
          <w:tcPr>
            <w:tcW w:w="785" w:type="dxa"/>
          </w:tcPr>
          <w:p>
            <w:pPr>
              <w:pStyle w:val="TableParagraph"/>
              <w:rPr>
                <w:b/>
                <w:sz w:val="16"/>
              </w:rPr>
            </w:pPr>
          </w:p>
          <w:p>
            <w:pPr>
              <w:pStyle w:val="TableParagraph"/>
              <w:spacing w:before="105"/>
              <w:ind w:right="344"/>
              <w:jc w:val="right"/>
              <w:rPr>
                <w:sz w:val="16"/>
              </w:rPr>
            </w:pPr>
            <w:r>
              <w:rPr>
                <w:w w:val="100"/>
                <w:sz w:val="16"/>
              </w:rPr>
              <w:t>1</w:t>
            </w:r>
          </w:p>
        </w:tc>
      </w:tr>
      <w:tr>
        <w:trPr>
          <w:trHeight w:val="487" w:hRule="exact"/>
        </w:trPr>
        <w:tc>
          <w:tcPr>
            <w:tcW w:w="799" w:type="dxa"/>
          </w:tcPr>
          <w:p>
            <w:pPr>
              <w:pStyle w:val="TableParagraph"/>
              <w:rPr>
                <w:b/>
                <w:sz w:val="16"/>
              </w:rPr>
            </w:pPr>
          </w:p>
          <w:p>
            <w:pPr>
              <w:pStyle w:val="TableParagraph"/>
              <w:spacing w:before="102"/>
              <w:ind w:left="285" w:right="285"/>
              <w:jc w:val="center"/>
              <w:rPr>
                <w:b/>
                <w:sz w:val="16"/>
              </w:rPr>
            </w:pPr>
            <w:r>
              <w:rPr>
                <w:b/>
                <w:sz w:val="16"/>
              </w:rPr>
              <w:t>17</w:t>
            </w:r>
          </w:p>
        </w:tc>
        <w:tc>
          <w:tcPr>
            <w:tcW w:w="1423" w:type="dxa"/>
          </w:tcPr>
          <w:p>
            <w:pPr>
              <w:pStyle w:val="TableParagraph"/>
              <w:rPr>
                <w:b/>
                <w:sz w:val="16"/>
              </w:rPr>
            </w:pPr>
          </w:p>
          <w:p>
            <w:pPr>
              <w:pStyle w:val="TableParagraph"/>
              <w:spacing w:before="105"/>
              <w:ind w:right="64"/>
              <w:jc w:val="right"/>
              <w:rPr>
                <w:sz w:val="16"/>
              </w:rPr>
            </w:pPr>
            <w:r>
              <w:rPr>
                <w:sz w:val="16"/>
              </w:rPr>
              <w:t>ciudades globales</w:t>
            </w:r>
          </w:p>
        </w:tc>
        <w:tc>
          <w:tcPr>
            <w:tcW w:w="1441" w:type="dxa"/>
          </w:tcPr>
          <w:p>
            <w:pPr>
              <w:pStyle w:val="TableParagraph"/>
              <w:rPr>
                <w:b/>
                <w:sz w:val="16"/>
              </w:rPr>
            </w:pPr>
          </w:p>
          <w:p>
            <w:pPr>
              <w:pStyle w:val="TableParagraph"/>
              <w:spacing w:before="105"/>
              <w:ind w:right="179"/>
              <w:jc w:val="right"/>
              <w:rPr>
                <w:sz w:val="16"/>
              </w:rPr>
            </w:pPr>
            <w:r>
              <w:rPr>
                <w:sz w:val="16"/>
              </w:rPr>
              <w:t>mega-regiones</w:t>
            </w:r>
          </w:p>
        </w:tc>
        <w:tc>
          <w:tcPr>
            <w:tcW w:w="1351" w:type="dxa"/>
          </w:tcPr>
          <w:p>
            <w:pPr>
              <w:pStyle w:val="TableParagraph"/>
              <w:rPr>
                <w:b/>
                <w:sz w:val="16"/>
              </w:rPr>
            </w:pPr>
          </w:p>
          <w:p>
            <w:pPr>
              <w:pStyle w:val="TableParagraph"/>
              <w:spacing w:before="105"/>
              <w:ind w:left="48" w:right="50"/>
              <w:jc w:val="center"/>
              <w:rPr>
                <w:sz w:val="16"/>
              </w:rPr>
            </w:pPr>
            <w:r>
              <w:rPr>
                <w:sz w:val="16"/>
              </w:rPr>
              <w:t>gobernanza</w:t>
            </w:r>
          </w:p>
        </w:tc>
        <w:tc>
          <w:tcPr>
            <w:tcW w:w="1119" w:type="dxa"/>
          </w:tcPr>
          <w:p>
            <w:pPr/>
          </w:p>
        </w:tc>
        <w:tc>
          <w:tcPr>
            <w:tcW w:w="1210" w:type="dxa"/>
          </w:tcPr>
          <w:p>
            <w:pPr>
              <w:pStyle w:val="TableParagraph"/>
              <w:rPr>
                <w:b/>
                <w:sz w:val="16"/>
              </w:rPr>
            </w:pPr>
          </w:p>
          <w:p>
            <w:pPr>
              <w:pStyle w:val="TableParagraph"/>
              <w:spacing w:before="105"/>
              <w:ind w:left="209" w:right="211"/>
              <w:jc w:val="center"/>
              <w:rPr>
                <w:sz w:val="16"/>
              </w:rPr>
            </w:pPr>
            <w:r>
              <w:rPr>
                <w:sz w:val="16"/>
              </w:rPr>
              <w:t>2007</w:t>
            </w:r>
          </w:p>
        </w:tc>
        <w:tc>
          <w:tcPr>
            <w:tcW w:w="764" w:type="dxa"/>
          </w:tcPr>
          <w:p>
            <w:pPr>
              <w:pStyle w:val="TableParagraph"/>
              <w:rPr>
                <w:b/>
                <w:sz w:val="16"/>
              </w:rPr>
            </w:pPr>
          </w:p>
          <w:p>
            <w:pPr>
              <w:pStyle w:val="TableParagraph"/>
              <w:spacing w:before="105"/>
              <w:ind w:right="286"/>
              <w:jc w:val="right"/>
              <w:rPr>
                <w:sz w:val="16"/>
              </w:rPr>
            </w:pPr>
            <w:r>
              <w:rPr>
                <w:sz w:val="16"/>
              </w:rPr>
              <w:t>14</w:t>
            </w:r>
          </w:p>
        </w:tc>
        <w:tc>
          <w:tcPr>
            <w:tcW w:w="785" w:type="dxa"/>
          </w:tcPr>
          <w:p>
            <w:pPr>
              <w:pStyle w:val="TableParagraph"/>
              <w:rPr>
                <w:b/>
                <w:sz w:val="16"/>
              </w:rPr>
            </w:pPr>
          </w:p>
          <w:p>
            <w:pPr>
              <w:pStyle w:val="TableParagraph"/>
              <w:spacing w:before="105"/>
              <w:ind w:right="344"/>
              <w:jc w:val="right"/>
              <w:rPr>
                <w:sz w:val="16"/>
              </w:rPr>
            </w:pPr>
            <w:r>
              <w:rPr>
                <w:w w:val="100"/>
                <w:sz w:val="16"/>
              </w:rPr>
              <w:t>1</w:t>
            </w:r>
          </w:p>
        </w:tc>
      </w:tr>
      <w:tr>
        <w:trPr>
          <w:trHeight w:val="487" w:hRule="exact"/>
        </w:trPr>
        <w:tc>
          <w:tcPr>
            <w:tcW w:w="799" w:type="dxa"/>
          </w:tcPr>
          <w:p>
            <w:pPr>
              <w:pStyle w:val="TableParagraph"/>
              <w:rPr>
                <w:b/>
                <w:sz w:val="16"/>
              </w:rPr>
            </w:pPr>
          </w:p>
          <w:p>
            <w:pPr>
              <w:pStyle w:val="TableParagraph"/>
              <w:spacing w:before="102"/>
              <w:ind w:left="285" w:right="285"/>
              <w:jc w:val="center"/>
              <w:rPr>
                <w:b/>
                <w:sz w:val="16"/>
              </w:rPr>
            </w:pPr>
            <w:r>
              <w:rPr>
                <w:b/>
                <w:sz w:val="16"/>
              </w:rPr>
              <w:t>18</w:t>
            </w:r>
          </w:p>
        </w:tc>
        <w:tc>
          <w:tcPr>
            <w:tcW w:w="1423" w:type="dxa"/>
          </w:tcPr>
          <w:p>
            <w:pPr>
              <w:pStyle w:val="TableParagraph"/>
              <w:rPr>
                <w:b/>
                <w:sz w:val="16"/>
              </w:rPr>
            </w:pPr>
          </w:p>
          <w:p>
            <w:pPr>
              <w:pStyle w:val="TableParagraph"/>
              <w:spacing w:before="105"/>
              <w:ind w:left="242" w:right="84"/>
              <w:rPr>
                <w:sz w:val="16"/>
              </w:rPr>
            </w:pPr>
            <w:r>
              <w:rPr>
                <w:sz w:val="16"/>
              </w:rPr>
              <w:t>globalización</w:t>
            </w:r>
          </w:p>
        </w:tc>
        <w:tc>
          <w:tcPr>
            <w:tcW w:w="1441" w:type="dxa"/>
          </w:tcPr>
          <w:p>
            <w:pPr>
              <w:pStyle w:val="TableParagraph"/>
              <w:spacing w:before="106"/>
              <w:ind w:left="394" w:right="376" w:firstLine="9"/>
              <w:rPr>
                <w:sz w:val="16"/>
              </w:rPr>
            </w:pPr>
            <w:r>
              <w:rPr>
                <w:sz w:val="16"/>
              </w:rPr>
              <w:t>redes de ciudades</w:t>
            </w:r>
          </w:p>
        </w:tc>
        <w:tc>
          <w:tcPr>
            <w:tcW w:w="1351" w:type="dxa"/>
          </w:tcPr>
          <w:p>
            <w:pPr>
              <w:pStyle w:val="TableParagraph"/>
              <w:spacing w:before="106"/>
              <w:ind w:left="371" w:right="354" w:firstLine="4"/>
              <w:rPr>
                <w:sz w:val="16"/>
              </w:rPr>
            </w:pPr>
            <w:r>
              <w:rPr>
                <w:sz w:val="16"/>
              </w:rPr>
              <w:t>circuitos globales</w:t>
            </w:r>
          </w:p>
        </w:tc>
        <w:tc>
          <w:tcPr>
            <w:tcW w:w="1119" w:type="dxa"/>
          </w:tcPr>
          <w:p>
            <w:pPr/>
          </w:p>
        </w:tc>
        <w:tc>
          <w:tcPr>
            <w:tcW w:w="1210" w:type="dxa"/>
          </w:tcPr>
          <w:p>
            <w:pPr>
              <w:pStyle w:val="TableParagraph"/>
              <w:rPr>
                <w:b/>
                <w:sz w:val="16"/>
              </w:rPr>
            </w:pPr>
          </w:p>
          <w:p>
            <w:pPr>
              <w:pStyle w:val="TableParagraph"/>
              <w:spacing w:before="105"/>
              <w:ind w:left="209" w:right="211"/>
              <w:jc w:val="center"/>
              <w:rPr>
                <w:sz w:val="16"/>
              </w:rPr>
            </w:pPr>
            <w:r>
              <w:rPr>
                <w:sz w:val="16"/>
              </w:rPr>
              <w:t>2003</w:t>
            </w:r>
          </w:p>
        </w:tc>
        <w:tc>
          <w:tcPr>
            <w:tcW w:w="764" w:type="dxa"/>
          </w:tcPr>
          <w:p>
            <w:pPr>
              <w:pStyle w:val="TableParagraph"/>
              <w:rPr>
                <w:b/>
                <w:sz w:val="16"/>
              </w:rPr>
            </w:pPr>
          </w:p>
          <w:p>
            <w:pPr>
              <w:pStyle w:val="TableParagraph"/>
              <w:spacing w:before="105"/>
              <w:ind w:right="286"/>
              <w:jc w:val="right"/>
              <w:rPr>
                <w:sz w:val="16"/>
              </w:rPr>
            </w:pPr>
            <w:r>
              <w:rPr>
                <w:sz w:val="16"/>
              </w:rPr>
              <w:t>14</w:t>
            </w:r>
          </w:p>
        </w:tc>
        <w:tc>
          <w:tcPr>
            <w:tcW w:w="785" w:type="dxa"/>
          </w:tcPr>
          <w:p>
            <w:pPr>
              <w:pStyle w:val="TableParagraph"/>
              <w:rPr>
                <w:b/>
                <w:sz w:val="16"/>
              </w:rPr>
            </w:pPr>
          </w:p>
          <w:p>
            <w:pPr>
              <w:pStyle w:val="TableParagraph"/>
              <w:spacing w:before="105"/>
              <w:ind w:right="344"/>
              <w:jc w:val="right"/>
              <w:rPr>
                <w:sz w:val="16"/>
              </w:rPr>
            </w:pPr>
            <w:r>
              <w:rPr>
                <w:w w:val="100"/>
                <w:sz w:val="16"/>
              </w:rPr>
              <w:t>1</w:t>
            </w:r>
          </w:p>
        </w:tc>
      </w:tr>
      <w:tr>
        <w:trPr>
          <w:trHeight w:val="487" w:hRule="exact"/>
        </w:trPr>
        <w:tc>
          <w:tcPr>
            <w:tcW w:w="799" w:type="dxa"/>
          </w:tcPr>
          <w:p>
            <w:pPr>
              <w:pStyle w:val="TableParagraph"/>
              <w:rPr>
                <w:b/>
                <w:sz w:val="16"/>
              </w:rPr>
            </w:pPr>
          </w:p>
          <w:p>
            <w:pPr>
              <w:pStyle w:val="TableParagraph"/>
              <w:spacing w:before="102"/>
              <w:ind w:left="285" w:right="285"/>
              <w:jc w:val="center"/>
              <w:rPr>
                <w:b/>
                <w:sz w:val="16"/>
              </w:rPr>
            </w:pPr>
            <w:r>
              <w:rPr>
                <w:b/>
                <w:sz w:val="16"/>
              </w:rPr>
              <w:t>19</w:t>
            </w:r>
          </w:p>
        </w:tc>
        <w:tc>
          <w:tcPr>
            <w:tcW w:w="1423" w:type="dxa"/>
          </w:tcPr>
          <w:p>
            <w:pPr>
              <w:pStyle w:val="TableParagraph"/>
              <w:rPr>
                <w:b/>
                <w:sz w:val="16"/>
              </w:rPr>
            </w:pPr>
          </w:p>
          <w:p>
            <w:pPr>
              <w:pStyle w:val="TableParagraph"/>
              <w:spacing w:before="105"/>
              <w:ind w:left="304" w:right="241"/>
              <w:rPr>
                <w:sz w:val="16"/>
              </w:rPr>
            </w:pPr>
            <w:r>
              <w:rPr>
                <w:sz w:val="16"/>
              </w:rPr>
              <w:t>dualización</w:t>
            </w:r>
          </w:p>
        </w:tc>
        <w:tc>
          <w:tcPr>
            <w:tcW w:w="1441" w:type="dxa"/>
          </w:tcPr>
          <w:p>
            <w:pPr>
              <w:pStyle w:val="TableParagraph"/>
              <w:spacing w:before="104"/>
              <w:ind w:left="470" w:right="235" w:hanging="219"/>
              <w:rPr>
                <w:sz w:val="16"/>
              </w:rPr>
            </w:pPr>
            <w:r>
              <w:rPr>
                <w:sz w:val="16"/>
              </w:rPr>
              <w:t>mercados de trabajo</w:t>
            </w:r>
          </w:p>
        </w:tc>
        <w:tc>
          <w:tcPr>
            <w:tcW w:w="1351" w:type="dxa"/>
          </w:tcPr>
          <w:p>
            <w:pPr>
              <w:pStyle w:val="TableParagraph"/>
              <w:spacing w:before="104"/>
              <w:ind w:left="314" w:right="133" w:hanging="166"/>
              <w:rPr>
                <w:sz w:val="16"/>
              </w:rPr>
            </w:pPr>
            <w:r>
              <w:rPr>
                <w:sz w:val="16"/>
              </w:rPr>
              <w:t>modernización capitalista</w:t>
            </w:r>
          </w:p>
        </w:tc>
        <w:tc>
          <w:tcPr>
            <w:tcW w:w="1119" w:type="dxa"/>
          </w:tcPr>
          <w:p>
            <w:pPr/>
          </w:p>
        </w:tc>
        <w:tc>
          <w:tcPr>
            <w:tcW w:w="1210" w:type="dxa"/>
          </w:tcPr>
          <w:p>
            <w:pPr>
              <w:pStyle w:val="TableParagraph"/>
              <w:rPr>
                <w:b/>
                <w:sz w:val="16"/>
              </w:rPr>
            </w:pPr>
          </w:p>
          <w:p>
            <w:pPr>
              <w:pStyle w:val="TableParagraph"/>
              <w:spacing w:before="105"/>
              <w:ind w:left="209" w:right="211"/>
              <w:jc w:val="center"/>
              <w:rPr>
                <w:sz w:val="16"/>
              </w:rPr>
            </w:pPr>
            <w:r>
              <w:rPr>
                <w:sz w:val="16"/>
              </w:rPr>
              <w:t>2002</w:t>
            </w:r>
          </w:p>
        </w:tc>
        <w:tc>
          <w:tcPr>
            <w:tcW w:w="764" w:type="dxa"/>
          </w:tcPr>
          <w:p>
            <w:pPr>
              <w:pStyle w:val="TableParagraph"/>
              <w:rPr>
                <w:b/>
                <w:sz w:val="16"/>
              </w:rPr>
            </w:pPr>
          </w:p>
          <w:p>
            <w:pPr>
              <w:pStyle w:val="TableParagraph"/>
              <w:spacing w:before="105"/>
              <w:ind w:right="286"/>
              <w:jc w:val="right"/>
              <w:rPr>
                <w:sz w:val="16"/>
              </w:rPr>
            </w:pPr>
            <w:r>
              <w:rPr>
                <w:sz w:val="16"/>
              </w:rPr>
              <w:t>14</w:t>
            </w:r>
          </w:p>
        </w:tc>
        <w:tc>
          <w:tcPr>
            <w:tcW w:w="785" w:type="dxa"/>
          </w:tcPr>
          <w:p>
            <w:pPr>
              <w:pStyle w:val="TableParagraph"/>
              <w:rPr>
                <w:b/>
                <w:sz w:val="16"/>
              </w:rPr>
            </w:pPr>
          </w:p>
          <w:p>
            <w:pPr>
              <w:pStyle w:val="TableParagraph"/>
              <w:spacing w:before="105"/>
              <w:ind w:right="344"/>
              <w:jc w:val="right"/>
              <w:rPr>
                <w:sz w:val="16"/>
              </w:rPr>
            </w:pPr>
            <w:r>
              <w:rPr>
                <w:w w:val="100"/>
                <w:sz w:val="16"/>
              </w:rPr>
              <w:t>1</w:t>
            </w:r>
          </w:p>
        </w:tc>
      </w:tr>
      <w:tr>
        <w:trPr>
          <w:trHeight w:val="487" w:hRule="exact"/>
        </w:trPr>
        <w:tc>
          <w:tcPr>
            <w:tcW w:w="799" w:type="dxa"/>
          </w:tcPr>
          <w:p>
            <w:pPr>
              <w:pStyle w:val="TableParagraph"/>
              <w:rPr>
                <w:b/>
                <w:sz w:val="16"/>
              </w:rPr>
            </w:pPr>
          </w:p>
          <w:p>
            <w:pPr>
              <w:pStyle w:val="TableParagraph"/>
              <w:spacing w:before="102"/>
              <w:ind w:left="285" w:right="285"/>
              <w:jc w:val="center"/>
              <w:rPr>
                <w:b/>
                <w:sz w:val="16"/>
              </w:rPr>
            </w:pPr>
            <w:r>
              <w:rPr>
                <w:b/>
                <w:sz w:val="16"/>
              </w:rPr>
              <w:t>20</w:t>
            </w:r>
          </w:p>
        </w:tc>
        <w:tc>
          <w:tcPr>
            <w:tcW w:w="1423" w:type="dxa"/>
          </w:tcPr>
          <w:p>
            <w:pPr>
              <w:pStyle w:val="TableParagraph"/>
              <w:spacing w:before="104"/>
              <w:ind w:left="357" w:right="48" w:hanging="293"/>
              <w:rPr>
                <w:sz w:val="16"/>
              </w:rPr>
            </w:pPr>
            <w:r>
              <w:rPr>
                <w:sz w:val="16"/>
              </w:rPr>
              <w:t>índices de calidad ambiental</w:t>
            </w:r>
          </w:p>
        </w:tc>
        <w:tc>
          <w:tcPr>
            <w:tcW w:w="1441" w:type="dxa"/>
          </w:tcPr>
          <w:p>
            <w:pPr>
              <w:pStyle w:val="TableParagraph"/>
              <w:spacing w:before="104"/>
              <w:ind w:left="466" w:right="70" w:hanging="380"/>
              <w:rPr>
                <w:sz w:val="16"/>
              </w:rPr>
            </w:pPr>
            <w:r>
              <w:rPr>
                <w:sz w:val="16"/>
              </w:rPr>
              <w:t>gestión ambiental urbana</w:t>
            </w:r>
          </w:p>
        </w:tc>
        <w:tc>
          <w:tcPr>
            <w:tcW w:w="1351" w:type="dxa"/>
          </w:tcPr>
          <w:p>
            <w:pPr>
              <w:pStyle w:val="TableParagraph"/>
              <w:spacing w:before="104"/>
              <w:ind w:left="237" w:right="221" w:firstLine="21"/>
              <w:rPr>
                <w:sz w:val="16"/>
              </w:rPr>
            </w:pPr>
            <w:r>
              <w:rPr>
                <w:sz w:val="16"/>
              </w:rPr>
              <w:t>indicadores ambientales</w:t>
            </w:r>
          </w:p>
        </w:tc>
        <w:tc>
          <w:tcPr>
            <w:tcW w:w="1119" w:type="dxa"/>
          </w:tcPr>
          <w:p>
            <w:pPr>
              <w:pStyle w:val="TableParagraph"/>
              <w:spacing w:before="104"/>
              <w:ind w:left="192" w:right="176" w:firstLine="7"/>
              <w:rPr>
                <w:sz w:val="16"/>
              </w:rPr>
            </w:pPr>
            <w:r>
              <w:rPr>
                <w:sz w:val="16"/>
              </w:rPr>
              <w:t>desarrollo sostenible</w:t>
            </w:r>
          </w:p>
        </w:tc>
        <w:tc>
          <w:tcPr>
            <w:tcW w:w="1210" w:type="dxa"/>
          </w:tcPr>
          <w:p>
            <w:pPr>
              <w:pStyle w:val="TableParagraph"/>
              <w:rPr>
                <w:b/>
                <w:sz w:val="16"/>
              </w:rPr>
            </w:pPr>
          </w:p>
          <w:p>
            <w:pPr>
              <w:pStyle w:val="TableParagraph"/>
              <w:spacing w:before="105"/>
              <w:ind w:left="209" w:right="211"/>
              <w:jc w:val="center"/>
              <w:rPr>
                <w:sz w:val="16"/>
              </w:rPr>
            </w:pPr>
            <w:r>
              <w:rPr>
                <w:sz w:val="16"/>
              </w:rPr>
              <w:t>2006</w:t>
            </w:r>
          </w:p>
        </w:tc>
        <w:tc>
          <w:tcPr>
            <w:tcW w:w="764" w:type="dxa"/>
          </w:tcPr>
          <w:p>
            <w:pPr>
              <w:pStyle w:val="TableParagraph"/>
              <w:rPr>
                <w:b/>
                <w:sz w:val="16"/>
              </w:rPr>
            </w:pPr>
          </w:p>
          <w:p>
            <w:pPr>
              <w:pStyle w:val="TableParagraph"/>
              <w:spacing w:before="105"/>
              <w:ind w:right="286"/>
              <w:jc w:val="right"/>
              <w:rPr>
                <w:sz w:val="16"/>
              </w:rPr>
            </w:pPr>
            <w:r>
              <w:rPr>
                <w:sz w:val="16"/>
              </w:rPr>
              <w:t>13</w:t>
            </w:r>
          </w:p>
        </w:tc>
        <w:tc>
          <w:tcPr>
            <w:tcW w:w="785" w:type="dxa"/>
          </w:tcPr>
          <w:p>
            <w:pPr>
              <w:pStyle w:val="TableParagraph"/>
              <w:rPr>
                <w:b/>
                <w:sz w:val="16"/>
              </w:rPr>
            </w:pPr>
          </w:p>
          <w:p>
            <w:pPr>
              <w:pStyle w:val="TableParagraph"/>
              <w:spacing w:before="105"/>
              <w:ind w:right="344"/>
              <w:jc w:val="right"/>
              <w:rPr>
                <w:sz w:val="16"/>
              </w:rPr>
            </w:pPr>
            <w:r>
              <w:rPr>
                <w:w w:val="100"/>
                <w:sz w:val="16"/>
              </w:rPr>
              <w:t>1</w:t>
            </w:r>
          </w:p>
        </w:tc>
      </w:tr>
      <w:tr>
        <w:trPr>
          <w:trHeight w:val="487" w:hRule="exact"/>
        </w:trPr>
        <w:tc>
          <w:tcPr>
            <w:tcW w:w="799" w:type="dxa"/>
          </w:tcPr>
          <w:p>
            <w:pPr>
              <w:pStyle w:val="TableParagraph"/>
              <w:rPr>
                <w:b/>
                <w:sz w:val="16"/>
              </w:rPr>
            </w:pPr>
          </w:p>
          <w:p>
            <w:pPr>
              <w:pStyle w:val="TableParagraph"/>
              <w:spacing w:before="102"/>
              <w:ind w:left="285" w:right="285"/>
              <w:jc w:val="center"/>
              <w:rPr>
                <w:b/>
                <w:sz w:val="16"/>
              </w:rPr>
            </w:pPr>
            <w:r>
              <w:rPr>
                <w:b/>
                <w:sz w:val="16"/>
              </w:rPr>
              <w:t>21</w:t>
            </w:r>
          </w:p>
        </w:tc>
        <w:tc>
          <w:tcPr>
            <w:tcW w:w="1423" w:type="dxa"/>
          </w:tcPr>
          <w:p>
            <w:pPr>
              <w:pStyle w:val="TableParagraph"/>
              <w:rPr>
                <w:b/>
                <w:sz w:val="16"/>
              </w:rPr>
            </w:pPr>
          </w:p>
          <w:p>
            <w:pPr>
              <w:pStyle w:val="TableParagraph"/>
              <w:spacing w:before="105"/>
              <w:ind w:left="184" w:right="84"/>
              <w:rPr>
                <w:sz w:val="16"/>
              </w:rPr>
            </w:pPr>
            <w:r>
              <w:rPr>
                <w:sz w:val="16"/>
              </w:rPr>
              <w:t>vivienda social</w:t>
            </w:r>
          </w:p>
        </w:tc>
        <w:tc>
          <w:tcPr>
            <w:tcW w:w="1441" w:type="dxa"/>
          </w:tcPr>
          <w:p>
            <w:pPr>
              <w:pStyle w:val="TableParagraph"/>
              <w:rPr>
                <w:b/>
                <w:sz w:val="16"/>
              </w:rPr>
            </w:pPr>
          </w:p>
          <w:p>
            <w:pPr>
              <w:pStyle w:val="TableParagraph"/>
              <w:spacing w:before="105"/>
              <w:ind w:right="108"/>
              <w:jc w:val="right"/>
              <w:rPr>
                <w:sz w:val="16"/>
              </w:rPr>
            </w:pPr>
            <w:r>
              <w:rPr>
                <w:sz w:val="16"/>
              </w:rPr>
              <w:t>políticas urbanas</w:t>
            </w:r>
          </w:p>
        </w:tc>
        <w:tc>
          <w:tcPr>
            <w:tcW w:w="1351" w:type="dxa"/>
          </w:tcPr>
          <w:p>
            <w:pPr>
              <w:pStyle w:val="TableParagraph"/>
              <w:spacing w:before="104"/>
              <w:ind w:left="487" w:right="225" w:hanging="245"/>
              <w:rPr>
                <w:sz w:val="16"/>
              </w:rPr>
            </w:pPr>
            <w:r>
              <w:rPr>
                <w:sz w:val="16"/>
              </w:rPr>
              <w:t>Santiago de Chile</w:t>
            </w:r>
          </w:p>
        </w:tc>
        <w:tc>
          <w:tcPr>
            <w:tcW w:w="1119" w:type="dxa"/>
          </w:tcPr>
          <w:p>
            <w:pPr/>
          </w:p>
        </w:tc>
        <w:tc>
          <w:tcPr>
            <w:tcW w:w="1210" w:type="dxa"/>
          </w:tcPr>
          <w:p>
            <w:pPr>
              <w:pStyle w:val="TableParagraph"/>
              <w:rPr>
                <w:b/>
                <w:sz w:val="16"/>
              </w:rPr>
            </w:pPr>
          </w:p>
          <w:p>
            <w:pPr>
              <w:pStyle w:val="TableParagraph"/>
              <w:spacing w:before="105"/>
              <w:ind w:left="209" w:right="211"/>
              <w:jc w:val="center"/>
              <w:rPr>
                <w:sz w:val="16"/>
              </w:rPr>
            </w:pPr>
            <w:r>
              <w:rPr>
                <w:sz w:val="16"/>
              </w:rPr>
              <w:t>2004</w:t>
            </w:r>
          </w:p>
        </w:tc>
        <w:tc>
          <w:tcPr>
            <w:tcW w:w="764" w:type="dxa"/>
          </w:tcPr>
          <w:p>
            <w:pPr>
              <w:pStyle w:val="TableParagraph"/>
              <w:rPr>
                <w:b/>
                <w:sz w:val="16"/>
              </w:rPr>
            </w:pPr>
          </w:p>
          <w:p>
            <w:pPr>
              <w:pStyle w:val="TableParagraph"/>
              <w:spacing w:before="105"/>
              <w:ind w:right="286"/>
              <w:jc w:val="right"/>
              <w:rPr>
                <w:sz w:val="16"/>
              </w:rPr>
            </w:pPr>
            <w:r>
              <w:rPr>
                <w:sz w:val="16"/>
              </w:rPr>
              <w:t>13</w:t>
            </w:r>
          </w:p>
        </w:tc>
        <w:tc>
          <w:tcPr>
            <w:tcW w:w="785" w:type="dxa"/>
          </w:tcPr>
          <w:p>
            <w:pPr>
              <w:pStyle w:val="TableParagraph"/>
              <w:rPr>
                <w:b/>
                <w:sz w:val="16"/>
              </w:rPr>
            </w:pPr>
          </w:p>
          <w:p>
            <w:pPr>
              <w:pStyle w:val="TableParagraph"/>
              <w:spacing w:before="105"/>
              <w:ind w:right="344"/>
              <w:jc w:val="right"/>
              <w:rPr>
                <w:sz w:val="16"/>
              </w:rPr>
            </w:pPr>
            <w:r>
              <w:rPr>
                <w:w w:val="100"/>
                <w:sz w:val="16"/>
              </w:rPr>
              <w:t>2</w:t>
            </w:r>
          </w:p>
        </w:tc>
      </w:tr>
      <w:tr>
        <w:trPr>
          <w:trHeight w:val="264" w:hRule="exact"/>
        </w:trPr>
        <w:tc>
          <w:tcPr>
            <w:tcW w:w="799" w:type="dxa"/>
          </w:tcPr>
          <w:p>
            <w:pPr>
              <w:pStyle w:val="TableParagraph"/>
              <w:spacing w:before="63"/>
              <w:ind w:left="285" w:right="285"/>
              <w:jc w:val="center"/>
              <w:rPr>
                <w:b/>
                <w:sz w:val="16"/>
              </w:rPr>
            </w:pPr>
            <w:r>
              <w:rPr>
                <w:b/>
                <w:sz w:val="16"/>
              </w:rPr>
              <w:t>22</w:t>
            </w:r>
          </w:p>
        </w:tc>
        <w:tc>
          <w:tcPr>
            <w:tcW w:w="1423" w:type="dxa"/>
          </w:tcPr>
          <w:p>
            <w:pPr>
              <w:pStyle w:val="TableParagraph"/>
              <w:spacing w:before="66"/>
              <w:ind w:right="87"/>
              <w:jc w:val="right"/>
              <w:rPr>
                <w:sz w:val="16"/>
              </w:rPr>
            </w:pPr>
            <w:r>
              <w:rPr>
                <w:sz w:val="16"/>
              </w:rPr>
              <w:t>descentralización</w:t>
            </w:r>
          </w:p>
        </w:tc>
        <w:tc>
          <w:tcPr>
            <w:tcW w:w="1441" w:type="dxa"/>
          </w:tcPr>
          <w:p>
            <w:pPr>
              <w:pStyle w:val="TableParagraph"/>
              <w:spacing w:before="66"/>
              <w:ind w:right="87"/>
              <w:jc w:val="right"/>
              <w:rPr>
                <w:sz w:val="16"/>
              </w:rPr>
            </w:pPr>
            <w:r>
              <w:rPr>
                <w:sz w:val="16"/>
              </w:rPr>
              <w:t>desconcentración</w:t>
            </w:r>
          </w:p>
        </w:tc>
        <w:tc>
          <w:tcPr>
            <w:tcW w:w="1351" w:type="dxa"/>
          </w:tcPr>
          <w:p>
            <w:pPr>
              <w:pStyle w:val="TableParagraph"/>
              <w:spacing w:before="66"/>
              <w:ind w:left="50" w:right="50"/>
              <w:jc w:val="center"/>
              <w:rPr>
                <w:sz w:val="16"/>
              </w:rPr>
            </w:pPr>
            <w:r>
              <w:rPr>
                <w:sz w:val="16"/>
              </w:rPr>
              <w:t>sociedad civil</w:t>
            </w:r>
          </w:p>
        </w:tc>
        <w:tc>
          <w:tcPr>
            <w:tcW w:w="1119" w:type="dxa"/>
          </w:tcPr>
          <w:p>
            <w:pPr>
              <w:pStyle w:val="TableParagraph"/>
              <w:spacing w:before="66"/>
              <w:ind w:left="55" w:right="59"/>
              <w:jc w:val="center"/>
              <w:rPr>
                <w:sz w:val="16"/>
              </w:rPr>
            </w:pPr>
            <w:r>
              <w:rPr>
                <w:sz w:val="16"/>
              </w:rPr>
              <w:t>desarrollo</w:t>
            </w:r>
          </w:p>
        </w:tc>
        <w:tc>
          <w:tcPr>
            <w:tcW w:w="1210" w:type="dxa"/>
          </w:tcPr>
          <w:p>
            <w:pPr>
              <w:pStyle w:val="TableParagraph"/>
              <w:spacing w:before="66"/>
              <w:ind w:left="209" w:right="211"/>
              <w:jc w:val="center"/>
              <w:rPr>
                <w:sz w:val="16"/>
              </w:rPr>
            </w:pPr>
            <w:r>
              <w:rPr>
                <w:sz w:val="16"/>
              </w:rPr>
              <w:t>2004</w:t>
            </w:r>
          </w:p>
        </w:tc>
        <w:tc>
          <w:tcPr>
            <w:tcW w:w="764" w:type="dxa"/>
          </w:tcPr>
          <w:p>
            <w:pPr>
              <w:pStyle w:val="TableParagraph"/>
              <w:spacing w:before="66"/>
              <w:ind w:right="286"/>
              <w:jc w:val="right"/>
              <w:rPr>
                <w:sz w:val="16"/>
              </w:rPr>
            </w:pPr>
            <w:r>
              <w:rPr>
                <w:sz w:val="16"/>
              </w:rPr>
              <w:t>13</w:t>
            </w:r>
          </w:p>
        </w:tc>
        <w:tc>
          <w:tcPr>
            <w:tcW w:w="785" w:type="dxa"/>
          </w:tcPr>
          <w:p>
            <w:pPr>
              <w:pStyle w:val="TableParagraph"/>
              <w:spacing w:before="66"/>
              <w:ind w:right="344"/>
              <w:jc w:val="right"/>
              <w:rPr>
                <w:sz w:val="16"/>
              </w:rPr>
            </w:pPr>
            <w:r>
              <w:rPr>
                <w:w w:val="100"/>
                <w:sz w:val="16"/>
              </w:rPr>
              <w:t>1</w:t>
            </w:r>
          </w:p>
        </w:tc>
      </w:tr>
      <w:tr>
        <w:trPr>
          <w:trHeight w:val="488" w:hRule="exact"/>
        </w:trPr>
        <w:tc>
          <w:tcPr>
            <w:tcW w:w="799" w:type="dxa"/>
          </w:tcPr>
          <w:p>
            <w:pPr>
              <w:pStyle w:val="TableParagraph"/>
              <w:rPr>
                <w:b/>
                <w:sz w:val="16"/>
              </w:rPr>
            </w:pPr>
          </w:p>
          <w:p>
            <w:pPr>
              <w:pStyle w:val="TableParagraph"/>
              <w:spacing w:before="103"/>
              <w:ind w:left="285" w:right="285"/>
              <w:jc w:val="center"/>
              <w:rPr>
                <w:b/>
                <w:sz w:val="16"/>
              </w:rPr>
            </w:pPr>
            <w:r>
              <w:rPr>
                <w:b/>
                <w:sz w:val="16"/>
              </w:rPr>
              <w:t>23</w:t>
            </w:r>
          </w:p>
        </w:tc>
        <w:tc>
          <w:tcPr>
            <w:tcW w:w="1423" w:type="dxa"/>
          </w:tcPr>
          <w:p>
            <w:pPr>
              <w:pStyle w:val="TableParagraph"/>
              <w:spacing w:before="104"/>
              <w:ind w:left="331" w:right="138" w:hanging="178"/>
              <w:rPr>
                <w:sz w:val="16"/>
              </w:rPr>
            </w:pPr>
            <w:r>
              <w:rPr>
                <w:sz w:val="16"/>
              </w:rPr>
              <w:t>constructivismo geográfico</w:t>
            </w:r>
          </w:p>
        </w:tc>
        <w:tc>
          <w:tcPr>
            <w:tcW w:w="1441" w:type="dxa"/>
          </w:tcPr>
          <w:p>
            <w:pPr>
              <w:pStyle w:val="TableParagraph"/>
              <w:rPr>
                <w:b/>
                <w:sz w:val="16"/>
              </w:rPr>
            </w:pPr>
          </w:p>
          <w:p>
            <w:pPr>
              <w:pStyle w:val="TableParagraph"/>
              <w:spacing w:before="105"/>
              <w:ind w:left="59" w:right="15"/>
              <w:jc w:val="center"/>
              <w:rPr>
                <w:sz w:val="16"/>
              </w:rPr>
            </w:pPr>
            <w:r>
              <w:rPr>
                <w:sz w:val="16"/>
              </w:rPr>
              <w:t>lugar</w:t>
            </w:r>
          </w:p>
        </w:tc>
        <w:tc>
          <w:tcPr>
            <w:tcW w:w="1351" w:type="dxa"/>
          </w:tcPr>
          <w:p>
            <w:pPr>
              <w:pStyle w:val="TableParagraph"/>
              <w:spacing w:before="104"/>
              <w:ind w:left="381" w:right="242" w:hanging="120"/>
              <w:rPr>
                <w:sz w:val="16"/>
              </w:rPr>
            </w:pPr>
            <w:r>
              <w:rPr>
                <w:sz w:val="16"/>
              </w:rPr>
              <w:t>imaginarios urbanos</w:t>
            </w:r>
          </w:p>
        </w:tc>
        <w:tc>
          <w:tcPr>
            <w:tcW w:w="1119" w:type="dxa"/>
          </w:tcPr>
          <w:p>
            <w:pPr>
              <w:pStyle w:val="TableParagraph"/>
              <w:spacing w:before="104"/>
              <w:ind w:left="173" w:right="121" w:hanging="41"/>
              <w:rPr>
                <w:sz w:val="16"/>
              </w:rPr>
            </w:pPr>
            <w:r>
              <w:rPr>
                <w:sz w:val="16"/>
              </w:rPr>
              <w:t>hologramas espaciales</w:t>
            </w:r>
          </w:p>
        </w:tc>
        <w:tc>
          <w:tcPr>
            <w:tcW w:w="1210" w:type="dxa"/>
          </w:tcPr>
          <w:p>
            <w:pPr>
              <w:pStyle w:val="TableParagraph"/>
              <w:rPr>
                <w:b/>
                <w:sz w:val="16"/>
              </w:rPr>
            </w:pPr>
          </w:p>
          <w:p>
            <w:pPr>
              <w:pStyle w:val="TableParagraph"/>
              <w:spacing w:before="105"/>
              <w:ind w:left="209" w:right="211"/>
              <w:jc w:val="center"/>
              <w:rPr>
                <w:sz w:val="16"/>
              </w:rPr>
            </w:pPr>
            <w:r>
              <w:rPr>
                <w:sz w:val="16"/>
              </w:rPr>
              <w:t>2007</w:t>
            </w:r>
          </w:p>
        </w:tc>
        <w:tc>
          <w:tcPr>
            <w:tcW w:w="764" w:type="dxa"/>
          </w:tcPr>
          <w:p>
            <w:pPr>
              <w:pStyle w:val="TableParagraph"/>
              <w:rPr>
                <w:b/>
                <w:sz w:val="16"/>
              </w:rPr>
            </w:pPr>
          </w:p>
          <w:p>
            <w:pPr>
              <w:pStyle w:val="TableParagraph"/>
              <w:spacing w:before="105"/>
              <w:ind w:right="286"/>
              <w:jc w:val="right"/>
              <w:rPr>
                <w:sz w:val="16"/>
              </w:rPr>
            </w:pPr>
            <w:r>
              <w:rPr>
                <w:sz w:val="16"/>
              </w:rPr>
              <w:t>12</w:t>
            </w:r>
          </w:p>
        </w:tc>
        <w:tc>
          <w:tcPr>
            <w:tcW w:w="785" w:type="dxa"/>
          </w:tcPr>
          <w:p>
            <w:pPr>
              <w:pStyle w:val="TableParagraph"/>
              <w:rPr>
                <w:b/>
                <w:sz w:val="16"/>
              </w:rPr>
            </w:pPr>
          </w:p>
          <w:p>
            <w:pPr>
              <w:pStyle w:val="TableParagraph"/>
              <w:spacing w:before="105"/>
              <w:ind w:right="344"/>
              <w:jc w:val="right"/>
              <w:rPr>
                <w:sz w:val="16"/>
              </w:rPr>
            </w:pPr>
            <w:r>
              <w:rPr>
                <w:w w:val="100"/>
                <w:sz w:val="16"/>
              </w:rPr>
              <w:t>1</w:t>
            </w:r>
          </w:p>
        </w:tc>
      </w:tr>
    </w:tbl>
    <w:p>
      <w:pPr>
        <w:spacing w:after="0"/>
        <w:jc w:val="right"/>
        <w:rPr>
          <w:sz w:val="16"/>
        </w:rPr>
        <w:sectPr>
          <w:pgSz w:w="12240" w:h="15840"/>
          <w:pgMar w:header="0" w:footer="629" w:top="1360" w:bottom="820" w:left="1580" w:right="154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9"/>
        <w:gridCol w:w="1423"/>
        <w:gridCol w:w="1441"/>
        <w:gridCol w:w="1351"/>
        <w:gridCol w:w="1119"/>
        <w:gridCol w:w="1210"/>
        <w:gridCol w:w="764"/>
        <w:gridCol w:w="785"/>
      </w:tblGrid>
      <w:tr>
        <w:trPr>
          <w:trHeight w:val="384" w:hRule="exact"/>
        </w:trPr>
        <w:tc>
          <w:tcPr>
            <w:tcW w:w="8891" w:type="dxa"/>
            <w:gridSpan w:val="8"/>
          </w:tcPr>
          <w:p>
            <w:pPr>
              <w:pStyle w:val="TableParagraph"/>
              <w:spacing w:before="90"/>
              <w:ind w:left="2561"/>
              <w:rPr>
                <w:b/>
                <w:sz w:val="24"/>
              </w:rPr>
            </w:pPr>
            <w:r>
              <w:rPr>
                <w:b/>
                <w:sz w:val="24"/>
              </w:rPr>
              <w:t>Sección 1. Autoría (variable 1 a la 7)</w:t>
            </w:r>
          </w:p>
        </w:tc>
      </w:tr>
      <w:tr>
        <w:trPr>
          <w:trHeight w:val="377" w:hRule="exact"/>
        </w:trPr>
        <w:tc>
          <w:tcPr>
            <w:tcW w:w="799" w:type="dxa"/>
            <w:vMerge w:val="restart"/>
          </w:tcPr>
          <w:p>
            <w:pPr>
              <w:pStyle w:val="TableParagraph"/>
              <w:spacing w:before="7"/>
              <w:rPr>
                <w:b/>
                <w:sz w:val="20"/>
              </w:rPr>
            </w:pPr>
          </w:p>
          <w:p>
            <w:pPr>
              <w:pStyle w:val="TableParagraph"/>
              <w:ind w:left="100" w:right="96" w:hanging="3"/>
              <w:jc w:val="center"/>
              <w:rPr>
                <w:b/>
                <w:sz w:val="16"/>
              </w:rPr>
            </w:pPr>
            <w:r>
              <w:rPr>
                <w:b/>
                <w:sz w:val="16"/>
              </w:rPr>
              <w:t>Unidad de análisis</w:t>
            </w:r>
          </w:p>
        </w:tc>
        <w:tc>
          <w:tcPr>
            <w:tcW w:w="1423" w:type="dxa"/>
          </w:tcPr>
          <w:p>
            <w:pPr>
              <w:pStyle w:val="TableParagraph"/>
              <w:spacing w:before="2"/>
              <w:rPr>
                <w:b/>
                <w:sz w:val="15"/>
              </w:rPr>
            </w:pPr>
          </w:p>
          <w:p>
            <w:pPr>
              <w:pStyle w:val="TableParagraph"/>
              <w:ind w:left="45" w:right="45"/>
              <w:jc w:val="center"/>
              <w:rPr>
                <w:b/>
                <w:sz w:val="16"/>
              </w:rPr>
            </w:pPr>
            <w:r>
              <w:rPr>
                <w:b/>
                <w:sz w:val="16"/>
              </w:rPr>
              <w:t>variable 1</w:t>
            </w:r>
          </w:p>
        </w:tc>
        <w:tc>
          <w:tcPr>
            <w:tcW w:w="1441" w:type="dxa"/>
          </w:tcPr>
          <w:p>
            <w:pPr>
              <w:pStyle w:val="TableParagraph"/>
              <w:spacing w:before="2"/>
              <w:rPr>
                <w:b/>
                <w:sz w:val="15"/>
              </w:rPr>
            </w:pPr>
          </w:p>
          <w:p>
            <w:pPr>
              <w:pStyle w:val="TableParagraph"/>
              <w:ind w:left="59" w:right="56"/>
              <w:jc w:val="center"/>
              <w:rPr>
                <w:b/>
                <w:sz w:val="16"/>
              </w:rPr>
            </w:pPr>
            <w:r>
              <w:rPr>
                <w:b/>
                <w:sz w:val="16"/>
              </w:rPr>
              <w:t>variable 2</w:t>
            </w:r>
          </w:p>
        </w:tc>
        <w:tc>
          <w:tcPr>
            <w:tcW w:w="1351" w:type="dxa"/>
          </w:tcPr>
          <w:p>
            <w:pPr>
              <w:pStyle w:val="TableParagraph"/>
              <w:spacing w:before="2"/>
              <w:rPr>
                <w:b/>
                <w:sz w:val="15"/>
              </w:rPr>
            </w:pPr>
          </w:p>
          <w:p>
            <w:pPr>
              <w:pStyle w:val="TableParagraph"/>
              <w:ind w:left="50" w:right="50"/>
              <w:jc w:val="center"/>
              <w:rPr>
                <w:b/>
                <w:sz w:val="16"/>
              </w:rPr>
            </w:pPr>
            <w:r>
              <w:rPr>
                <w:b/>
                <w:sz w:val="16"/>
              </w:rPr>
              <w:t>variable 3</w:t>
            </w:r>
          </w:p>
        </w:tc>
        <w:tc>
          <w:tcPr>
            <w:tcW w:w="1119" w:type="dxa"/>
          </w:tcPr>
          <w:p>
            <w:pPr>
              <w:pStyle w:val="TableParagraph"/>
              <w:spacing w:before="2"/>
              <w:rPr>
                <w:b/>
                <w:sz w:val="15"/>
              </w:rPr>
            </w:pPr>
          </w:p>
          <w:p>
            <w:pPr>
              <w:pStyle w:val="TableParagraph"/>
              <w:ind w:left="182" w:right="141"/>
              <w:rPr>
                <w:b/>
                <w:sz w:val="16"/>
              </w:rPr>
            </w:pPr>
            <w:r>
              <w:rPr>
                <w:b/>
                <w:sz w:val="16"/>
              </w:rPr>
              <w:t>variable 4</w:t>
            </w:r>
          </w:p>
        </w:tc>
        <w:tc>
          <w:tcPr>
            <w:tcW w:w="1210" w:type="dxa"/>
          </w:tcPr>
          <w:p>
            <w:pPr>
              <w:pStyle w:val="TableParagraph"/>
              <w:spacing w:before="2"/>
              <w:rPr>
                <w:b/>
                <w:sz w:val="15"/>
              </w:rPr>
            </w:pPr>
          </w:p>
          <w:p>
            <w:pPr>
              <w:pStyle w:val="TableParagraph"/>
              <w:ind w:left="210" w:right="211"/>
              <w:jc w:val="center"/>
              <w:rPr>
                <w:b/>
                <w:sz w:val="16"/>
              </w:rPr>
            </w:pPr>
            <w:r>
              <w:rPr>
                <w:b/>
                <w:sz w:val="16"/>
              </w:rPr>
              <w:t>variable 5</w:t>
            </w:r>
          </w:p>
        </w:tc>
        <w:tc>
          <w:tcPr>
            <w:tcW w:w="764" w:type="dxa"/>
          </w:tcPr>
          <w:p>
            <w:pPr>
              <w:pStyle w:val="TableParagraph"/>
              <w:spacing w:line="174" w:lineRule="exact"/>
              <w:ind w:left="54" w:right="54"/>
              <w:jc w:val="center"/>
              <w:rPr>
                <w:b/>
                <w:sz w:val="16"/>
              </w:rPr>
            </w:pPr>
            <w:r>
              <w:rPr>
                <w:b/>
                <w:sz w:val="16"/>
              </w:rPr>
              <w:t>variable</w:t>
            </w:r>
          </w:p>
          <w:p>
            <w:pPr>
              <w:pStyle w:val="TableParagraph"/>
              <w:spacing w:before="1"/>
              <w:jc w:val="center"/>
              <w:rPr>
                <w:b/>
                <w:sz w:val="16"/>
              </w:rPr>
            </w:pPr>
            <w:r>
              <w:rPr>
                <w:b/>
                <w:w w:val="100"/>
                <w:sz w:val="16"/>
              </w:rPr>
              <w:t>6</w:t>
            </w:r>
          </w:p>
        </w:tc>
        <w:tc>
          <w:tcPr>
            <w:tcW w:w="785" w:type="dxa"/>
          </w:tcPr>
          <w:p>
            <w:pPr>
              <w:pStyle w:val="TableParagraph"/>
              <w:spacing w:line="174" w:lineRule="exact"/>
              <w:ind w:left="64" w:right="66"/>
              <w:jc w:val="center"/>
              <w:rPr>
                <w:b/>
                <w:sz w:val="16"/>
              </w:rPr>
            </w:pPr>
            <w:r>
              <w:rPr>
                <w:b/>
                <w:sz w:val="16"/>
              </w:rPr>
              <w:t>variable</w:t>
            </w:r>
          </w:p>
          <w:p>
            <w:pPr>
              <w:pStyle w:val="TableParagraph"/>
              <w:spacing w:before="1"/>
              <w:ind w:right="2"/>
              <w:jc w:val="center"/>
              <w:rPr>
                <w:b/>
                <w:sz w:val="16"/>
              </w:rPr>
            </w:pPr>
            <w:r>
              <w:rPr>
                <w:b/>
                <w:w w:val="100"/>
                <w:sz w:val="16"/>
              </w:rPr>
              <w:t>7</w:t>
            </w:r>
          </w:p>
        </w:tc>
      </w:tr>
      <w:tr>
        <w:trPr>
          <w:trHeight w:val="432" w:hRule="exact"/>
        </w:trPr>
        <w:tc>
          <w:tcPr>
            <w:tcW w:w="799" w:type="dxa"/>
            <w:vMerge/>
          </w:tcPr>
          <w:p>
            <w:pPr/>
          </w:p>
        </w:tc>
        <w:tc>
          <w:tcPr>
            <w:tcW w:w="1423" w:type="dxa"/>
          </w:tcPr>
          <w:p>
            <w:pPr>
              <w:pStyle w:val="TableParagraph"/>
              <w:spacing w:before="42"/>
              <w:ind w:left="460" w:right="358" w:hanging="92"/>
              <w:rPr>
                <w:b/>
                <w:sz w:val="16"/>
              </w:rPr>
            </w:pPr>
            <w:r>
              <w:rPr>
                <w:b/>
                <w:sz w:val="16"/>
              </w:rPr>
              <w:t>Palabras clave1</w:t>
            </w:r>
          </w:p>
        </w:tc>
        <w:tc>
          <w:tcPr>
            <w:tcW w:w="1441" w:type="dxa"/>
          </w:tcPr>
          <w:p>
            <w:pPr>
              <w:pStyle w:val="TableParagraph"/>
              <w:spacing w:before="9"/>
              <w:rPr>
                <w:b/>
                <w:sz w:val="19"/>
              </w:rPr>
            </w:pPr>
          </w:p>
          <w:p>
            <w:pPr>
              <w:pStyle w:val="TableParagraph"/>
              <w:ind w:left="59" w:right="58"/>
              <w:jc w:val="center"/>
              <w:rPr>
                <w:b/>
                <w:sz w:val="16"/>
              </w:rPr>
            </w:pPr>
            <w:r>
              <w:rPr>
                <w:b/>
                <w:sz w:val="16"/>
              </w:rPr>
              <w:t>Palabras clave2</w:t>
            </w:r>
          </w:p>
        </w:tc>
        <w:tc>
          <w:tcPr>
            <w:tcW w:w="1351" w:type="dxa"/>
          </w:tcPr>
          <w:p>
            <w:pPr>
              <w:pStyle w:val="TableParagraph"/>
              <w:spacing w:before="9"/>
              <w:rPr>
                <w:b/>
                <w:sz w:val="19"/>
              </w:rPr>
            </w:pPr>
          </w:p>
          <w:p>
            <w:pPr>
              <w:pStyle w:val="TableParagraph"/>
              <w:ind w:left="50" w:right="50"/>
              <w:jc w:val="center"/>
              <w:rPr>
                <w:b/>
                <w:sz w:val="16"/>
              </w:rPr>
            </w:pPr>
            <w:r>
              <w:rPr>
                <w:b/>
                <w:sz w:val="16"/>
              </w:rPr>
              <w:t>Palabras clave3</w:t>
            </w:r>
          </w:p>
        </w:tc>
        <w:tc>
          <w:tcPr>
            <w:tcW w:w="1119" w:type="dxa"/>
          </w:tcPr>
          <w:p>
            <w:pPr>
              <w:pStyle w:val="TableParagraph"/>
              <w:spacing w:before="42"/>
              <w:ind w:left="307" w:right="207" w:hanging="92"/>
              <w:rPr>
                <w:b/>
                <w:sz w:val="16"/>
              </w:rPr>
            </w:pPr>
            <w:r>
              <w:rPr>
                <w:b/>
                <w:sz w:val="16"/>
              </w:rPr>
              <w:t>Palabras clave4</w:t>
            </w:r>
          </w:p>
        </w:tc>
        <w:tc>
          <w:tcPr>
            <w:tcW w:w="1210" w:type="dxa"/>
          </w:tcPr>
          <w:p>
            <w:pPr>
              <w:pStyle w:val="TableParagraph"/>
              <w:spacing w:before="42"/>
              <w:ind w:left="153" w:right="138" w:firstLine="172"/>
              <w:rPr>
                <w:b/>
                <w:sz w:val="16"/>
              </w:rPr>
            </w:pPr>
            <w:r>
              <w:rPr>
                <w:b/>
                <w:sz w:val="16"/>
              </w:rPr>
              <w:t>Año de publicación</w:t>
            </w:r>
          </w:p>
        </w:tc>
        <w:tc>
          <w:tcPr>
            <w:tcW w:w="764" w:type="dxa"/>
          </w:tcPr>
          <w:p>
            <w:pPr>
              <w:pStyle w:val="TableParagraph"/>
              <w:spacing w:before="42"/>
              <w:ind w:left="194" w:right="51" w:hanging="125"/>
              <w:rPr>
                <w:b/>
                <w:sz w:val="16"/>
              </w:rPr>
            </w:pPr>
            <w:r>
              <w:rPr>
                <w:b/>
                <w:sz w:val="16"/>
              </w:rPr>
              <w:t>Total de citas</w:t>
            </w:r>
          </w:p>
        </w:tc>
        <w:tc>
          <w:tcPr>
            <w:tcW w:w="785" w:type="dxa"/>
          </w:tcPr>
          <w:p>
            <w:pPr>
              <w:pStyle w:val="TableParagraph"/>
              <w:spacing w:before="42"/>
              <w:ind w:left="95" w:right="63" w:hanging="17"/>
              <w:rPr>
                <w:b/>
                <w:sz w:val="16"/>
              </w:rPr>
            </w:pPr>
            <w:r>
              <w:rPr>
                <w:b/>
                <w:sz w:val="16"/>
              </w:rPr>
              <w:t>Total de autores</w:t>
            </w:r>
          </w:p>
        </w:tc>
      </w:tr>
      <w:tr>
        <w:trPr>
          <w:trHeight w:val="487" w:hRule="exact"/>
        </w:trPr>
        <w:tc>
          <w:tcPr>
            <w:tcW w:w="799" w:type="dxa"/>
          </w:tcPr>
          <w:p>
            <w:pPr>
              <w:pStyle w:val="TableParagraph"/>
              <w:rPr>
                <w:b/>
                <w:sz w:val="16"/>
              </w:rPr>
            </w:pPr>
          </w:p>
          <w:p>
            <w:pPr>
              <w:pStyle w:val="TableParagraph"/>
              <w:spacing w:before="98"/>
              <w:ind w:left="285" w:right="285"/>
              <w:jc w:val="center"/>
              <w:rPr>
                <w:b/>
                <w:sz w:val="16"/>
              </w:rPr>
            </w:pPr>
            <w:r>
              <w:rPr>
                <w:b/>
                <w:sz w:val="16"/>
              </w:rPr>
              <w:t>24</w:t>
            </w:r>
          </w:p>
        </w:tc>
        <w:tc>
          <w:tcPr>
            <w:tcW w:w="1423" w:type="dxa"/>
          </w:tcPr>
          <w:p>
            <w:pPr>
              <w:pStyle w:val="TableParagraph"/>
              <w:rPr>
                <w:b/>
                <w:sz w:val="16"/>
              </w:rPr>
            </w:pPr>
          </w:p>
          <w:p>
            <w:pPr>
              <w:pStyle w:val="TableParagraph"/>
              <w:spacing w:before="101"/>
              <w:ind w:left="45" w:right="45"/>
              <w:jc w:val="center"/>
              <w:rPr>
                <w:sz w:val="16"/>
              </w:rPr>
            </w:pPr>
            <w:r>
              <w:rPr>
                <w:sz w:val="16"/>
              </w:rPr>
              <w:t>ciudades-modelo</w:t>
            </w:r>
          </w:p>
        </w:tc>
        <w:tc>
          <w:tcPr>
            <w:tcW w:w="1441" w:type="dxa"/>
          </w:tcPr>
          <w:p>
            <w:pPr>
              <w:pStyle w:val="TableParagraph"/>
              <w:rPr>
                <w:b/>
                <w:sz w:val="16"/>
              </w:rPr>
            </w:pPr>
          </w:p>
          <w:p>
            <w:pPr>
              <w:pStyle w:val="TableParagraph"/>
              <w:spacing w:before="101"/>
              <w:ind w:left="59" w:right="59"/>
              <w:jc w:val="center"/>
              <w:rPr>
                <w:sz w:val="16"/>
              </w:rPr>
            </w:pPr>
            <w:r>
              <w:rPr>
                <w:sz w:val="16"/>
              </w:rPr>
              <w:t>city marketing</w:t>
            </w:r>
          </w:p>
        </w:tc>
        <w:tc>
          <w:tcPr>
            <w:tcW w:w="1351" w:type="dxa"/>
          </w:tcPr>
          <w:p>
            <w:pPr>
              <w:pStyle w:val="TableParagraph"/>
              <w:spacing w:before="100"/>
              <w:ind w:left="235" w:right="114" w:hanging="104"/>
              <w:rPr>
                <w:sz w:val="16"/>
              </w:rPr>
            </w:pPr>
            <w:r>
              <w:rPr>
                <w:sz w:val="16"/>
              </w:rPr>
              <w:t>agenda urbana hegemónica</w:t>
            </w:r>
          </w:p>
        </w:tc>
        <w:tc>
          <w:tcPr>
            <w:tcW w:w="1119" w:type="dxa"/>
          </w:tcPr>
          <w:p>
            <w:pPr/>
          </w:p>
        </w:tc>
        <w:tc>
          <w:tcPr>
            <w:tcW w:w="1210" w:type="dxa"/>
          </w:tcPr>
          <w:p>
            <w:pPr>
              <w:pStyle w:val="TableParagraph"/>
              <w:rPr>
                <w:b/>
                <w:sz w:val="16"/>
              </w:rPr>
            </w:pPr>
          </w:p>
          <w:p>
            <w:pPr>
              <w:pStyle w:val="TableParagraph"/>
              <w:spacing w:before="101"/>
              <w:ind w:left="209" w:right="211"/>
              <w:jc w:val="center"/>
              <w:rPr>
                <w:sz w:val="16"/>
              </w:rPr>
            </w:pPr>
            <w:r>
              <w:rPr>
                <w:sz w:val="16"/>
              </w:rPr>
              <w:t>2005</w:t>
            </w:r>
          </w:p>
        </w:tc>
        <w:tc>
          <w:tcPr>
            <w:tcW w:w="764" w:type="dxa"/>
          </w:tcPr>
          <w:p>
            <w:pPr>
              <w:pStyle w:val="TableParagraph"/>
              <w:rPr>
                <w:b/>
                <w:sz w:val="16"/>
              </w:rPr>
            </w:pPr>
          </w:p>
          <w:p>
            <w:pPr>
              <w:pStyle w:val="TableParagraph"/>
              <w:spacing w:before="101"/>
              <w:ind w:right="286"/>
              <w:jc w:val="right"/>
              <w:rPr>
                <w:sz w:val="16"/>
              </w:rPr>
            </w:pPr>
            <w:r>
              <w:rPr>
                <w:sz w:val="16"/>
              </w:rPr>
              <w:t>12</w:t>
            </w:r>
          </w:p>
        </w:tc>
        <w:tc>
          <w:tcPr>
            <w:tcW w:w="785" w:type="dxa"/>
          </w:tcPr>
          <w:p>
            <w:pPr>
              <w:pStyle w:val="TableParagraph"/>
              <w:rPr>
                <w:b/>
                <w:sz w:val="16"/>
              </w:rPr>
            </w:pPr>
          </w:p>
          <w:p>
            <w:pPr>
              <w:pStyle w:val="TableParagraph"/>
              <w:spacing w:before="101"/>
              <w:ind w:right="344"/>
              <w:jc w:val="right"/>
              <w:rPr>
                <w:sz w:val="16"/>
              </w:rPr>
            </w:pPr>
            <w:r>
              <w:rPr>
                <w:w w:val="100"/>
                <w:sz w:val="16"/>
              </w:rPr>
              <w:t>2</w:t>
            </w:r>
          </w:p>
        </w:tc>
      </w:tr>
      <w:tr>
        <w:trPr>
          <w:trHeight w:val="485" w:hRule="exact"/>
        </w:trPr>
        <w:tc>
          <w:tcPr>
            <w:tcW w:w="799" w:type="dxa"/>
          </w:tcPr>
          <w:p>
            <w:pPr>
              <w:pStyle w:val="TableParagraph"/>
              <w:rPr>
                <w:b/>
                <w:sz w:val="16"/>
              </w:rPr>
            </w:pPr>
          </w:p>
          <w:p>
            <w:pPr>
              <w:pStyle w:val="TableParagraph"/>
              <w:spacing w:before="98"/>
              <w:ind w:left="285" w:right="285"/>
              <w:jc w:val="center"/>
              <w:rPr>
                <w:b/>
                <w:sz w:val="16"/>
              </w:rPr>
            </w:pPr>
            <w:r>
              <w:rPr>
                <w:b/>
                <w:sz w:val="16"/>
              </w:rPr>
              <w:t>25</w:t>
            </w:r>
          </w:p>
        </w:tc>
        <w:tc>
          <w:tcPr>
            <w:tcW w:w="1423" w:type="dxa"/>
          </w:tcPr>
          <w:p>
            <w:pPr>
              <w:pStyle w:val="TableParagraph"/>
              <w:rPr>
                <w:b/>
                <w:sz w:val="16"/>
              </w:rPr>
            </w:pPr>
          </w:p>
          <w:p>
            <w:pPr>
              <w:pStyle w:val="TableParagraph"/>
              <w:spacing w:before="101"/>
              <w:ind w:left="43" w:right="46"/>
              <w:jc w:val="center"/>
              <w:rPr>
                <w:sz w:val="16"/>
              </w:rPr>
            </w:pPr>
            <w:r>
              <w:rPr>
                <w:sz w:val="16"/>
              </w:rPr>
              <w:t>desarrollo urbano</w:t>
            </w:r>
          </w:p>
        </w:tc>
        <w:tc>
          <w:tcPr>
            <w:tcW w:w="1441" w:type="dxa"/>
          </w:tcPr>
          <w:p>
            <w:pPr>
              <w:pStyle w:val="TableParagraph"/>
              <w:rPr>
                <w:b/>
                <w:sz w:val="16"/>
              </w:rPr>
            </w:pPr>
          </w:p>
          <w:p>
            <w:pPr>
              <w:pStyle w:val="TableParagraph"/>
              <w:spacing w:before="101"/>
              <w:ind w:left="59" w:right="58"/>
              <w:jc w:val="center"/>
              <w:rPr>
                <w:sz w:val="16"/>
              </w:rPr>
            </w:pPr>
            <w:r>
              <w:rPr>
                <w:sz w:val="16"/>
              </w:rPr>
              <w:t>globalización</w:t>
            </w:r>
          </w:p>
        </w:tc>
        <w:tc>
          <w:tcPr>
            <w:tcW w:w="1351" w:type="dxa"/>
          </w:tcPr>
          <w:p>
            <w:pPr>
              <w:pStyle w:val="TableParagraph"/>
              <w:spacing w:before="100"/>
              <w:ind w:left="417" w:right="288" w:hanging="113"/>
              <w:rPr>
                <w:sz w:val="16"/>
              </w:rPr>
            </w:pPr>
            <w:r>
              <w:rPr>
                <w:sz w:val="16"/>
              </w:rPr>
              <w:t>Ciudad de México</w:t>
            </w:r>
          </w:p>
        </w:tc>
        <w:tc>
          <w:tcPr>
            <w:tcW w:w="1119" w:type="dxa"/>
          </w:tcPr>
          <w:p>
            <w:pPr>
              <w:pStyle w:val="TableParagraph"/>
              <w:rPr>
                <w:b/>
                <w:sz w:val="16"/>
              </w:rPr>
            </w:pPr>
          </w:p>
          <w:p>
            <w:pPr>
              <w:pStyle w:val="TableParagraph"/>
              <w:spacing w:before="101"/>
              <w:ind w:left="235" w:right="200"/>
              <w:rPr>
                <w:sz w:val="16"/>
              </w:rPr>
            </w:pPr>
            <w:r>
              <w:rPr>
                <w:sz w:val="16"/>
              </w:rPr>
              <w:t>Santiago</w:t>
            </w:r>
          </w:p>
        </w:tc>
        <w:tc>
          <w:tcPr>
            <w:tcW w:w="1210" w:type="dxa"/>
          </w:tcPr>
          <w:p>
            <w:pPr>
              <w:pStyle w:val="TableParagraph"/>
              <w:rPr>
                <w:b/>
                <w:sz w:val="16"/>
              </w:rPr>
            </w:pPr>
          </w:p>
          <w:p>
            <w:pPr>
              <w:pStyle w:val="TableParagraph"/>
              <w:spacing w:before="101"/>
              <w:ind w:left="209" w:right="211"/>
              <w:jc w:val="center"/>
              <w:rPr>
                <w:sz w:val="16"/>
              </w:rPr>
            </w:pPr>
            <w:r>
              <w:rPr>
                <w:sz w:val="16"/>
              </w:rPr>
              <w:t>2005</w:t>
            </w:r>
          </w:p>
        </w:tc>
        <w:tc>
          <w:tcPr>
            <w:tcW w:w="764" w:type="dxa"/>
          </w:tcPr>
          <w:p>
            <w:pPr>
              <w:pStyle w:val="TableParagraph"/>
              <w:rPr>
                <w:b/>
                <w:sz w:val="16"/>
              </w:rPr>
            </w:pPr>
          </w:p>
          <w:p>
            <w:pPr>
              <w:pStyle w:val="TableParagraph"/>
              <w:spacing w:before="101"/>
              <w:ind w:right="286"/>
              <w:jc w:val="right"/>
              <w:rPr>
                <w:sz w:val="16"/>
              </w:rPr>
            </w:pPr>
            <w:r>
              <w:rPr>
                <w:sz w:val="16"/>
              </w:rPr>
              <w:t>12</w:t>
            </w:r>
          </w:p>
        </w:tc>
        <w:tc>
          <w:tcPr>
            <w:tcW w:w="785" w:type="dxa"/>
          </w:tcPr>
          <w:p>
            <w:pPr>
              <w:pStyle w:val="TableParagraph"/>
              <w:rPr>
                <w:b/>
                <w:sz w:val="16"/>
              </w:rPr>
            </w:pPr>
          </w:p>
          <w:p>
            <w:pPr>
              <w:pStyle w:val="TableParagraph"/>
              <w:spacing w:before="101"/>
              <w:ind w:right="344"/>
              <w:jc w:val="right"/>
              <w:rPr>
                <w:sz w:val="16"/>
              </w:rPr>
            </w:pPr>
            <w:r>
              <w:rPr>
                <w:w w:val="100"/>
                <w:sz w:val="16"/>
              </w:rPr>
              <w:t>1</w:t>
            </w:r>
          </w:p>
        </w:tc>
      </w:tr>
      <w:tr>
        <w:trPr>
          <w:trHeight w:val="487" w:hRule="exact"/>
        </w:trPr>
        <w:tc>
          <w:tcPr>
            <w:tcW w:w="799" w:type="dxa"/>
          </w:tcPr>
          <w:p>
            <w:pPr>
              <w:pStyle w:val="TableParagraph"/>
              <w:rPr>
                <w:b/>
                <w:sz w:val="16"/>
              </w:rPr>
            </w:pPr>
          </w:p>
          <w:p>
            <w:pPr>
              <w:pStyle w:val="TableParagraph"/>
              <w:spacing w:before="101"/>
              <w:ind w:left="285" w:right="285"/>
              <w:jc w:val="center"/>
              <w:rPr>
                <w:b/>
                <w:sz w:val="16"/>
              </w:rPr>
            </w:pPr>
            <w:r>
              <w:rPr>
                <w:b/>
                <w:sz w:val="16"/>
              </w:rPr>
              <w:t>26</w:t>
            </w:r>
          </w:p>
        </w:tc>
        <w:tc>
          <w:tcPr>
            <w:tcW w:w="1423" w:type="dxa"/>
          </w:tcPr>
          <w:p>
            <w:pPr>
              <w:pStyle w:val="TableParagraph"/>
              <w:spacing w:before="102"/>
              <w:ind w:left="220" w:right="204" w:firstLine="120"/>
              <w:rPr>
                <w:sz w:val="16"/>
              </w:rPr>
            </w:pPr>
            <w:r>
              <w:rPr>
                <w:sz w:val="16"/>
              </w:rPr>
              <w:t>expansión metropolitana</w:t>
            </w:r>
          </w:p>
        </w:tc>
        <w:tc>
          <w:tcPr>
            <w:tcW w:w="1441" w:type="dxa"/>
          </w:tcPr>
          <w:p>
            <w:pPr>
              <w:pStyle w:val="TableParagraph"/>
              <w:spacing w:before="102"/>
              <w:ind w:left="216" w:right="140" w:hanging="58"/>
              <w:rPr>
                <w:sz w:val="16"/>
              </w:rPr>
            </w:pPr>
            <w:r>
              <w:rPr>
                <w:sz w:val="16"/>
              </w:rPr>
              <w:t>heterogeneidad socioterritorial</w:t>
            </w:r>
          </w:p>
        </w:tc>
        <w:tc>
          <w:tcPr>
            <w:tcW w:w="1351" w:type="dxa"/>
          </w:tcPr>
          <w:p>
            <w:pPr>
              <w:pStyle w:val="TableParagraph"/>
              <w:rPr>
                <w:b/>
                <w:sz w:val="16"/>
              </w:rPr>
            </w:pPr>
          </w:p>
          <w:p>
            <w:pPr>
              <w:pStyle w:val="TableParagraph"/>
              <w:spacing w:before="103"/>
              <w:ind w:left="50" w:right="50"/>
              <w:jc w:val="center"/>
              <w:rPr>
                <w:sz w:val="16"/>
              </w:rPr>
            </w:pPr>
            <w:r>
              <w:rPr>
                <w:sz w:val="16"/>
              </w:rPr>
              <w:t>modos de vida</w:t>
            </w:r>
          </w:p>
        </w:tc>
        <w:tc>
          <w:tcPr>
            <w:tcW w:w="1119" w:type="dxa"/>
          </w:tcPr>
          <w:p>
            <w:pPr/>
          </w:p>
        </w:tc>
        <w:tc>
          <w:tcPr>
            <w:tcW w:w="1210" w:type="dxa"/>
          </w:tcPr>
          <w:p>
            <w:pPr>
              <w:pStyle w:val="TableParagraph"/>
              <w:rPr>
                <w:b/>
                <w:sz w:val="16"/>
              </w:rPr>
            </w:pPr>
          </w:p>
          <w:p>
            <w:pPr>
              <w:pStyle w:val="TableParagraph"/>
              <w:spacing w:before="103"/>
              <w:ind w:left="209" w:right="211"/>
              <w:jc w:val="center"/>
              <w:rPr>
                <w:sz w:val="16"/>
              </w:rPr>
            </w:pPr>
            <w:r>
              <w:rPr>
                <w:sz w:val="16"/>
              </w:rPr>
              <w:t>2003</w:t>
            </w:r>
          </w:p>
        </w:tc>
        <w:tc>
          <w:tcPr>
            <w:tcW w:w="764" w:type="dxa"/>
          </w:tcPr>
          <w:p>
            <w:pPr>
              <w:pStyle w:val="TableParagraph"/>
              <w:rPr>
                <w:b/>
                <w:sz w:val="16"/>
              </w:rPr>
            </w:pPr>
          </w:p>
          <w:p>
            <w:pPr>
              <w:pStyle w:val="TableParagraph"/>
              <w:spacing w:before="103"/>
              <w:ind w:right="286"/>
              <w:jc w:val="right"/>
              <w:rPr>
                <w:sz w:val="16"/>
              </w:rPr>
            </w:pPr>
            <w:r>
              <w:rPr>
                <w:sz w:val="16"/>
              </w:rPr>
              <w:t>12</w:t>
            </w:r>
          </w:p>
        </w:tc>
        <w:tc>
          <w:tcPr>
            <w:tcW w:w="785" w:type="dxa"/>
          </w:tcPr>
          <w:p>
            <w:pPr>
              <w:pStyle w:val="TableParagraph"/>
              <w:rPr>
                <w:b/>
                <w:sz w:val="16"/>
              </w:rPr>
            </w:pPr>
          </w:p>
          <w:p>
            <w:pPr>
              <w:pStyle w:val="TableParagraph"/>
              <w:spacing w:before="103"/>
              <w:ind w:right="344"/>
              <w:jc w:val="right"/>
              <w:rPr>
                <w:sz w:val="16"/>
              </w:rPr>
            </w:pPr>
            <w:r>
              <w:rPr>
                <w:w w:val="100"/>
                <w:sz w:val="16"/>
              </w:rPr>
              <w:t>2</w:t>
            </w:r>
          </w:p>
        </w:tc>
      </w:tr>
      <w:tr>
        <w:trPr>
          <w:trHeight w:val="487" w:hRule="exact"/>
        </w:trPr>
        <w:tc>
          <w:tcPr>
            <w:tcW w:w="799" w:type="dxa"/>
          </w:tcPr>
          <w:p>
            <w:pPr>
              <w:pStyle w:val="TableParagraph"/>
              <w:rPr>
                <w:b/>
                <w:sz w:val="16"/>
              </w:rPr>
            </w:pPr>
          </w:p>
          <w:p>
            <w:pPr>
              <w:pStyle w:val="TableParagraph"/>
              <w:spacing w:before="101"/>
              <w:ind w:left="285" w:right="285"/>
              <w:jc w:val="center"/>
              <w:rPr>
                <w:b/>
                <w:sz w:val="16"/>
              </w:rPr>
            </w:pPr>
            <w:r>
              <w:rPr>
                <w:b/>
                <w:sz w:val="16"/>
              </w:rPr>
              <w:t>27</w:t>
            </w:r>
          </w:p>
        </w:tc>
        <w:tc>
          <w:tcPr>
            <w:tcW w:w="1423" w:type="dxa"/>
          </w:tcPr>
          <w:p>
            <w:pPr>
              <w:pStyle w:val="TableParagraph"/>
              <w:rPr>
                <w:b/>
                <w:sz w:val="16"/>
              </w:rPr>
            </w:pPr>
          </w:p>
          <w:p>
            <w:pPr>
              <w:pStyle w:val="TableParagraph"/>
              <w:spacing w:before="103"/>
              <w:ind w:left="45" w:right="46"/>
              <w:jc w:val="center"/>
              <w:rPr>
                <w:sz w:val="16"/>
              </w:rPr>
            </w:pPr>
            <w:r>
              <w:rPr>
                <w:sz w:val="16"/>
              </w:rPr>
              <w:t>globalización</w:t>
            </w:r>
          </w:p>
        </w:tc>
        <w:tc>
          <w:tcPr>
            <w:tcW w:w="1441" w:type="dxa"/>
          </w:tcPr>
          <w:p>
            <w:pPr>
              <w:pStyle w:val="TableParagraph"/>
              <w:rPr>
                <w:b/>
                <w:sz w:val="16"/>
              </w:rPr>
            </w:pPr>
          </w:p>
          <w:p>
            <w:pPr>
              <w:pStyle w:val="TableParagraph"/>
              <w:spacing w:before="103"/>
              <w:ind w:left="59" w:right="56"/>
              <w:jc w:val="center"/>
              <w:rPr>
                <w:sz w:val="16"/>
              </w:rPr>
            </w:pPr>
            <w:r>
              <w:rPr>
                <w:sz w:val="16"/>
              </w:rPr>
              <w:t>glocalización</w:t>
            </w:r>
          </w:p>
        </w:tc>
        <w:tc>
          <w:tcPr>
            <w:tcW w:w="1351" w:type="dxa"/>
          </w:tcPr>
          <w:p>
            <w:pPr>
              <w:pStyle w:val="TableParagraph"/>
              <w:spacing w:before="102"/>
              <w:ind w:left="371" w:right="332" w:hanging="22"/>
              <w:rPr>
                <w:sz w:val="16"/>
              </w:rPr>
            </w:pPr>
            <w:r>
              <w:rPr>
                <w:sz w:val="16"/>
              </w:rPr>
              <w:t>ciudades globales</w:t>
            </w:r>
          </w:p>
        </w:tc>
        <w:tc>
          <w:tcPr>
            <w:tcW w:w="1119" w:type="dxa"/>
          </w:tcPr>
          <w:p>
            <w:pPr/>
          </w:p>
        </w:tc>
        <w:tc>
          <w:tcPr>
            <w:tcW w:w="1210" w:type="dxa"/>
          </w:tcPr>
          <w:p>
            <w:pPr>
              <w:pStyle w:val="TableParagraph"/>
              <w:rPr>
                <w:b/>
                <w:sz w:val="16"/>
              </w:rPr>
            </w:pPr>
          </w:p>
          <w:p>
            <w:pPr>
              <w:pStyle w:val="TableParagraph"/>
              <w:spacing w:before="103"/>
              <w:ind w:left="209" w:right="211"/>
              <w:jc w:val="center"/>
              <w:rPr>
                <w:sz w:val="16"/>
              </w:rPr>
            </w:pPr>
            <w:r>
              <w:rPr>
                <w:sz w:val="16"/>
              </w:rPr>
              <w:t>2003</w:t>
            </w:r>
          </w:p>
        </w:tc>
        <w:tc>
          <w:tcPr>
            <w:tcW w:w="764" w:type="dxa"/>
          </w:tcPr>
          <w:p>
            <w:pPr>
              <w:pStyle w:val="TableParagraph"/>
              <w:rPr>
                <w:b/>
                <w:sz w:val="16"/>
              </w:rPr>
            </w:pPr>
          </w:p>
          <w:p>
            <w:pPr>
              <w:pStyle w:val="TableParagraph"/>
              <w:spacing w:before="103"/>
              <w:ind w:right="286"/>
              <w:jc w:val="right"/>
              <w:rPr>
                <w:sz w:val="16"/>
              </w:rPr>
            </w:pPr>
            <w:r>
              <w:rPr>
                <w:sz w:val="16"/>
              </w:rPr>
              <w:t>12</w:t>
            </w:r>
          </w:p>
        </w:tc>
        <w:tc>
          <w:tcPr>
            <w:tcW w:w="785" w:type="dxa"/>
          </w:tcPr>
          <w:p>
            <w:pPr>
              <w:pStyle w:val="TableParagraph"/>
              <w:rPr>
                <w:b/>
                <w:sz w:val="16"/>
              </w:rPr>
            </w:pPr>
          </w:p>
          <w:p>
            <w:pPr>
              <w:pStyle w:val="TableParagraph"/>
              <w:spacing w:before="103"/>
              <w:ind w:right="344"/>
              <w:jc w:val="right"/>
              <w:rPr>
                <w:sz w:val="16"/>
              </w:rPr>
            </w:pPr>
            <w:r>
              <w:rPr>
                <w:w w:val="100"/>
                <w:sz w:val="16"/>
              </w:rPr>
              <w:t>1</w:t>
            </w:r>
          </w:p>
        </w:tc>
      </w:tr>
      <w:tr>
        <w:trPr>
          <w:trHeight w:val="488" w:hRule="exact"/>
        </w:trPr>
        <w:tc>
          <w:tcPr>
            <w:tcW w:w="799" w:type="dxa"/>
          </w:tcPr>
          <w:p>
            <w:pPr>
              <w:pStyle w:val="TableParagraph"/>
              <w:rPr>
                <w:b/>
                <w:sz w:val="16"/>
              </w:rPr>
            </w:pPr>
          </w:p>
          <w:p>
            <w:pPr>
              <w:pStyle w:val="TableParagraph"/>
              <w:spacing w:before="101"/>
              <w:ind w:left="285" w:right="285"/>
              <w:jc w:val="center"/>
              <w:rPr>
                <w:b/>
                <w:sz w:val="16"/>
              </w:rPr>
            </w:pPr>
            <w:r>
              <w:rPr>
                <w:b/>
                <w:sz w:val="16"/>
              </w:rPr>
              <w:t>28</w:t>
            </w:r>
          </w:p>
        </w:tc>
        <w:tc>
          <w:tcPr>
            <w:tcW w:w="1423" w:type="dxa"/>
          </w:tcPr>
          <w:p>
            <w:pPr>
              <w:pStyle w:val="TableParagraph"/>
              <w:rPr>
                <w:b/>
                <w:sz w:val="16"/>
              </w:rPr>
            </w:pPr>
          </w:p>
          <w:p>
            <w:pPr>
              <w:pStyle w:val="TableParagraph"/>
              <w:spacing w:before="104"/>
              <w:ind w:left="45" w:right="46"/>
              <w:jc w:val="center"/>
              <w:rPr>
                <w:sz w:val="16"/>
              </w:rPr>
            </w:pPr>
            <w:r>
              <w:rPr>
                <w:sz w:val="16"/>
              </w:rPr>
              <w:t>Riesgos naturales</w:t>
            </w:r>
          </w:p>
        </w:tc>
        <w:tc>
          <w:tcPr>
            <w:tcW w:w="1441" w:type="dxa"/>
          </w:tcPr>
          <w:p>
            <w:pPr>
              <w:pStyle w:val="TableParagraph"/>
              <w:rPr>
                <w:b/>
                <w:sz w:val="16"/>
              </w:rPr>
            </w:pPr>
          </w:p>
          <w:p>
            <w:pPr>
              <w:pStyle w:val="TableParagraph"/>
              <w:spacing w:before="104"/>
              <w:ind w:left="59" w:right="59"/>
              <w:jc w:val="center"/>
              <w:rPr>
                <w:sz w:val="16"/>
              </w:rPr>
            </w:pPr>
            <w:r>
              <w:rPr>
                <w:sz w:val="16"/>
              </w:rPr>
              <w:t>peligrosidad</w:t>
            </w:r>
          </w:p>
        </w:tc>
        <w:tc>
          <w:tcPr>
            <w:tcW w:w="1351" w:type="dxa"/>
          </w:tcPr>
          <w:p>
            <w:pPr>
              <w:pStyle w:val="TableParagraph"/>
              <w:rPr>
                <w:b/>
                <w:sz w:val="16"/>
              </w:rPr>
            </w:pPr>
          </w:p>
          <w:p>
            <w:pPr>
              <w:pStyle w:val="TableParagraph"/>
              <w:spacing w:before="104"/>
              <w:ind w:left="50" w:right="50"/>
              <w:jc w:val="center"/>
              <w:rPr>
                <w:sz w:val="16"/>
              </w:rPr>
            </w:pPr>
            <w:r>
              <w:rPr>
                <w:sz w:val="16"/>
              </w:rPr>
              <w:t>vulnerabilidad</w:t>
            </w:r>
          </w:p>
        </w:tc>
        <w:tc>
          <w:tcPr>
            <w:tcW w:w="1119" w:type="dxa"/>
          </w:tcPr>
          <w:p>
            <w:pPr>
              <w:pStyle w:val="TableParagraph"/>
              <w:spacing w:before="103"/>
              <w:ind w:left="302" w:right="98" w:hanging="192"/>
              <w:rPr>
                <w:sz w:val="16"/>
              </w:rPr>
            </w:pPr>
            <w:r>
              <w:rPr>
                <w:sz w:val="16"/>
              </w:rPr>
              <w:t>planificación urbana</w:t>
            </w:r>
          </w:p>
        </w:tc>
        <w:tc>
          <w:tcPr>
            <w:tcW w:w="1210" w:type="dxa"/>
          </w:tcPr>
          <w:p>
            <w:pPr>
              <w:pStyle w:val="TableParagraph"/>
              <w:rPr>
                <w:b/>
                <w:sz w:val="16"/>
              </w:rPr>
            </w:pPr>
          </w:p>
          <w:p>
            <w:pPr>
              <w:pStyle w:val="TableParagraph"/>
              <w:spacing w:before="104"/>
              <w:ind w:left="209" w:right="211"/>
              <w:jc w:val="center"/>
              <w:rPr>
                <w:sz w:val="16"/>
              </w:rPr>
            </w:pPr>
            <w:r>
              <w:rPr>
                <w:sz w:val="16"/>
              </w:rPr>
              <w:t>2001</w:t>
            </w:r>
          </w:p>
        </w:tc>
        <w:tc>
          <w:tcPr>
            <w:tcW w:w="764" w:type="dxa"/>
          </w:tcPr>
          <w:p>
            <w:pPr>
              <w:pStyle w:val="TableParagraph"/>
              <w:rPr>
                <w:b/>
                <w:sz w:val="16"/>
              </w:rPr>
            </w:pPr>
          </w:p>
          <w:p>
            <w:pPr>
              <w:pStyle w:val="TableParagraph"/>
              <w:spacing w:before="104"/>
              <w:ind w:right="286"/>
              <w:jc w:val="right"/>
              <w:rPr>
                <w:sz w:val="16"/>
              </w:rPr>
            </w:pPr>
            <w:r>
              <w:rPr>
                <w:sz w:val="16"/>
              </w:rPr>
              <w:t>12</w:t>
            </w:r>
          </w:p>
        </w:tc>
        <w:tc>
          <w:tcPr>
            <w:tcW w:w="785" w:type="dxa"/>
          </w:tcPr>
          <w:p>
            <w:pPr>
              <w:pStyle w:val="TableParagraph"/>
              <w:rPr>
                <w:b/>
                <w:sz w:val="16"/>
              </w:rPr>
            </w:pPr>
          </w:p>
          <w:p>
            <w:pPr>
              <w:pStyle w:val="TableParagraph"/>
              <w:spacing w:before="104"/>
              <w:ind w:right="344"/>
              <w:jc w:val="right"/>
              <w:rPr>
                <w:sz w:val="16"/>
              </w:rPr>
            </w:pPr>
            <w:r>
              <w:rPr>
                <w:w w:val="100"/>
                <w:sz w:val="16"/>
              </w:rPr>
              <w:t>2</w:t>
            </w:r>
          </w:p>
        </w:tc>
      </w:tr>
      <w:tr>
        <w:trPr>
          <w:trHeight w:val="487" w:hRule="exact"/>
        </w:trPr>
        <w:tc>
          <w:tcPr>
            <w:tcW w:w="799" w:type="dxa"/>
          </w:tcPr>
          <w:p>
            <w:pPr>
              <w:pStyle w:val="TableParagraph"/>
              <w:rPr>
                <w:b/>
                <w:sz w:val="16"/>
              </w:rPr>
            </w:pPr>
          </w:p>
          <w:p>
            <w:pPr>
              <w:pStyle w:val="TableParagraph"/>
              <w:spacing w:before="98"/>
              <w:ind w:left="285" w:right="285"/>
              <w:jc w:val="center"/>
              <w:rPr>
                <w:b/>
                <w:sz w:val="16"/>
              </w:rPr>
            </w:pPr>
            <w:r>
              <w:rPr>
                <w:b/>
                <w:sz w:val="16"/>
              </w:rPr>
              <w:t>29</w:t>
            </w:r>
          </w:p>
        </w:tc>
        <w:tc>
          <w:tcPr>
            <w:tcW w:w="1423" w:type="dxa"/>
          </w:tcPr>
          <w:p>
            <w:pPr>
              <w:pStyle w:val="TableParagraph"/>
              <w:rPr>
                <w:b/>
                <w:sz w:val="16"/>
              </w:rPr>
            </w:pPr>
          </w:p>
          <w:p>
            <w:pPr>
              <w:pStyle w:val="TableParagraph"/>
              <w:spacing w:before="101"/>
              <w:ind w:left="44" w:right="46"/>
              <w:jc w:val="center"/>
              <w:rPr>
                <w:sz w:val="16"/>
              </w:rPr>
            </w:pPr>
            <w:r>
              <w:rPr>
                <w:sz w:val="16"/>
              </w:rPr>
              <w:t>Políticas urbanas</w:t>
            </w:r>
          </w:p>
        </w:tc>
        <w:tc>
          <w:tcPr>
            <w:tcW w:w="1441" w:type="dxa"/>
          </w:tcPr>
          <w:p>
            <w:pPr>
              <w:pStyle w:val="TableParagraph"/>
              <w:rPr>
                <w:b/>
                <w:sz w:val="16"/>
              </w:rPr>
            </w:pPr>
          </w:p>
          <w:p>
            <w:pPr>
              <w:pStyle w:val="TableParagraph"/>
              <w:spacing w:before="101"/>
              <w:ind w:left="59" w:right="59"/>
              <w:jc w:val="center"/>
              <w:rPr>
                <w:sz w:val="16"/>
              </w:rPr>
            </w:pPr>
            <w:r>
              <w:rPr>
                <w:sz w:val="16"/>
              </w:rPr>
              <w:t>Impactos urbanos</w:t>
            </w:r>
          </w:p>
        </w:tc>
        <w:tc>
          <w:tcPr>
            <w:tcW w:w="1351" w:type="dxa"/>
          </w:tcPr>
          <w:p>
            <w:pPr>
              <w:pStyle w:val="TableParagraph"/>
              <w:spacing w:before="102"/>
              <w:ind w:left="419" w:right="297" w:hanging="106"/>
              <w:rPr>
                <w:sz w:val="16"/>
              </w:rPr>
            </w:pPr>
            <w:r>
              <w:rPr>
                <w:sz w:val="16"/>
              </w:rPr>
              <w:t>Geografía urbana</w:t>
            </w:r>
          </w:p>
        </w:tc>
        <w:tc>
          <w:tcPr>
            <w:tcW w:w="1119" w:type="dxa"/>
          </w:tcPr>
          <w:p>
            <w:pPr/>
          </w:p>
        </w:tc>
        <w:tc>
          <w:tcPr>
            <w:tcW w:w="1210" w:type="dxa"/>
          </w:tcPr>
          <w:p>
            <w:pPr>
              <w:pStyle w:val="TableParagraph"/>
              <w:rPr>
                <w:b/>
                <w:sz w:val="16"/>
              </w:rPr>
            </w:pPr>
          </w:p>
          <w:p>
            <w:pPr>
              <w:pStyle w:val="TableParagraph"/>
              <w:spacing w:before="101"/>
              <w:ind w:left="209" w:right="211"/>
              <w:jc w:val="center"/>
              <w:rPr>
                <w:sz w:val="16"/>
              </w:rPr>
            </w:pPr>
            <w:r>
              <w:rPr>
                <w:sz w:val="16"/>
              </w:rPr>
              <w:t>2000</w:t>
            </w:r>
          </w:p>
        </w:tc>
        <w:tc>
          <w:tcPr>
            <w:tcW w:w="764" w:type="dxa"/>
          </w:tcPr>
          <w:p>
            <w:pPr>
              <w:pStyle w:val="TableParagraph"/>
              <w:rPr>
                <w:b/>
                <w:sz w:val="16"/>
              </w:rPr>
            </w:pPr>
          </w:p>
          <w:p>
            <w:pPr>
              <w:pStyle w:val="TableParagraph"/>
              <w:spacing w:before="101"/>
              <w:ind w:right="286"/>
              <w:jc w:val="right"/>
              <w:rPr>
                <w:sz w:val="16"/>
              </w:rPr>
            </w:pPr>
            <w:r>
              <w:rPr>
                <w:sz w:val="16"/>
              </w:rPr>
              <w:t>12</w:t>
            </w:r>
          </w:p>
        </w:tc>
        <w:tc>
          <w:tcPr>
            <w:tcW w:w="785" w:type="dxa"/>
          </w:tcPr>
          <w:p>
            <w:pPr>
              <w:pStyle w:val="TableParagraph"/>
              <w:rPr>
                <w:b/>
                <w:sz w:val="16"/>
              </w:rPr>
            </w:pPr>
          </w:p>
          <w:p>
            <w:pPr>
              <w:pStyle w:val="TableParagraph"/>
              <w:spacing w:before="101"/>
              <w:ind w:right="344"/>
              <w:jc w:val="right"/>
              <w:rPr>
                <w:sz w:val="16"/>
              </w:rPr>
            </w:pPr>
            <w:r>
              <w:rPr>
                <w:w w:val="100"/>
                <w:sz w:val="16"/>
              </w:rPr>
              <w:t>2</w:t>
            </w:r>
          </w:p>
        </w:tc>
      </w:tr>
      <w:tr>
        <w:trPr>
          <w:trHeight w:val="746" w:hRule="exact"/>
        </w:trPr>
        <w:tc>
          <w:tcPr>
            <w:tcW w:w="799" w:type="dxa"/>
          </w:tcPr>
          <w:p>
            <w:pPr>
              <w:pStyle w:val="TableParagraph"/>
              <w:rPr>
                <w:b/>
                <w:sz w:val="16"/>
              </w:rPr>
            </w:pPr>
          </w:p>
          <w:p>
            <w:pPr>
              <w:pStyle w:val="TableParagraph"/>
              <w:rPr>
                <w:b/>
                <w:sz w:val="16"/>
              </w:rPr>
            </w:pPr>
          </w:p>
          <w:p>
            <w:pPr>
              <w:pStyle w:val="TableParagraph"/>
              <w:spacing w:before="1"/>
              <w:rPr>
                <w:b/>
                <w:sz w:val="15"/>
              </w:rPr>
            </w:pPr>
          </w:p>
          <w:p>
            <w:pPr>
              <w:pStyle w:val="TableParagraph"/>
              <w:ind w:left="285" w:right="285"/>
              <w:jc w:val="center"/>
              <w:rPr>
                <w:b/>
                <w:sz w:val="16"/>
              </w:rPr>
            </w:pPr>
            <w:r>
              <w:rPr>
                <w:b/>
                <w:sz w:val="16"/>
              </w:rPr>
              <w:t>30</w:t>
            </w:r>
          </w:p>
        </w:tc>
        <w:tc>
          <w:tcPr>
            <w:tcW w:w="1423" w:type="dxa"/>
          </w:tcPr>
          <w:p>
            <w:pPr>
              <w:pStyle w:val="TableParagraph"/>
              <w:rPr>
                <w:b/>
                <w:sz w:val="16"/>
              </w:rPr>
            </w:pPr>
          </w:p>
          <w:p>
            <w:pPr>
              <w:pStyle w:val="TableParagraph"/>
              <w:spacing w:before="5"/>
              <w:rPr>
                <w:b/>
                <w:sz w:val="15"/>
              </w:rPr>
            </w:pPr>
          </w:p>
          <w:p>
            <w:pPr>
              <w:pStyle w:val="TableParagraph"/>
              <w:ind w:left="220" w:right="204" w:firstLine="132"/>
              <w:rPr>
                <w:sz w:val="16"/>
              </w:rPr>
            </w:pPr>
            <w:r>
              <w:rPr>
                <w:sz w:val="16"/>
              </w:rPr>
              <w:t>economía metropolitana</w:t>
            </w:r>
          </w:p>
        </w:tc>
        <w:tc>
          <w:tcPr>
            <w:tcW w:w="1441" w:type="dxa"/>
          </w:tcPr>
          <w:p>
            <w:pPr>
              <w:pStyle w:val="TableParagraph"/>
              <w:rPr>
                <w:b/>
                <w:sz w:val="16"/>
              </w:rPr>
            </w:pPr>
          </w:p>
          <w:p>
            <w:pPr>
              <w:pStyle w:val="TableParagraph"/>
              <w:rPr>
                <w:b/>
                <w:sz w:val="16"/>
              </w:rPr>
            </w:pPr>
          </w:p>
          <w:p>
            <w:pPr>
              <w:pStyle w:val="TableParagraph"/>
              <w:spacing w:before="3"/>
              <w:rPr>
                <w:b/>
                <w:sz w:val="15"/>
              </w:rPr>
            </w:pPr>
          </w:p>
          <w:p>
            <w:pPr>
              <w:pStyle w:val="TableParagraph"/>
              <w:spacing w:before="1"/>
              <w:ind w:left="58" w:right="59"/>
              <w:jc w:val="center"/>
              <w:rPr>
                <w:sz w:val="16"/>
              </w:rPr>
            </w:pPr>
            <w:r>
              <w:rPr>
                <w:sz w:val="16"/>
              </w:rPr>
              <w:t>forma urbana</w:t>
            </w:r>
          </w:p>
        </w:tc>
        <w:tc>
          <w:tcPr>
            <w:tcW w:w="1351" w:type="dxa"/>
          </w:tcPr>
          <w:p>
            <w:pPr>
              <w:pStyle w:val="TableParagraph"/>
              <w:rPr>
                <w:b/>
                <w:sz w:val="16"/>
              </w:rPr>
            </w:pPr>
          </w:p>
          <w:p>
            <w:pPr>
              <w:pStyle w:val="TableParagraph"/>
              <w:spacing w:before="5"/>
              <w:rPr>
                <w:b/>
                <w:sz w:val="15"/>
              </w:rPr>
            </w:pPr>
          </w:p>
          <w:p>
            <w:pPr>
              <w:pStyle w:val="TableParagraph"/>
              <w:ind w:left="268" w:right="129" w:hanging="125"/>
              <w:rPr>
                <w:sz w:val="16"/>
              </w:rPr>
            </w:pPr>
            <w:r>
              <w:rPr>
                <w:sz w:val="16"/>
              </w:rPr>
              <w:t>localización de actividades</w:t>
            </w:r>
          </w:p>
        </w:tc>
        <w:tc>
          <w:tcPr>
            <w:tcW w:w="1119" w:type="dxa"/>
          </w:tcPr>
          <w:p>
            <w:pPr>
              <w:pStyle w:val="TableParagraph"/>
              <w:ind w:left="156" w:right="158" w:hanging="5"/>
              <w:jc w:val="center"/>
              <w:rPr>
                <w:sz w:val="16"/>
              </w:rPr>
            </w:pPr>
            <w:r>
              <w:rPr>
                <w:sz w:val="16"/>
              </w:rPr>
              <w:t>modelos territoriales de    innovación</w:t>
            </w:r>
          </w:p>
        </w:tc>
        <w:tc>
          <w:tcPr>
            <w:tcW w:w="1210" w:type="dxa"/>
          </w:tcPr>
          <w:p>
            <w:pPr>
              <w:pStyle w:val="TableParagraph"/>
              <w:rPr>
                <w:b/>
                <w:sz w:val="16"/>
              </w:rPr>
            </w:pPr>
          </w:p>
          <w:p>
            <w:pPr>
              <w:pStyle w:val="TableParagraph"/>
              <w:rPr>
                <w:b/>
                <w:sz w:val="16"/>
              </w:rPr>
            </w:pPr>
          </w:p>
          <w:p>
            <w:pPr>
              <w:pStyle w:val="TableParagraph"/>
              <w:spacing w:before="3"/>
              <w:rPr>
                <w:b/>
                <w:sz w:val="15"/>
              </w:rPr>
            </w:pPr>
          </w:p>
          <w:p>
            <w:pPr>
              <w:pStyle w:val="TableParagraph"/>
              <w:spacing w:before="1"/>
              <w:ind w:left="209" w:right="211"/>
              <w:jc w:val="center"/>
              <w:rPr>
                <w:sz w:val="16"/>
              </w:rPr>
            </w:pPr>
            <w:r>
              <w:rPr>
                <w:sz w:val="16"/>
              </w:rPr>
              <w:t>2007</w:t>
            </w:r>
          </w:p>
        </w:tc>
        <w:tc>
          <w:tcPr>
            <w:tcW w:w="764" w:type="dxa"/>
          </w:tcPr>
          <w:p>
            <w:pPr>
              <w:pStyle w:val="TableParagraph"/>
              <w:rPr>
                <w:b/>
                <w:sz w:val="16"/>
              </w:rPr>
            </w:pPr>
          </w:p>
          <w:p>
            <w:pPr>
              <w:pStyle w:val="TableParagraph"/>
              <w:rPr>
                <w:b/>
                <w:sz w:val="16"/>
              </w:rPr>
            </w:pPr>
          </w:p>
          <w:p>
            <w:pPr>
              <w:pStyle w:val="TableParagraph"/>
              <w:spacing w:before="3"/>
              <w:rPr>
                <w:b/>
                <w:sz w:val="15"/>
              </w:rPr>
            </w:pPr>
          </w:p>
          <w:p>
            <w:pPr>
              <w:pStyle w:val="TableParagraph"/>
              <w:spacing w:before="1"/>
              <w:ind w:right="286"/>
              <w:jc w:val="right"/>
              <w:rPr>
                <w:sz w:val="16"/>
              </w:rPr>
            </w:pPr>
            <w:r>
              <w:rPr>
                <w:sz w:val="16"/>
              </w:rPr>
              <w:t>11</w:t>
            </w:r>
          </w:p>
        </w:tc>
        <w:tc>
          <w:tcPr>
            <w:tcW w:w="785" w:type="dxa"/>
          </w:tcPr>
          <w:p>
            <w:pPr>
              <w:pStyle w:val="TableParagraph"/>
              <w:rPr>
                <w:b/>
                <w:sz w:val="16"/>
              </w:rPr>
            </w:pPr>
          </w:p>
          <w:p>
            <w:pPr>
              <w:pStyle w:val="TableParagraph"/>
              <w:rPr>
                <w:b/>
                <w:sz w:val="16"/>
              </w:rPr>
            </w:pPr>
          </w:p>
          <w:p>
            <w:pPr>
              <w:pStyle w:val="TableParagraph"/>
              <w:spacing w:before="3"/>
              <w:rPr>
                <w:b/>
                <w:sz w:val="15"/>
              </w:rPr>
            </w:pPr>
          </w:p>
          <w:p>
            <w:pPr>
              <w:pStyle w:val="TableParagraph"/>
              <w:spacing w:before="1"/>
              <w:ind w:right="344"/>
              <w:jc w:val="right"/>
              <w:rPr>
                <w:sz w:val="16"/>
              </w:rPr>
            </w:pPr>
            <w:r>
              <w:rPr>
                <w:w w:val="100"/>
                <w:sz w:val="16"/>
              </w:rPr>
              <w:t>1</w:t>
            </w:r>
          </w:p>
        </w:tc>
      </w:tr>
    </w:tbl>
    <w:p>
      <w:pPr>
        <w:pStyle w:val="BodyText"/>
        <w:rPr>
          <w:b/>
          <w:sz w:val="20"/>
        </w:rPr>
      </w:pPr>
    </w:p>
    <w:p>
      <w:pPr>
        <w:pStyle w:val="BodyText"/>
        <w:rPr>
          <w:b/>
          <w:sz w:val="20"/>
        </w:rPr>
      </w:pPr>
    </w:p>
    <w:p>
      <w:pPr>
        <w:pStyle w:val="BodyText"/>
        <w:rPr>
          <w:b/>
          <w:sz w:val="20"/>
        </w:rPr>
      </w:pPr>
    </w:p>
    <w:p>
      <w:pPr>
        <w:pStyle w:val="BodyText"/>
        <w:spacing w:before="7"/>
        <w:rPr>
          <w:b/>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5"/>
        <w:gridCol w:w="1474"/>
        <w:gridCol w:w="1244"/>
        <w:gridCol w:w="1030"/>
        <w:gridCol w:w="1368"/>
        <w:gridCol w:w="1008"/>
        <w:gridCol w:w="989"/>
        <w:gridCol w:w="946"/>
      </w:tblGrid>
      <w:tr>
        <w:trPr>
          <w:trHeight w:val="398" w:hRule="exact"/>
        </w:trPr>
        <w:tc>
          <w:tcPr>
            <w:tcW w:w="785" w:type="dxa"/>
          </w:tcPr>
          <w:p>
            <w:pPr/>
          </w:p>
        </w:tc>
        <w:tc>
          <w:tcPr>
            <w:tcW w:w="8058" w:type="dxa"/>
            <w:gridSpan w:val="7"/>
          </w:tcPr>
          <w:p>
            <w:pPr>
              <w:pStyle w:val="TableParagraph"/>
              <w:tabs>
                <w:tab w:pos="3235" w:val="left" w:leader="none"/>
              </w:tabs>
              <w:spacing w:before="108"/>
              <w:ind w:left="1843"/>
              <w:rPr>
                <w:b/>
                <w:sz w:val="24"/>
              </w:rPr>
            </w:pPr>
            <w:r>
              <w:rPr>
                <w:b/>
                <w:sz w:val="24"/>
              </w:rPr>
              <w:t>Sección</w:t>
            </w:r>
            <w:r>
              <w:rPr>
                <w:b/>
                <w:spacing w:val="-1"/>
                <w:sz w:val="24"/>
              </w:rPr>
              <w:t> </w:t>
            </w:r>
            <w:r>
              <w:rPr>
                <w:b/>
                <w:sz w:val="24"/>
              </w:rPr>
              <w:t>1.</w:t>
              <w:tab/>
              <w:t>Autoría (variable 8 a la</w:t>
            </w:r>
            <w:r>
              <w:rPr>
                <w:b/>
                <w:spacing w:val="-11"/>
                <w:sz w:val="24"/>
              </w:rPr>
              <w:t> </w:t>
            </w:r>
            <w:r>
              <w:rPr>
                <w:b/>
                <w:sz w:val="24"/>
              </w:rPr>
              <w:t>14)</w:t>
            </w:r>
          </w:p>
        </w:tc>
      </w:tr>
      <w:tr>
        <w:trPr>
          <w:trHeight w:val="461" w:hRule="exact"/>
        </w:trPr>
        <w:tc>
          <w:tcPr>
            <w:tcW w:w="785" w:type="dxa"/>
            <w:vMerge w:val="restart"/>
          </w:tcPr>
          <w:p>
            <w:pPr>
              <w:pStyle w:val="TableParagraph"/>
              <w:rPr>
                <w:b/>
                <w:sz w:val="16"/>
              </w:rPr>
            </w:pPr>
          </w:p>
          <w:p>
            <w:pPr>
              <w:pStyle w:val="TableParagraph"/>
              <w:rPr>
                <w:b/>
                <w:sz w:val="16"/>
              </w:rPr>
            </w:pPr>
          </w:p>
          <w:p>
            <w:pPr>
              <w:pStyle w:val="TableParagraph"/>
              <w:rPr>
                <w:b/>
                <w:sz w:val="16"/>
              </w:rPr>
            </w:pPr>
          </w:p>
          <w:p>
            <w:pPr>
              <w:pStyle w:val="TableParagraph"/>
              <w:spacing w:before="121"/>
              <w:ind w:left="93" w:right="88" w:hanging="3"/>
              <w:jc w:val="center"/>
              <w:rPr>
                <w:b/>
                <w:sz w:val="16"/>
              </w:rPr>
            </w:pPr>
            <w:r>
              <w:rPr>
                <w:b/>
                <w:sz w:val="16"/>
              </w:rPr>
              <w:t>Unidad de análisis</w:t>
            </w:r>
          </w:p>
        </w:tc>
        <w:tc>
          <w:tcPr>
            <w:tcW w:w="1474" w:type="dxa"/>
          </w:tcPr>
          <w:p>
            <w:pPr>
              <w:pStyle w:val="TableParagraph"/>
              <w:spacing w:before="7"/>
              <w:rPr>
                <w:b/>
                <w:sz w:val="22"/>
              </w:rPr>
            </w:pPr>
          </w:p>
          <w:p>
            <w:pPr>
              <w:pStyle w:val="TableParagraph"/>
              <w:ind w:left="49" w:right="46"/>
              <w:jc w:val="center"/>
              <w:rPr>
                <w:b/>
                <w:sz w:val="16"/>
              </w:rPr>
            </w:pPr>
            <w:r>
              <w:rPr>
                <w:b/>
                <w:sz w:val="16"/>
              </w:rPr>
              <w:t>variable 8</w:t>
            </w:r>
          </w:p>
        </w:tc>
        <w:tc>
          <w:tcPr>
            <w:tcW w:w="1244" w:type="dxa"/>
          </w:tcPr>
          <w:p>
            <w:pPr>
              <w:pStyle w:val="TableParagraph"/>
              <w:spacing w:before="7"/>
              <w:rPr>
                <w:b/>
                <w:sz w:val="22"/>
              </w:rPr>
            </w:pPr>
          </w:p>
          <w:p>
            <w:pPr>
              <w:pStyle w:val="TableParagraph"/>
              <w:ind w:left="247" w:right="195"/>
              <w:rPr>
                <w:b/>
                <w:sz w:val="16"/>
              </w:rPr>
            </w:pPr>
            <w:r>
              <w:rPr>
                <w:b/>
                <w:sz w:val="16"/>
              </w:rPr>
              <w:t>variable 9</w:t>
            </w:r>
          </w:p>
        </w:tc>
        <w:tc>
          <w:tcPr>
            <w:tcW w:w="1030" w:type="dxa"/>
          </w:tcPr>
          <w:p>
            <w:pPr>
              <w:pStyle w:val="TableParagraph"/>
              <w:spacing w:before="7"/>
              <w:rPr>
                <w:b/>
                <w:sz w:val="22"/>
              </w:rPr>
            </w:pPr>
          </w:p>
          <w:p>
            <w:pPr>
              <w:pStyle w:val="TableParagraph"/>
              <w:ind w:left="76" w:right="76"/>
              <w:jc w:val="center"/>
              <w:rPr>
                <w:b/>
                <w:sz w:val="16"/>
              </w:rPr>
            </w:pPr>
            <w:r>
              <w:rPr>
                <w:b/>
                <w:sz w:val="16"/>
              </w:rPr>
              <w:t>variable 10</w:t>
            </w:r>
          </w:p>
        </w:tc>
        <w:tc>
          <w:tcPr>
            <w:tcW w:w="1368" w:type="dxa"/>
          </w:tcPr>
          <w:p>
            <w:pPr>
              <w:pStyle w:val="TableParagraph"/>
              <w:spacing w:before="7"/>
              <w:rPr>
                <w:b/>
                <w:sz w:val="22"/>
              </w:rPr>
            </w:pPr>
          </w:p>
          <w:p>
            <w:pPr>
              <w:pStyle w:val="TableParagraph"/>
              <w:ind w:left="263" w:right="128"/>
              <w:rPr>
                <w:b/>
                <w:sz w:val="16"/>
              </w:rPr>
            </w:pPr>
            <w:r>
              <w:rPr>
                <w:b/>
                <w:sz w:val="16"/>
              </w:rPr>
              <w:t>variable 11</w:t>
            </w:r>
          </w:p>
        </w:tc>
        <w:tc>
          <w:tcPr>
            <w:tcW w:w="1008" w:type="dxa"/>
          </w:tcPr>
          <w:p>
            <w:pPr>
              <w:pStyle w:val="TableParagraph"/>
              <w:spacing w:before="7"/>
              <w:rPr>
                <w:b/>
                <w:sz w:val="22"/>
              </w:rPr>
            </w:pPr>
          </w:p>
          <w:p>
            <w:pPr>
              <w:pStyle w:val="TableParagraph"/>
              <w:ind w:left="65" w:right="65"/>
              <w:jc w:val="center"/>
              <w:rPr>
                <w:b/>
                <w:sz w:val="16"/>
              </w:rPr>
            </w:pPr>
            <w:r>
              <w:rPr>
                <w:b/>
                <w:sz w:val="16"/>
              </w:rPr>
              <w:t>variable 12</w:t>
            </w:r>
          </w:p>
        </w:tc>
        <w:tc>
          <w:tcPr>
            <w:tcW w:w="989" w:type="dxa"/>
          </w:tcPr>
          <w:p>
            <w:pPr>
              <w:pStyle w:val="TableParagraph"/>
              <w:spacing w:before="7"/>
              <w:rPr>
                <w:b/>
                <w:sz w:val="22"/>
              </w:rPr>
            </w:pPr>
          </w:p>
          <w:p>
            <w:pPr>
              <w:pStyle w:val="TableParagraph"/>
              <w:ind w:left="46" w:right="46"/>
              <w:jc w:val="center"/>
              <w:rPr>
                <w:b/>
                <w:sz w:val="16"/>
              </w:rPr>
            </w:pPr>
            <w:r>
              <w:rPr>
                <w:b/>
                <w:sz w:val="16"/>
              </w:rPr>
              <w:t>variable 13</w:t>
            </w:r>
          </w:p>
        </w:tc>
        <w:tc>
          <w:tcPr>
            <w:tcW w:w="946" w:type="dxa"/>
          </w:tcPr>
          <w:p>
            <w:pPr>
              <w:pStyle w:val="TableParagraph"/>
              <w:spacing w:before="75"/>
              <w:ind w:left="379" w:right="148" w:hanging="216"/>
              <w:rPr>
                <w:b/>
                <w:sz w:val="16"/>
              </w:rPr>
            </w:pPr>
            <w:r>
              <w:rPr>
                <w:b/>
                <w:sz w:val="16"/>
              </w:rPr>
              <w:t>variable 14</w:t>
            </w:r>
          </w:p>
        </w:tc>
      </w:tr>
      <w:tr>
        <w:trPr>
          <w:trHeight w:val="780" w:hRule="exact"/>
        </w:trPr>
        <w:tc>
          <w:tcPr>
            <w:tcW w:w="785" w:type="dxa"/>
            <w:vMerge/>
          </w:tcPr>
          <w:p>
            <w:pPr/>
          </w:p>
        </w:tc>
        <w:tc>
          <w:tcPr>
            <w:tcW w:w="1474" w:type="dxa"/>
          </w:tcPr>
          <w:p>
            <w:pPr>
              <w:pStyle w:val="TableParagraph"/>
              <w:rPr>
                <w:b/>
                <w:sz w:val="16"/>
              </w:rPr>
            </w:pPr>
          </w:p>
          <w:p>
            <w:pPr>
              <w:pStyle w:val="TableParagraph"/>
              <w:rPr>
                <w:b/>
                <w:sz w:val="16"/>
              </w:rPr>
            </w:pPr>
          </w:p>
          <w:p>
            <w:pPr>
              <w:pStyle w:val="TableParagraph"/>
              <w:spacing w:before="6"/>
              <w:rPr>
                <w:b/>
                <w:sz w:val="18"/>
              </w:rPr>
            </w:pPr>
          </w:p>
          <w:p>
            <w:pPr>
              <w:pStyle w:val="TableParagraph"/>
              <w:spacing w:before="1"/>
              <w:ind w:left="49" w:right="49"/>
              <w:jc w:val="center"/>
              <w:rPr>
                <w:b/>
                <w:sz w:val="16"/>
              </w:rPr>
            </w:pPr>
            <w:r>
              <w:rPr>
                <w:b/>
                <w:sz w:val="16"/>
              </w:rPr>
              <w:t>Autor/autores</w:t>
            </w:r>
          </w:p>
        </w:tc>
        <w:tc>
          <w:tcPr>
            <w:tcW w:w="1244" w:type="dxa"/>
          </w:tcPr>
          <w:p>
            <w:pPr>
              <w:pStyle w:val="TableParagraph"/>
              <w:rPr>
                <w:b/>
                <w:sz w:val="16"/>
              </w:rPr>
            </w:pPr>
          </w:p>
          <w:p>
            <w:pPr>
              <w:pStyle w:val="TableParagraph"/>
              <w:spacing w:before="6"/>
              <w:rPr>
                <w:b/>
                <w:sz w:val="18"/>
              </w:rPr>
            </w:pPr>
          </w:p>
          <w:p>
            <w:pPr>
              <w:pStyle w:val="TableParagraph"/>
              <w:ind w:left="350" w:right="195" w:hanging="140"/>
              <w:rPr>
                <w:b/>
                <w:sz w:val="16"/>
              </w:rPr>
            </w:pPr>
            <w:r>
              <w:rPr>
                <w:b/>
                <w:sz w:val="16"/>
              </w:rPr>
              <w:t>Institución autor 1</w:t>
            </w:r>
          </w:p>
        </w:tc>
        <w:tc>
          <w:tcPr>
            <w:tcW w:w="1030" w:type="dxa"/>
          </w:tcPr>
          <w:p>
            <w:pPr>
              <w:pStyle w:val="TableParagraph"/>
              <w:spacing w:before="30"/>
              <w:ind w:left="75" w:right="76"/>
              <w:jc w:val="center"/>
              <w:rPr>
                <w:b/>
                <w:sz w:val="16"/>
              </w:rPr>
            </w:pPr>
            <w:r>
              <w:rPr>
                <w:b/>
                <w:sz w:val="16"/>
              </w:rPr>
              <w:t>País de origen institución autor 1</w:t>
            </w:r>
          </w:p>
        </w:tc>
        <w:tc>
          <w:tcPr>
            <w:tcW w:w="1368" w:type="dxa"/>
          </w:tcPr>
          <w:p>
            <w:pPr>
              <w:pStyle w:val="TableParagraph"/>
              <w:rPr>
                <w:b/>
                <w:sz w:val="16"/>
              </w:rPr>
            </w:pPr>
          </w:p>
          <w:p>
            <w:pPr>
              <w:pStyle w:val="TableParagraph"/>
              <w:spacing w:before="6"/>
              <w:rPr>
                <w:b/>
                <w:sz w:val="18"/>
              </w:rPr>
            </w:pPr>
          </w:p>
          <w:p>
            <w:pPr>
              <w:pStyle w:val="TableParagraph"/>
              <w:ind w:left="412" w:right="257" w:hanging="140"/>
              <w:rPr>
                <w:b/>
                <w:sz w:val="16"/>
              </w:rPr>
            </w:pPr>
            <w:r>
              <w:rPr>
                <w:b/>
                <w:sz w:val="16"/>
              </w:rPr>
              <w:t>Institución autor 2</w:t>
            </w:r>
          </w:p>
        </w:tc>
        <w:tc>
          <w:tcPr>
            <w:tcW w:w="1008" w:type="dxa"/>
          </w:tcPr>
          <w:p>
            <w:pPr>
              <w:pStyle w:val="TableParagraph"/>
              <w:spacing w:before="30"/>
              <w:ind w:left="65" w:right="64"/>
              <w:jc w:val="center"/>
              <w:rPr>
                <w:b/>
                <w:sz w:val="16"/>
              </w:rPr>
            </w:pPr>
            <w:r>
              <w:rPr>
                <w:b/>
                <w:sz w:val="16"/>
              </w:rPr>
              <w:t>País de origen institución autor 2</w:t>
            </w:r>
          </w:p>
        </w:tc>
        <w:tc>
          <w:tcPr>
            <w:tcW w:w="989" w:type="dxa"/>
          </w:tcPr>
          <w:p>
            <w:pPr>
              <w:pStyle w:val="TableParagraph"/>
              <w:rPr>
                <w:b/>
                <w:sz w:val="16"/>
              </w:rPr>
            </w:pPr>
          </w:p>
          <w:p>
            <w:pPr>
              <w:pStyle w:val="TableParagraph"/>
              <w:spacing w:before="6"/>
              <w:rPr>
                <w:b/>
                <w:sz w:val="18"/>
              </w:rPr>
            </w:pPr>
          </w:p>
          <w:p>
            <w:pPr>
              <w:pStyle w:val="TableParagraph"/>
              <w:ind w:left="223" w:right="94" w:hanging="113"/>
              <w:rPr>
                <w:b/>
                <w:sz w:val="16"/>
              </w:rPr>
            </w:pPr>
            <w:r>
              <w:rPr>
                <w:b/>
                <w:sz w:val="16"/>
              </w:rPr>
              <w:t>Disciplina autor 1</w:t>
            </w:r>
          </w:p>
        </w:tc>
        <w:tc>
          <w:tcPr>
            <w:tcW w:w="946" w:type="dxa"/>
          </w:tcPr>
          <w:p>
            <w:pPr>
              <w:pStyle w:val="TableParagraph"/>
              <w:rPr>
                <w:b/>
                <w:sz w:val="16"/>
              </w:rPr>
            </w:pPr>
          </w:p>
          <w:p>
            <w:pPr>
              <w:pStyle w:val="TableParagraph"/>
              <w:spacing w:before="6"/>
              <w:rPr>
                <w:b/>
                <w:sz w:val="18"/>
              </w:rPr>
            </w:pPr>
          </w:p>
          <w:p>
            <w:pPr>
              <w:pStyle w:val="TableParagraph"/>
              <w:ind w:left="201" w:right="72" w:hanging="113"/>
              <w:rPr>
                <w:b/>
                <w:sz w:val="16"/>
              </w:rPr>
            </w:pPr>
            <w:r>
              <w:rPr>
                <w:b/>
                <w:sz w:val="16"/>
              </w:rPr>
              <w:t>Disciplina autor 2</w:t>
            </w:r>
          </w:p>
        </w:tc>
      </w:tr>
      <w:tr>
        <w:trPr>
          <w:trHeight w:val="850"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99"/>
              <w:jc w:val="center"/>
              <w:rPr>
                <w:b/>
                <w:sz w:val="16"/>
              </w:rPr>
            </w:pPr>
            <w:r>
              <w:rPr>
                <w:b/>
                <w:w w:val="100"/>
                <w:sz w:val="16"/>
              </w:rPr>
              <w:t>1</w:t>
            </w:r>
          </w:p>
        </w:tc>
        <w:tc>
          <w:tcPr>
            <w:tcW w:w="1474" w:type="dxa"/>
          </w:tcPr>
          <w:p>
            <w:pPr>
              <w:pStyle w:val="TableParagraph"/>
              <w:spacing w:before="102"/>
              <w:ind w:left="98" w:right="98" w:firstLine="2"/>
              <w:jc w:val="center"/>
              <w:rPr>
                <w:sz w:val="16"/>
              </w:rPr>
            </w:pPr>
            <w:r>
              <w:rPr>
                <w:sz w:val="16"/>
              </w:rPr>
              <w:t>Francisco Sabatini, Gonzalo Cáceres y Jorge Cerda</w:t>
            </w:r>
          </w:p>
        </w:tc>
        <w:tc>
          <w:tcPr>
            <w:tcW w:w="1244" w:type="dxa"/>
          </w:tcPr>
          <w:p>
            <w:pPr>
              <w:pStyle w:val="TableParagraph"/>
              <w:spacing w:before="102"/>
              <w:ind w:left="194" w:right="192" w:hanging="3"/>
              <w:jc w:val="center"/>
              <w:rPr>
                <w:sz w:val="16"/>
              </w:rPr>
            </w:pPr>
            <w:r>
              <w:rPr>
                <w:sz w:val="16"/>
              </w:rPr>
              <w:t>Pontificia Universidad Católica de Chile</w:t>
            </w:r>
          </w:p>
        </w:tc>
        <w:tc>
          <w:tcPr>
            <w:tcW w:w="1030" w:type="dxa"/>
          </w:tcPr>
          <w:p>
            <w:pPr>
              <w:pStyle w:val="TableParagraph"/>
              <w:rPr>
                <w:b/>
                <w:sz w:val="16"/>
              </w:rPr>
            </w:pPr>
          </w:p>
          <w:p>
            <w:pPr>
              <w:pStyle w:val="TableParagraph"/>
              <w:rPr>
                <w:b/>
                <w:sz w:val="16"/>
              </w:rPr>
            </w:pPr>
          </w:p>
          <w:p>
            <w:pPr>
              <w:pStyle w:val="TableParagraph"/>
              <w:rPr>
                <w:b/>
                <w:sz w:val="16"/>
              </w:rPr>
            </w:pPr>
          </w:p>
          <w:p>
            <w:pPr>
              <w:pStyle w:val="TableParagraph"/>
              <w:spacing w:before="102"/>
              <w:ind w:left="76" w:right="76"/>
              <w:jc w:val="center"/>
              <w:rPr>
                <w:sz w:val="16"/>
              </w:rPr>
            </w:pPr>
            <w:r>
              <w:rPr>
                <w:sz w:val="16"/>
              </w:rPr>
              <w:t>Chile</w:t>
            </w:r>
          </w:p>
        </w:tc>
        <w:tc>
          <w:tcPr>
            <w:tcW w:w="1368" w:type="dxa"/>
          </w:tcPr>
          <w:p>
            <w:pPr>
              <w:pStyle w:val="TableParagraph"/>
              <w:rPr>
                <w:b/>
                <w:sz w:val="16"/>
              </w:rPr>
            </w:pPr>
          </w:p>
          <w:p>
            <w:pPr>
              <w:pStyle w:val="TableParagraph"/>
              <w:spacing w:before="100"/>
              <w:ind w:left="74" w:right="70" w:hanging="5"/>
              <w:jc w:val="center"/>
              <w:rPr>
                <w:sz w:val="16"/>
              </w:rPr>
            </w:pPr>
            <w:r>
              <w:rPr>
                <w:sz w:val="16"/>
              </w:rPr>
              <w:t>Pontificia Universidad Católica de Chile</w:t>
            </w:r>
          </w:p>
        </w:tc>
        <w:tc>
          <w:tcPr>
            <w:tcW w:w="1008" w:type="dxa"/>
          </w:tcPr>
          <w:p>
            <w:pPr>
              <w:pStyle w:val="TableParagraph"/>
              <w:rPr>
                <w:b/>
                <w:sz w:val="16"/>
              </w:rPr>
            </w:pPr>
          </w:p>
          <w:p>
            <w:pPr>
              <w:pStyle w:val="TableParagraph"/>
              <w:rPr>
                <w:b/>
                <w:sz w:val="16"/>
              </w:rPr>
            </w:pPr>
          </w:p>
          <w:p>
            <w:pPr>
              <w:pStyle w:val="TableParagraph"/>
              <w:rPr>
                <w:b/>
                <w:sz w:val="16"/>
              </w:rPr>
            </w:pPr>
          </w:p>
          <w:p>
            <w:pPr>
              <w:pStyle w:val="TableParagraph"/>
              <w:spacing w:before="102"/>
              <w:ind w:left="65" w:right="65"/>
              <w:jc w:val="center"/>
              <w:rPr>
                <w:sz w:val="16"/>
              </w:rPr>
            </w:pPr>
            <w:r>
              <w:rPr>
                <w:sz w:val="16"/>
              </w:rPr>
              <w:t>Chile</w:t>
            </w:r>
          </w:p>
        </w:tc>
        <w:tc>
          <w:tcPr>
            <w:tcW w:w="989" w:type="dxa"/>
          </w:tcPr>
          <w:p>
            <w:pPr>
              <w:pStyle w:val="TableParagraph"/>
              <w:rPr>
                <w:b/>
                <w:sz w:val="16"/>
              </w:rPr>
            </w:pPr>
          </w:p>
          <w:p>
            <w:pPr>
              <w:pStyle w:val="TableParagraph"/>
              <w:spacing w:before="100"/>
              <w:ind w:left="69" w:right="70" w:firstLine="3"/>
              <w:jc w:val="center"/>
              <w:rPr>
                <w:sz w:val="16"/>
              </w:rPr>
            </w:pPr>
            <w:r>
              <w:rPr>
                <w:sz w:val="16"/>
              </w:rPr>
              <w:t>Sociólogo- Planificador urbano</w:t>
            </w:r>
          </w:p>
        </w:tc>
        <w:tc>
          <w:tcPr>
            <w:tcW w:w="946" w:type="dxa"/>
          </w:tcPr>
          <w:p>
            <w:pPr>
              <w:pStyle w:val="TableParagraph"/>
              <w:rPr>
                <w:b/>
                <w:sz w:val="16"/>
              </w:rPr>
            </w:pPr>
          </w:p>
          <w:p>
            <w:pPr>
              <w:pStyle w:val="TableParagraph"/>
              <w:rPr>
                <w:b/>
                <w:sz w:val="16"/>
              </w:rPr>
            </w:pPr>
          </w:p>
          <w:p>
            <w:pPr>
              <w:pStyle w:val="TableParagraph"/>
              <w:rPr>
                <w:b/>
                <w:sz w:val="16"/>
              </w:rPr>
            </w:pPr>
          </w:p>
          <w:p>
            <w:pPr>
              <w:pStyle w:val="TableParagraph"/>
              <w:spacing w:before="102"/>
              <w:ind w:left="81"/>
              <w:rPr>
                <w:sz w:val="16"/>
              </w:rPr>
            </w:pPr>
            <w:r>
              <w:rPr>
                <w:sz w:val="16"/>
              </w:rPr>
              <w:t>Historiador</w:t>
            </w:r>
          </w:p>
        </w:tc>
      </w:tr>
      <w:tr>
        <w:trPr>
          <w:trHeight w:val="706" w:hRule="exact"/>
        </w:trPr>
        <w:tc>
          <w:tcPr>
            <w:tcW w:w="785" w:type="dxa"/>
          </w:tcPr>
          <w:p>
            <w:pPr>
              <w:pStyle w:val="TableParagraph"/>
              <w:rPr>
                <w:b/>
                <w:sz w:val="16"/>
              </w:rPr>
            </w:pPr>
          </w:p>
          <w:p>
            <w:pPr>
              <w:pStyle w:val="TableParagraph"/>
              <w:rPr>
                <w:b/>
                <w:sz w:val="16"/>
              </w:rPr>
            </w:pPr>
          </w:p>
          <w:p>
            <w:pPr>
              <w:pStyle w:val="TableParagraph"/>
              <w:spacing w:before="139"/>
              <w:jc w:val="center"/>
              <w:rPr>
                <w:b/>
                <w:sz w:val="16"/>
              </w:rPr>
            </w:pPr>
            <w:r>
              <w:rPr>
                <w:b/>
                <w:w w:val="100"/>
                <w:sz w:val="16"/>
              </w:rPr>
              <w:t>2</w:t>
            </w:r>
          </w:p>
        </w:tc>
        <w:tc>
          <w:tcPr>
            <w:tcW w:w="1474" w:type="dxa"/>
          </w:tcPr>
          <w:p>
            <w:pPr>
              <w:pStyle w:val="TableParagraph"/>
              <w:rPr>
                <w:b/>
                <w:sz w:val="16"/>
              </w:rPr>
            </w:pPr>
          </w:p>
          <w:p>
            <w:pPr>
              <w:pStyle w:val="TableParagraph"/>
              <w:spacing w:before="141"/>
              <w:ind w:left="347" w:right="332" w:firstLine="108"/>
              <w:rPr>
                <w:sz w:val="16"/>
              </w:rPr>
            </w:pPr>
            <w:hyperlink r:id="rId37">
              <w:r>
                <w:rPr>
                  <w:sz w:val="16"/>
                </w:rPr>
                <w:t>Michael</w:t>
              </w:r>
            </w:hyperlink>
            <w:r>
              <w:rPr>
                <w:sz w:val="16"/>
              </w:rPr>
              <w:t> </w:t>
            </w:r>
            <w:hyperlink r:id="rId37">
              <w:r>
                <w:rPr>
                  <w:sz w:val="16"/>
                </w:rPr>
                <w:t>Janoschka</w:t>
              </w:r>
            </w:hyperlink>
          </w:p>
        </w:tc>
        <w:tc>
          <w:tcPr>
            <w:tcW w:w="1244" w:type="dxa"/>
          </w:tcPr>
          <w:p>
            <w:pPr>
              <w:pStyle w:val="TableParagraph"/>
              <w:spacing w:before="140"/>
              <w:ind w:left="283" w:right="175" w:hanging="89"/>
              <w:rPr>
                <w:sz w:val="16"/>
              </w:rPr>
            </w:pPr>
            <w:r>
              <w:rPr>
                <w:sz w:val="16"/>
              </w:rPr>
              <w:t>Universidad Humbolt, Alemania</w:t>
            </w:r>
          </w:p>
        </w:tc>
        <w:tc>
          <w:tcPr>
            <w:tcW w:w="1030" w:type="dxa"/>
          </w:tcPr>
          <w:p>
            <w:pPr/>
          </w:p>
        </w:tc>
        <w:tc>
          <w:tcPr>
            <w:tcW w:w="1368" w:type="dxa"/>
          </w:tcPr>
          <w:p>
            <w:pPr/>
          </w:p>
        </w:tc>
        <w:tc>
          <w:tcPr>
            <w:tcW w:w="1008" w:type="dxa"/>
          </w:tcPr>
          <w:p>
            <w:pPr/>
          </w:p>
        </w:tc>
        <w:tc>
          <w:tcPr>
            <w:tcW w:w="989" w:type="dxa"/>
          </w:tcPr>
          <w:p>
            <w:pPr>
              <w:pStyle w:val="TableParagraph"/>
              <w:rPr>
                <w:b/>
                <w:sz w:val="16"/>
              </w:rPr>
            </w:pPr>
          </w:p>
          <w:p>
            <w:pPr>
              <w:pStyle w:val="TableParagraph"/>
              <w:rPr>
                <w:b/>
                <w:sz w:val="16"/>
              </w:rPr>
            </w:pPr>
          </w:p>
          <w:p>
            <w:pPr>
              <w:pStyle w:val="TableParagraph"/>
              <w:spacing w:before="142"/>
              <w:ind w:left="46" w:right="46"/>
              <w:jc w:val="center"/>
              <w:rPr>
                <w:sz w:val="16"/>
              </w:rPr>
            </w:pPr>
            <w:r>
              <w:rPr>
                <w:sz w:val="16"/>
              </w:rPr>
              <w:t>Geógrafo</w:t>
            </w:r>
          </w:p>
        </w:tc>
        <w:tc>
          <w:tcPr>
            <w:tcW w:w="946" w:type="dxa"/>
          </w:tcPr>
          <w:p>
            <w:pPr/>
          </w:p>
        </w:tc>
      </w:tr>
      <w:tr>
        <w:trPr>
          <w:trHeight w:val="757" w:hRule="exact"/>
        </w:trPr>
        <w:tc>
          <w:tcPr>
            <w:tcW w:w="785" w:type="dxa"/>
          </w:tcPr>
          <w:p>
            <w:pPr>
              <w:pStyle w:val="TableParagraph"/>
              <w:rPr>
                <w:b/>
                <w:sz w:val="16"/>
              </w:rPr>
            </w:pPr>
          </w:p>
          <w:p>
            <w:pPr>
              <w:pStyle w:val="TableParagraph"/>
              <w:rPr>
                <w:b/>
                <w:sz w:val="16"/>
              </w:rPr>
            </w:pPr>
          </w:p>
          <w:p>
            <w:pPr>
              <w:pStyle w:val="TableParagraph"/>
              <w:spacing w:before="3"/>
              <w:rPr>
                <w:b/>
                <w:sz w:val="16"/>
              </w:rPr>
            </w:pPr>
          </w:p>
          <w:p>
            <w:pPr>
              <w:pStyle w:val="TableParagraph"/>
              <w:jc w:val="center"/>
              <w:rPr>
                <w:b/>
                <w:sz w:val="16"/>
              </w:rPr>
            </w:pPr>
            <w:r>
              <w:rPr>
                <w:b/>
                <w:w w:val="100"/>
                <w:sz w:val="16"/>
              </w:rPr>
              <w:t>3</w:t>
            </w:r>
          </w:p>
        </w:tc>
        <w:tc>
          <w:tcPr>
            <w:tcW w:w="1474" w:type="dxa"/>
          </w:tcPr>
          <w:p>
            <w:pPr>
              <w:pStyle w:val="TableParagraph"/>
              <w:rPr>
                <w:b/>
                <w:sz w:val="16"/>
              </w:rPr>
            </w:pPr>
          </w:p>
          <w:p>
            <w:pPr>
              <w:pStyle w:val="TableParagraph"/>
              <w:rPr>
                <w:b/>
                <w:sz w:val="16"/>
              </w:rPr>
            </w:pPr>
          </w:p>
          <w:p>
            <w:pPr>
              <w:pStyle w:val="TableParagraph"/>
              <w:spacing w:before="5"/>
              <w:rPr>
                <w:b/>
                <w:sz w:val="16"/>
              </w:rPr>
            </w:pPr>
          </w:p>
          <w:p>
            <w:pPr>
              <w:pStyle w:val="TableParagraph"/>
              <w:spacing w:before="1"/>
              <w:ind w:left="23" w:right="49"/>
              <w:jc w:val="center"/>
              <w:rPr>
                <w:sz w:val="16"/>
              </w:rPr>
            </w:pPr>
            <w:r>
              <w:rPr>
                <w:sz w:val="16"/>
              </w:rPr>
              <w:t>Axel Borsdorf</w:t>
            </w:r>
          </w:p>
        </w:tc>
        <w:tc>
          <w:tcPr>
            <w:tcW w:w="1244" w:type="dxa"/>
          </w:tcPr>
          <w:p>
            <w:pPr>
              <w:pStyle w:val="TableParagraph"/>
              <w:spacing w:before="6"/>
              <w:rPr>
                <w:b/>
                <w:sz w:val="16"/>
              </w:rPr>
            </w:pPr>
          </w:p>
          <w:p>
            <w:pPr>
              <w:pStyle w:val="TableParagraph"/>
              <w:ind w:left="190" w:right="185" w:hanging="5"/>
              <w:jc w:val="center"/>
              <w:rPr>
                <w:sz w:val="16"/>
              </w:rPr>
            </w:pPr>
            <w:r>
              <w:rPr>
                <w:sz w:val="16"/>
              </w:rPr>
              <w:t>Académia Austraca de Ciencias</w:t>
            </w:r>
          </w:p>
        </w:tc>
        <w:tc>
          <w:tcPr>
            <w:tcW w:w="1030" w:type="dxa"/>
          </w:tcPr>
          <w:p>
            <w:pPr/>
          </w:p>
        </w:tc>
        <w:tc>
          <w:tcPr>
            <w:tcW w:w="1368" w:type="dxa"/>
          </w:tcPr>
          <w:p>
            <w:pPr/>
          </w:p>
        </w:tc>
        <w:tc>
          <w:tcPr>
            <w:tcW w:w="1008" w:type="dxa"/>
          </w:tcPr>
          <w:p>
            <w:pPr/>
          </w:p>
        </w:tc>
        <w:tc>
          <w:tcPr>
            <w:tcW w:w="989" w:type="dxa"/>
          </w:tcPr>
          <w:p>
            <w:pPr/>
          </w:p>
        </w:tc>
        <w:tc>
          <w:tcPr>
            <w:tcW w:w="946" w:type="dxa"/>
          </w:tcPr>
          <w:p>
            <w:pPr/>
          </w:p>
        </w:tc>
      </w:tr>
      <w:tr>
        <w:trPr>
          <w:trHeight w:val="979"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8"/>
              <w:rPr>
                <w:b/>
                <w:sz w:val="19"/>
              </w:rPr>
            </w:pPr>
          </w:p>
          <w:p>
            <w:pPr>
              <w:pStyle w:val="TableParagraph"/>
              <w:jc w:val="center"/>
              <w:rPr>
                <w:b/>
                <w:sz w:val="16"/>
              </w:rPr>
            </w:pPr>
            <w:r>
              <w:rPr>
                <w:b/>
                <w:w w:val="100"/>
                <w:sz w:val="16"/>
              </w:rPr>
              <w:t>4</w:t>
            </w:r>
          </w:p>
        </w:tc>
        <w:tc>
          <w:tcPr>
            <w:tcW w:w="1474" w:type="dxa"/>
          </w:tcPr>
          <w:p>
            <w:pPr>
              <w:pStyle w:val="TableParagraph"/>
              <w:rPr>
                <w:b/>
                <w:sz w:val="16"/>
              </w:rPr>
            </w:pPr>
          </w:p>
          <w:p>
            <w:pPr>
              <w:pStyle w:val="TableParagraph"/>
              <w:rPr>
                <w:b/>
                <w:sz w:val="16"/>
              </w:rPr>
            </w:pPr>
          </w:p>
          <w:p>
            <w:pPr>
              <w:pStyle w:val="TableParagraph"/>
              <w:rPr>
                <w:b/>
                <w:sz w:val="16"/>
              </w:rPr>
            </w:pPr>
          </w:p>
          <w:p>
            <w:pPr>
              <w:pStyle w:val="TableParagraph"/>
              <w:spacing w:before="10"/>
              <w:rPr>
                <w:b/>
                <w:sz w:val="19"/>
              </w:rPr>
            </w:pPr>
          </w:p>
          <w:p>
            <w:pPr>
              <w:pStyle w:val="TableParagraph"/>
              <w:ind w:left="49" w:right="48"/>
              <w:jc w:val="center"/>
              <w:rPr>
                <w:sz w:val="16"/>
              </w:rPr>
            </w:pPr>
            <w:r>
              <w:rPr>
                <w:sz w:val="16"/>
              </w:rPr>
              <w:t>Francisco Sabatini</w:t>
            </w:r>
          </w:p>
        </w:tc>
        <w:tc>
          <w:tcPr>
            <w:tcW w:w="1244" w:type="dxa"/>
          </w:tcPr>
          <w:p>
            <w:pPr>
              <w:pStyle w:val="TableParagraph"/>
              <w:spacing w:before="10"/>
              <w:rPr>
                <w:b/>
                <w:sz w:val="19"/>
              </w:rPr>
            </w:pPr>
          </w:p>
          <w:p>
            <w:pPr>
              <w:pStyle w:val="TableParagraph"/>
              <w:ind w:left="194" w:right="192" w:hanging="3"/>
              <w:jc w:val="center"/>
              <w:rPr>
                <w:sz w:val="16"/>
              </w:rPr>
            </w:pPr>
            <w:r>
              <w:rPr>
                <w:sz w:val="16"/>
              </w:rPr>
              <w:t>Pontificia Universidad Católica de Chile</w:t>
            </w:r>
          </w:p>
        </w:tc>
        <w:tc>
          <w:tcPr>
            <w:tcW w:w="1030" w:type="dxa"/>
          </w:tcPr>
          <w:p>
            <w:pPr>
              <w:pStyle w:val="TableParagraph"/>
              <w:rPr>
                <w:b/>
                <w:sz w:val="16"/>
              </w:rPr>
            </w:pPr>
          </w:p>
          <w:p>
            <w:pPr>
              <w:pStyle w:val="TableParagraph"/>
              <w:rPr>
                <w:b/>
                <w:sz w:val="16"/>
              </w:rPr>
            </w:pPr>
          </w:p>
          <w:p>
            <w:pPr>
              <w:pStyle w:val="TableParagraph"/>
              <w:rPr>
                <w:b/>
                <w:sz w:val="16"/>
              </w:rPr>
            </w:pPr>
          </w:p>
          <w:p>
            <w:pPr>
              <w:pStyle w:val="TableParagraph"/>
              <w:spacing w:before="10"/>
              <w:rPr>
                <w:b/>
                <w:sz w:val="19"/>
              </w:rPr>
            </w:pPr>
          </w:p>
          <w:p>
            <w:pPr>
              <w:pStyle w:val="TableParagraph"/>
              <w:ind w:left="76" w:right="76"/>
              <w:jc w:val="center"/>
              <w:rPr>
                <w:sz w:val="16"/>
              </w:rPr>
            </w:pPr>
            <w:r>
              <w:rPr>
                <w:sz w:val="16"/>
              </w:rPr>
              <w:t>Chile</w:t>
            </w:r>
          </w:p>
        </w:tc>
        <w:tc>
          <w:tcPr>
            <w:tcW w:w="1368" w:type="dxa"/>
          </w:tcPr>
          <w:p>
            <w:pPr/>
          </w:p>
        </w:tc>
        <w:tc>
          <w:tcPr>
            <w:tcW w:w="1008" w:type="dxa"/>
          </w:tcPr>
          <w:p>
            <w:pPr/>
          </w:p>
        </w:tc>
        <w:tc>
          <w:tcPr>
            <w:tcW w:w="989" w:type="dxa"/>
          </w:tcPr>
          <w:p>
            <w:pPr>
              <w:pStyle w:val="TableParagraph"/>
              <w:rPr>
                <w:b/>
                <w:sz w:val="16"/>
              </w:rPr>
            </w:pPr>
          </w:p>
          <w:p>
            <w:pPr>
              <w:pStyle w:val="TableParagraph"/>
              <w:spacing w:before="11"/>
              <w:rPr>
                <w:b/>
                <w:sz w:val="19"/>
              </w:rPr>
            </w:pPr>
          </w:p>
          <w:p>
            <w:pPr>
              <w:pStyle w:val="TableParagraph"/>
              <w:ind w:left="69" w:right="70" w:firstLine="3"/>
              <w:jc w:val="center"/>
              <w:rPr>
                <w:sz w:val="16"/>
              </w:rPr>
            </w:pPr>
            <w:r>
              <w:rPr>
                <w:sz w:val="16"/>
              </w:rPr>
              <w:t>Sociólogo- Planificador urbano</w:t>
            </w:r>
          </w:p>
        </w:tc>
        <w:tc>
          <w:tcPr>
            <w:tcW w:w="946" w:type="dxa"/>
          </w:tcPr>
          <w:p>
            <w:pPr/>
          </w:p>
        </w:tc>
      </w:tr>
      <w:tr>
        <w:trPr>
          <w:trHeight w:val="850"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99"/>
              <w:jc w:val="center"/>
              <w:rPr>
                <w:b/>
                <w:sz w:val="16"/>
              </w:rPr>
            </w:pPr>
            <w:r>
              <w:rPr>
                <w:b/>
                <w:w w:val="100"/>
                <w:sz w:val="16"/>
              </w:rPr>
              <w:t>5</w:t>
            </w:r>
          </w:p>
        </w:tc>
        <w:tc>
          <w:tcPr>
            <w:tcW w:w="1474" w:type="dxa"/>
          </w:tcPr>
          <w:p>
            <w:pPr>
              <w:pStyle w:val="TableParagraph"/>
              <w:rPr>
                <w:b/>
                <w:sz w:val="16"/>
              </w:rPr>
            </w:pPr>
          </w:p>
          <w:p>
            <w:pPr>
              <w:pStyle w:val="TableParagraph"/>
              <w:rPr>
                <w:b/>
                <w:sz w:val="16"/>
              </w:rPr>
            </w:pPr>
          </w:p>
          <w:p>
            <w:pPr>
              <w:pStyle w:val="TableParagraph"/>
              <w:rPr>
                <w:b/>
                <w:sz w:val="16"/>
              </w:rPr>
            </w:pPr>
          </w:p>
          <w:p>
            <w:pPr>
              <w:pStyle w:val="TableParagraph"/>
              <w:spacing w:before="102"/>
              <w:ind w:left="49" w:right="49"/>
              <w:jc w:val="center"/>
              <w:rPr>
                <w:sz w:val="16"/>
              </w:rPr>
            </w:pPr>
            <w:r>
              <w:rPr>
                <w:sz w:val="16"/>
              </w:rPr>
              <w:t>Rodrigo Hidalgo</w:t>
            </w:r>
          </w:p>
        </w:tc>
        <w:tc>
          <w:tcPr>
            <w:tcW w:w="1244" w:type="dxa"/>
          </w:tcPr>
          <w:p>
            <w:pPr>
              <w:pStyle w:val="TableParagraph"/>
              <w:spacing w:before="102"/>
              <w:ind w:left="194" w:right="192" w:hanging="3"/>
              <w:jc w:val="center"/>
              <w:rPr>
                <w:sz w:val="16"/>
              </w:rPr>
            </w:pPr>
            <w:r>
              <w:rPr>
                <w:sz w:val="16"/>
              </w:rPr>
              <w:t>Pontificia Universidad Católica de Chile</w:t>
            </w:r>
          </w:p>
        </w:tc>
        <w:tc>
          <w:tcPr>
            <w:tcW w:w="1030" w:type="dxa"/>
          </w:tcPr>
          <w:p>
            <w:pPr>
              <w:pStyle w:val="TableParagraph"/>
              <w:rPr>
                <w:b/>
                <w:sz w:val="16"/>
              </w:rPr>
            </w:pPr>
          </w:p>
          <w:p>
            <w:pPr>
              <w:pStyle w:val="TableParagraph"/>
              <w:rPr>
                <w:b/>
                <w:sz w:val="16"/>
              </w:rPr>
            </w:pPr>
          </w:p>
          <w:p>
            <w:pPr>
              <w:pStyle w:val="TableParagraph"/>
              <w:rPr>
                <w:b/>
                <w:sz w:val="16"/>
              </w:rPr>
            </w:pPr>
          </w:p>
          <w:p>
            <w:pPr>
              <w:pStyle w:val="TableParagraph"/>
              <w:spacing w:before="102"/>
              <w:ind w:left="76" w:right="76"/>
              <w:jc w:val="center"/>
              <w:rPr>
                <w:sz w:val="16"/>
              </w:rPr>
            </w:pPr>
            <w:r>
              <w:rPr>
                <w:sz w:val="16"/>
              </w:rPr>
              <w:t>Chile</w:t>
            </w:r>
          </w:p>
        </w:tc>
        <w:tc>
          <w:tcPr>
            <w:tcW w:w="1368" w:type="dxa"/>
          </w:tcPr>
          <w:p>
            <w:pPr/>
          </w:p>
        </w:tc>
        <w:tc>
          <w:tcPr>
            <w:tcW w:w="1008" w:type="dxa"/>
          </w:tcPr>
          <w:p>
            <w:pPr/>
          </w:p>
        </w:tc>
        <w:tc>
          <w:tcPr>
            <w:tcW w:w="989" w:type="dxa"/>
          </w:tcPr>
          <w:p>
            <w:pPr/>
          </w:p>
        </w:tc>
        <w:tc>
          <w:tcPr>
            <w:tcW w:w="946" w:type="dxa"/>
          </w:tcPr>
          <w:p>
            <w:pPr/>
          </w:p>
        </w:tc>
      </w:tr>
      <w:tr>
        <w:trPr>
          <w:trHeight w:val="708" w:hRule="exact"/>
        </w:trPr>
        <w:tc>
          <w:tcPr>
            <w:tcW w:w="785" w:type="dxa"/>
          </w:tcPr>
          <w:p>
            <w:pPr>
              <w:pStyle w:val="TableParagraph"/>
              <w:rPr>
                <w:b/>
                <w:sz w:val="16"/>
              </w:rPr>
            </w:pPr>
          </w:p>
          <w:p>
            <w:pPr>
              <w:pStyle w:val="TableParagraph"/>
              <w:rPr>
                <w:b/>
                <w:sz w:val="16"/>
              </w:rPr>
            </w:pPr>
          </w:p>
          <w:p>
            <w:pPr>
              <w:pStyle w:val="TableParagraph"/>
              <w:spacing w:before="139"/>
              <w:jc w:val="center"/>
              <w:rPr>
                <w:b/>
                <w:sz w:val="16"/>
              </w:rPr>
            </w:pPr>
            <w:r>
              <w:rPr>
                <w:b/>
                <w:w w:val="100"/>
                <w:sz w:val="16"/>
              </w:rPr>
              <w:t>6</w:t>
            </w:r>
          </w:p>
        </w:tc>
        <w:tc>
          <w:tcPr>
            <w:tcW w:w="1474" w:type="dxa"/>
          </w:tcPr>
          <w:p>
            <w:pPr>
              <w:pStyle w:val="TableParagraph"/>
              <w:rPr>
                <w:b/>
                <w:sz w:val="16"/>
              </w:rPr>
            </w:pPr>
          </w:p>
          <w:p>
            <w:pPr>
              <w:pStyle w:val="TableParagraph"/>
              <w:rPr>
                <w:b/>
                <w:sz w:val="16"/>
              </w:rPr>
            </w:pPr>
          </w:p>
          <w:p>
            <w:pPr>
              <w:pStyle w:val="TableParagraph"/>
              <w:spacing w:before="142"/>
              <w:ind w:left="48" w:right="49"/>
              <w:jc w:val="center"/>
              <w:rPr>
                <w:sz w:val="16"/>
              </w:rPr>
            </w:pPr>
            <w:r>
              <w:rPr>
                <w:sz w:val="16"/>
              </w:rPr>
              <w:t>Ricardo Méndez</w:t>
            </w:r>
          </w:p>
        </w:tc>
        <w:tc>
          <w:tcPr>
            <w:tcW w:w="1244" w:type="dxa"/>
          </w:tcPr>
          <w:p>
            <w:pPr>
              <w:pStyle w:val="TableParagraph"/>
              <w:spacing w:before="142"/>
              <w:ind w:left="144" w:right="142"/>
              <w:jc w:val="center"/>
              <w:rPr>
                <w:sz w:val="16"/>
              </w:rPr>
            </w:pPr>
            <w:r>
              <w:rPr>
                <w:sz w:val="16"/>
              </w:rPr>
              <w:t>Universidad Complutense de Madrid</w:t>
            </w:r>
          </w:p>
        </w:tc>
        <w:tc>
          <w:tcPr>
            <w:tcW w:w="1030" w:type="dxa"/>
          </w:tcPr>
          <w:p>
            <w:pPr>
              <w:pStyle w:val="TableParagraph"/>
              <w:rPr>
                <w:b/>
                <w:sz w:val="16"/>
              </w:rPr>
            </w:pPr>
          </w:p>
          <w:p>
            <w:pPr>
              <w:pStyle w:val="TableParagraph"/>
              <w:rPr>
                <w:b/>
                <w:sz w:val="16"/>
              </w:rPr>
            </w:pPr>
          </w:p>
          <w:p>
            <w:pPr>
              <w:pStyle w:val="TableParagraph"/>
              <w:spacing w:before="142"/>
              <w:ind w:left="76" w:right="76"/>
              <w:jc w:val="center"/>
              <w:rPr>
                <w:sz w:val="16"/>
              </w:rPr>
            </w:pPr>
            <w:r>
              <w:rPr>
                <w:sz w:val="16"/>
              </w:rPr>
              <w:t>España</w:t>
            </w:r>
          </w:p>
        </w:tc>
        <w:tc>
          <w:tcPr>
            <w:tcW w:w="1368" w:type="dxa"/>
          </w:tcPr>
          <w:p>
            <w:pPr/>
          </w:p>
        </w:tc>
        <w:tc>
          <w:tcPr>
            <w:tcW w:w="1008" w:type="dxa"/>
          </w:tcPr>
          <w:p>
            <w:pPr/>
          </w:p>
        </w:tc>
        <w:tc>
          <w:tcPr>
            <w:tcW w:w="989" w:type="dxa"/>
          </w:tcPr>
          <w:p>
            <w:pPr>
              <w:pStyle w:val="TableParagraph"/>
              <w:rPr>
                <w:b/>
                <w:sz w:val="16"/>
              </w:rPr>
            </w:pPr>
          </w:p>
          <w:p>
            <w:pPr>
              <w:pStyle w:val="TableParagraph"/>
              <w:rPr>
                <w:b/>
                <w:sz w:val="16"/>
              </w:rPr>
            </w:pPr>
          </w:p>
          <w:p>
            <w:pPr>
              <w:pStyle w:val="TableParagraph"/>
              <w:spacing w:before="142"/>
              <w:ind w:left="47" w:right="46"/>
              <w:jc w:val="center"/>
              <w:rPr>
                <w:sz w:val="16"/>
              </w:rPr>
            </w:pPr>
            <w:r>
              <w:rPr>
                <w:sz w:val="16"/>
              </w:rPr>
              <w:t>Economísta</w:t>
            </w:r>
          </w:p>
        </w:tc>
        <w:tc>
          <w:tcPr>
            <w:tcW w:w="946" w:type="dxa"/>
          </w:tcPr>
          <w:p>
            <w:pPr/>
          </w:p>
        </w:tc>
      </w:tr>
      <w:tr>
        <w:trPr>
          <w:trHeight w:val="394" w:hRule="exact"/>
        </w:trPr>
        <w:tc>
          <w:tcPr>
            <w:tcW w:w="785" w:type="dxa"/>
          </w:tcPr>
          <w:p>
            <w:pPr>
              <w:pStyle w:val="TableParagraph"/>
              <w:spacing w:before="9"/>
              <w:rPr>
                <w:b/>
                <w:sz w:val="16"/>
              </w:rPr>
            </w:pPr>
          </w:p>
          <w:p>
            <w:pPr>
              <w:pStyle w:val="TableParagraph"/>
              <w:jc w:val="center"/>
              <w:rPr>
                <w:b/>
                <w:sz w:val="16"/>
              </w:rPr>
            </w:pPr>
            <w:r>
              <w:rPr>
                <w:b/>
                <w:w w:val="100"/>
                <w:sz w:val="16"/>
              </w:rPr>
              <w:t>7</w:t>
            </w:r>
          </w:p>
        </w:tc>
        <w:tc>
          <w:tcPr>
            <w:tcW w:w="1474" w:type="dxa"/>
          </w:tcPr>
          <w:p>
            <w:pPr>
              <w:pStyle w:val="TableParagraph"/>
              <w:spacing w:before="11"/>
              <w:rPr>
                <w:b/>
                <w:sz w:val="16"/>
              </w:rPr>
            </w:pPr>
          </w:p>
          <w:p>
            <w:pPr>
              <w:pStyle w:val="TableParagraph"/>
              <w:ind w:left="49" w:right="49"/>
              <w:jc w:val="center"/>
              <w:rPr>
                <w:sz w:val="16"/>
              </w:rPr>
            </w:pPr>
            <w:r>
              <w:rPr>
                <w:sz w:val="16"/>
              </w:rPr>
              <w:t>Carlos de Mattos</w:t>
            </w:r>
          </w:p>
        </w:tc>
        <w:tc>
          <w:tcPr>
            <w:tcW w:w="1244" w:type="dxa"/>
          </w:tcPr>
          <w:p>
            <w:pPr/>
          </w:p>
        </w:tc>
        <w:tc>
          <w:tcPr>
            <w:tcW w:w="1030" w:type="dxa"/>
          </w:tcPr>
          <w:p>
            <w:pPr/>
          </w:p>
        </w:tc>
        <w:tc>
          <w:tcPr>
            <w:tcW w:w="1368" w:type="dxa"/>
          </w:tcPr>
          <w:p>
            <w:pPr/>
          </w:p>
        </w:tc>
        <w:tc>
          <w:tcPr>
            <w:tcW w:w="1008" w:type="dxa"/>
          </w:tcPr>
          <w:p>
            <w:pPr/>
          </w:p>
        </w:tc>
        <w:tc>
          <w:tcPr>
            <w:tcW w:w="989" w:type="dxa"/>
          </w:tcPr>
          <w:p>
            <w:pPr/>
          </w:p>
        </w:tc>
        <w:tc>
          <w:tcPr>
            <w:tcW w:w="946" w:type="dxa"/>
          </w:tcPr>
          <w:p>
            <w:pPr/>
          </w:p>
        </w:tc>
      </w:tr>
    </w:tbl>
    <w:p>
      <w:pPr>
        <w:spacing w:after="0"/>
        <w:sectPr>
          <w:pgSz w:w="12240" w:h="15840"/>
          <w:pgMar w:header="0" w:footer="629" w:top="1420" w:bottom="820" w:left="1580" w:right="154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5"/>
        <w:gridCol w:w="1474"/>
        <w:gridCol w:w="1244"/>
        <w:gridCol w:w="1030"/>
        <w:gridCol w:w="1368"/>
        <w:gridCol w:w="1008"/>
        <w:gridCol w:w="989"/>
        <w:gridCol w:w="946"/>
      </w:tblGrid>
      <w:tr>
        <w:trPr>
          <w:trHeight w:val="399" w:hRule="exact"/>
        </w:trPr>
        <w:tc>
          <w:tcPr>
            <w:tcW w:w="785" w:type="dxa"/>
          </w:tcPr>
          <w:p>
            <w:pPr/>
          </w:p>
        </w:tc>
        <w:tc>
          <w:tcPr>
            <w:tcW w:w="8058" w:type="dxa"/>
            <w:gridSpan w:val="7"/>
          </w:tcPr>
          <w:p>
            <w:pPr>
              <w:pStyle w:val="TableParagraph"/>
              <w:tabs>
                <w:tab w:pos="3235" w:val="left" w:leader="none"/>
              </w:tabs>
              <w:spacing w:before="105"/>
              <w:ind w:left="1843"/>
              <w:rPr>
                <w:b/>
                <w:sz w:val="24"/>
              </w:rPr>
            </w:pPr>
            <w:r>
              <w:rPr>
                <w:b/>
                <w:sz w:val="24"/>
              </w:rPr>
              <w:t>Sección</w:t>
            </w:r>
            <w:r>
              <w:rPr>
                <w:b/>
                <w:spacing w:val="-1"/>
                <w:sz w:val="24"/>
              </w:rPr>
              <w:t> </w:t>
            </w:r>
            <w:r>
              <w:rPr>
                <w:b/>
                <w:sz w:val="24"/>
              </w:rPr>
              <w:t>1.</w:t>
              <w:tab/>
              <w:t>Autoría (variable 8 a la</w:t>
            </w:r>
            <w:r>
              <w:rPr>
                <w:b/>
                <w:spacing w:val="-11"/>
                <w:sz w:val="24"/>
              </w:rPr>
              <w:t> </w:t>
            </w:r>
            <w:r>
              <w:rPr>
                <w:b/>
                <w:sz w:val="24"/>
              </w:rPr>
              <w:t>14)</w:t>
            </w:r>
          </w:p>
        </w:tc>
      </w:tr>
      <w:tr>
        <w:trPr>
          <w:trHeight w:val="461" w:hRule="exact"/>
        </w:trPr>
        <w:tc>
          <w:tcPr>
            <w:tcW w:w="785" w:type="dxa"/>
            <w:vMerge w:val="restart"/>
          </w:tcPr>
          <w:p>
            <w:pPr>
              <w:pStyle w:val="TableParagraph"/>
              <w:rPr>
                <w:b/>
                <w:sz w:val="16"/>
              </w:rPr>
            </w:pPr>
          </w:p>
          <w:p>
            <w:pPr>
              <w:pStyle w:val="TableParagraph"/>
              <w:rPr>
                <w:b/>
                <w:sz w:val="16"/>
              </w:rPr>
            </w:pPr>
          </w:p>
          <w:p>
            <w:pPr>
              <w:pStyle w:val="TableParagraph"/>
              <w:rPr>
                <w:b/>
                <w:sz w:val="16"/>
              </w:rPr>
            </w:pPr>
          </w:p>
          <w:p>
            <w:pPr>
              <w:pStyle w:val="TableParagraph"/>
              <w:spacing w:before="119"/>
              <w:ind w:left="93" w:right="88" w:hanging="3"/>
              <w:jc w:val="center"/>
              <w:rPr>
                <w:b/>
                <w:sz w:val="16"/>
              </w:rPr>
            </w:pPr>
            <w:r>
              <w:rPr>
                <w:b/>
                <w:sz w:val="16"/>
              </w:rPr>
              <w:t>Unidad de análisis</w:t>
            </w:r>
          </w:p>
        </w:tc>
        <w:tc>
          <w:tcPr>
            <w:tcW w:w="1474" w:type="dxa"/>
          </w:tcPr>
          <w:p>
            <w:pPr>
              <w:pStyle w:val="TableParagraph"/>
              <w:spacing w:before="3"/>
              <w:rPr>
                <w:b/>
                <w:sz w:val="22"/>
              </w:rPr>
            </w:pPr>
          </w:p>
          <w:p>
            <w:pPr>
              <w:pStyle w:val="TableParagraph"/>
              <w:ind w:left="49" w:right="46"/>
              <w:jc w:val="center"/>
              <w:rPr>
                <w:b/>
                <w:sz w:val="16"/>
              </w:rPr>
            </w:pPr>
            <w:r>
              <w:rPr>
                <w:b/>
                <w:sz w:val="16"/>
              </w:rPr>
              <w:t>variable 8</w:t>
            </w:r>
          </w:p>
        </w:tc>
        <w:tc>
          <w:tcPr>
            <w:tcW w:w="1244" w:type="dxa"/>
          </w:tcPr>
          <w:p>
            <w:pPr>
              <w:pStyle w:val="TableParagraph"/>
              <w:spacing w:before="3"/>
              <w:rPr>
                <w:b/>
                <w:sz w:val="22"/>
              </w:rPr>
            </w:pPr>
          </w:p>
          <w:p>
            <w:pPr>
              <w:pStyle w:val="TableParagraph"/>
              <w:ind w:left="247" w:right="195"/>
              <w:rPr>
                <w:b/>
                <w:sz w:val="16"/>
              </w:rPr>
            </w:pPr>
            <w:r>
              <w:rPr>
                <w:b/>
                <w:sz w:val="16"/>
              </w:rPr>
              <w:t>variable 9</w:t>
            </w:r>
          </w:p>
        </w:tc>
        <w:tc>
          <w:tcPr>
            <w:tcW w:w="1030" w:type="dxa"/>
          </w:tcPr>
          <w:p>
            <w:pPr>
              <w:pStyle w:val="TableParagraph"/>
              <w:spacing w:before="3"/>
              <w:rPr>
                <w:b/>
                <w:sz w:val="22"/>
              </w:rPr>
            </w:pPr>
          </w:p>
          <w:p>
            <w:pPr>
              <w:pStyle w:val="TableParagraph"/>
              <w:ind w:left="76" w:right="76"/>
              <w:jc w:val="center"/>
              <w:rPr>
                <w:b/>
                <w:sz w:val="16"/>
              </w:rPr>
            </w:pPr>
            <w:r>
              <w:rPr>
                <w:b/>
                <w:sz w:val="16"/>
              </w:rPr>
              <w:t>variable 10</w:t>
            </w:r>
          </w:p>
        </w:tc>
        <w:tc>
          <w:tcPr>
            <w:tcW w:w="1368" w:type="dxa"/>
          </w:tcPr>
          <w:p>
            <w:pPr>
              <w:pStyle w:val="TableParagraph"/>
              <w:spacing w:before="3"/>
              <w:rPr>
                <w:b/>
                <w:sz w:val="22"/>
              </w:rPr>
            </w:pPr>
          </w:p>
          <w:p>
            <w:pPr>
              <w:pStyle w:val="TableParagraph"/>
              <w:ind w:left="263" w:right="128"/>
              <w:rPr>
                <w:b/>
                <w:sz w:val="16"/>
              </w:rPr>
            </w:pPr>
            <w:r>
              <w:rPr>
                <w:b/>
                <w:sz w:val="16"/>
              </w:rPr>
              <w:t>variable 11</w:t>
            </w:r>
          </w:p>
        </w:tc>
        <w:tc>
          <w:tcPr>
            <w:tcW w:w="1008" w:type="dxa"/>
          </w:tcPr>
          <w:p>
            <w:pPr>
              <w:pStyle w:val="TableParagraph"/>
              <w:spacing w:before="3"/>
              <w:rPr>
                <w:b/>
                <w:sz w:val="22"/>
              </w:rPr>
            </w:pPr>
          </w:p>
          <w:p>
            <w:pPr>
              <w:pStyle w:val="TableParagraph"/>
              <w:ind w:left="65" w:right="65"/>
              <w:jc w:val="center"/>
              <w:rPr>
                <w:b/>
                <w:sz w:val="16"/>
              </w:rPr>
            </w:pPr>
            <w:r>
              <w:rPr>
                <w:b/>
                <w:sz w:val="16"/>
              </w:rPr>
              <w:t>variable 12</w:t>
            </w:r>
          </w:p>
        </w:tc>
        <w:tc>
          <w:tcPr>
            <w:tcW w:w="989" w:type="dxa"/>
          </w:tcPr>
          <w:p>
            <w:pPr>
              <w:pStyle w:val="TableParagraph"/>
              <w:spacing w:before="3"/>
              <w:rPr>
                <w:b/>
                <w:sz w:val="22"/>
              </w:rPr>
            </w:pPr>
          </w:p>
          <w:p>
            <w:pPr>
              <w:pStyle w:val="TableParagraph"/>
              <w:ind w:left="74"/>
              <w:rPr>
                <w:b/>
                <w:sz w:val="16"/>
              </w:rPr>
            </w:pPr>
            <w:r>
              <w:rPr>
                <w:b/>
                <w:sz w:val="16"/>
              </w:rPr>
              <w:t>variable 13</w:t>
            </w:r>
          </w:p>
        </w:tc>
        <w:tc>
          <w:tcPr>
            <w:tcW w:w="946" w:type="dxa"/>
          </w:tcPr>
          <w:p>
            <w:pPr>
              <w:pStyle w:val="TableParagraph"/>
              <w:spacing w:before="74"/>
              <w:ind w:left="379" w:right="148" w:hanging="216"/>
              <w:rPr>
                <w:b/>
                <w:sz w:val="16"/>
              </w:rPr>
            </w:pPr>
            <w:r>
              <w:rPr>
                <w:b/>
                <w:sz w:val="16"/>
              </w:rPr>
              <w:t>variable 14</w:t>
            </w:r>
          </w:p>
        </w:tc>
      </w:tr>
      <w:tr>
        <w:trPr>
          <w:trHeight w:val="782" w:hRule="exact"/>
        </w:trPr>
        <w:tc>
          <w:tcPr>
            <w:tcW w:w="785" w:type="dxa"/>
            <w:vMerge/>
          </w:tcPr>
          <w:p>
            <w:pPr/>
          </w:p>
        </w:tc>
        <w:tc>
          <w:tcPr>
            <w:tcW w:w="1474" w:type="dxa"/>
          </w:tcPr>
          <w:p>
            <w:pPr>
              <w:pStyle w:val="TableParagraph"/>
              <w:rPr>
                <w:b/>
                <w:sz w:val="16"/>
              </w:rPr>
            </w:pPr>
          </w:p>
          <w:p>
            <w:pPr>
              <w:pStyle w:val="TableParagraph"/>
              <w:rPr>
                <w:b/>
                <w:sz w:val="16"/>
              </w:rPr>
            </w:pPr>
          </w:p>
          <w:p>
            <w:pPr>
              <w:pStyle w:val="TableParagraph"/>
              <w:spacing w:before="2"/>
              <w:rPr>
                <w:b/>
                <w:sz w:val="18"/>
              </w:rPr>
            </w:pPr>
          </w:p>
          <w:p>
            <w:pPr>
              <w:pStyle w:val="TableParagraph"/>
              <w:spacing w:before="1"/>
              <w:ind w:left="49" w:right="49"/>
              <w:jc w:val="center"/>
              <w:rPr>
                <w:b/>
                <w:sz w:val="16"/>
              </w:rPr>
            </w:pPr>
            <w:r>
              <w:rPr>
                <w:b/>
                <w:sz w:val="16"/>
              </w:rPr>
              <w:t>Autor/autores</w:t>
            </w:r>
          </w:p>
        </w:tc>
        <w:tc>
          <w:tcPr>
            <w:tcW w:w="1244" w:type="dxa"/>
          </w:tcPr>
          <w:p>
            <w:pPr>
              <w:pStyle w:val="TableParagraph"/>
              <w:rPr>
                <w:b/>
                <w:sz w:val="16"/>
              </w:rPr>
            </w:pPr>
          </w:p>
          <w:p>
            <w:pPr>
              <w:pStyle w:val="TableParagraph"/>
              <w:spacing w:before="2"/>
              <w:rPr>
                <w:b/>
                <w:sz w:val="18"/>
              </w:rPr>
            </w:pPr>
          </w:p>
          <w:p>
            <w:pPr>
              <w:pStyle w:val="TableParagraph"/>
              <w:ind w:left="350" w:right="195" w:hanging="140"/>
              <w:rPr>
                <w:b/>
                <w:sz w:val="16"/>
              </w:rPr>
            </w:pPr>
            <w:r>
              <w:rPr>
                <w:b/>
                <w:sz w:val="16"/>
              </w:rPr>
              <w:t>Institución autor 1</w:t>
            </w:r>
          </w:p>
        </w:tc>
        <w:tc>
          <w:tcPr>
            <w:tcW w:w="1030" w:type="dxa"/>
          </w:tcPr>
          <w:p>
            <w:pPr>
              <w:pStyle w:val="TableParagraph"/>
              <w:spacing w:before="26"/>
              <w:ind w:left="75" w:right="76"/>
              <w:jc w:val="center"/>
              <w:rPr>
                <w:b/>
                <w:sz w:val="16"/>
              </w:rPr>
            </w:pPr>
            <w:r>
              <w:rPr>
                <w:b/>
                <w:sz w:val="16"/>
              </w:rPr>
              <w:t>País de origen institución autor 1</w:t>
            </w:r>
          </w:p>
        </w:tc>
        <w:tc>
          <w:tcPr>
            <w:tcW w:w="1368" w:type="dxa"/>
          </w:tcPr>
          <w:p>
            <w:pPr>
              <w:pStyle w:val="TableParagraph"/>
              <w:rPr>
                <w:b/>
                <w:sz w:val="16"/>
              </w:rPr>
            </w:pPr>
          </w:p>
          <w:p>
            <w:pPr>
              <w:pStyle w:val="TableParagraph"/>
              <w:spacing w:before="2"/>
              <w:rPr>
                <w:b/>
                <w:sz w:val="18"/>
              </w:rPr>
            </w:pPr>
          </w:p>
          <w:p>
            <w:pPr>
              <w:pStyle w:val="TableParagraph"/>
              <w:ind w:left="412" w:right="257" w:hanging="140"/>
              <w:rPr>
                <w:b/>
                <w:sz w:val="16"/>
              </w:rPr>
            </w:pPr>
            <w:r>
              <w:rPr>
                <w:b/>
                <w:sz w:val="16"/>
              </w:rPr>
              <w:t>Institución autor 2</w:t>
            </w:r>
          </w:p>
        </w:tc>
        <w:tc>
          <w:tcPr>
            <w:tcW w:w="1008" w:type="dxa"/>
          </w:tcPr>
          <w:p>
            <w:pPr>
              <w:pStyle w:val="TableParagraph"/>
              <w:spacing w:before="26"/>
              <w:ind w:left="65" w:right="64"/>
              <w:jc w:val="center"/>
              <w:rPr>
                <w:b/>
                <w:sz w:val="16"/>
              </w:rPr>
            </w:pPr>
            <w:r>
              <w:rPr>
                <w:b/>
                <w:sz w:val="16"/>
              </w:rPr>
              <w:t>País de origen institución autor 2</w:t>
            </w:r>
          </w:p>
        </w:tc>
        <w:tc>
          <w:tcPr>
            <w:tcW w:w="989" w:type="dxa"/>
          </w:tcPr>
          <w:p>
            <w:pPr>
              <w:pStyle w:val="TableParagraph"/>
              <w:rPr>
                <w:b/>
                <w:sz w:val="16"/>
              </w:rPr>
            </w:pPr>
          </w:p>
          <w:p>
            <w:pPr>
              <w:pStyle w:val="TableParagraph"/>
              <w:spacing w:before="2"/>
              <w:rPr>
                <w:b/>
                <w:sz w:val="18"/>
              </w:rPr>
            </w:pPr>
          </w:p>
          <w:p>
            <w:pPr>
              <w:pStyle w:val="TableParagraph"/>
              <w:ind w:left="223" w:right="94" w:hanging="113"/>
              <w:rPr>
                <w:b/>
                <w:sz w:val="16"/>
              </w:rPr>
            </w:pPr>
            <w:r>
              <w:rPr>
                <w:b/>
                <w:sz w:val="16"/>
              </w:rPr>
              <w:t>Disciplina autor 1</w:t>
            </w:r>
          </w:p>
        </w:tc>
        <w:tc>
          <w:tcPr>
            <w:tcW w:w="946" w:type="dxa"/>
          </w:tcPr>
          <w:p>
            <w:pPr>
              <w:pStyle w:val="TableParagraph"/>
              <w:rPr>
                <w:b/>
                <w:sz w:val="16"/>
              </w:rPr>
            </w:pPr>
          </w:p>
          <w:p>
            <w:pPr>
              <w:pStyle w:val="TableParagraph"/>
              <w:spacing w:before="2"/>
              <w:rPr>
                <w:b/>
                <w:sz w:val="18"/>
              </w:rPr>
            </w:pPr>
          </w:p>
          <w:p>
            <w:pPr>
              <w:pStyle w:val="TableParagraph"/>
              <w:ind w:left="201" w:right="72" w:hanging="113"/>
              <w:rPr>
                <w:b/>
                <w:sz w:val="16"/>
              </w:rPr>
            </w:pPr>
            <w:r>
              <w:rPr>
                <w:b/>
                <w:sz w:val="16"/>
              </w:rPr>
              <w:t>Disciplina autor 2</w:t>
            </w:r>
          </w:p>
        </w:tc>
      </w:tr>
      <w:tr>
        <w:trPr>
          <w:trHeight w:val="610" w:hRule="exact"/>
        </w:trPr>
        <w:tc>
          <w:tcPr>
            <w:tcW w:w="785" w:type="dxa"/>
          </w:tcPr>
          <w:p>
            <w:pPr>
              <w:pStyle w:val="TableParagraph"/>
              <w:rPr>
                <w:b/>
                <w:sz w:val="16"/>
              </w:rPr>
            </w:pPr>
          </w:p>
          <w:p>
            <w:pPr>
              <w:pStyle w:val="TableParagraph"/>
              <w:spacing w:before="2"/>
              <w:rPr>
                <w:b/>
                <w:sz w:val="19"/>
              </w:rPr>
            </w:pPr>
          </w:p>
          <w:p>
            <w:pPr>
              <w:pStyle w:val="TableParagraph"/>
              <w:jc w:val="center"/>
              <w:rPr>
                <w:b/>
                <w:sz w:val="16"/>
              </w:rPr>
            </w:pPr>
            <w:r>
              <w:rPr>
                <w:b/>
                <w:w w:val="100"/>
                <w:sz w:val="16"/>
              </w:rPr>
              <w:t>8</w:t>
            </w:r>
          </w:p>
        </w:tc>
        <w:tc>
          <w:tcPr>
            <w:tcW w:w="1474" w:type="dxa"/>
          </w:tcPr>
          <w:p>
            <w:pPr>
              <w:pStyle w:val="TableParagraph"/>
              <w:rPr>
                <w:b/>
                <w:sz w:val="16"/>
              </w:rPr>
            </w:pPr>
          </w:p>
          <w:p>
            <w:pPr>
              <w:pStyle w:val="TableParagraph"/>
              <w:spacing w:before="5"/>
              <w:rPr>
                <w:b/>
                <w:sz w:val="19"/>
              </w:rPr>
            </w:pPr>
          </w:p>
          <w:p>
            <w:pPr>
              <w:pStyle w:val="TableParagraph"/>
              <w:ind w:left="49" w:right="49"/>
              <w:jc w:val="center"/>
              <w:rPr>
                <w:sz w:val="16"/>
              </w:rPr>
            </w:pPr>
            <w:r>
              <w:rPr>
                <w:sz w:val="16"/>
              </w:rPr>
              <w:t>Horacio A. Torres</w:t>
            </w:r>
          </w:p>
        </w:tc>
        <w:tc>
          <w:tcPr>
            <w:tcW w:w="1244" w:type="dxa"/>
          </w:tcPr>
          <w:p>
            <w:pPr>
              <w:pStyle w:val="TableParagraph"/>
              <w:spacing w:before="4"/>
              <w:rPr>
                <w:b/>
                <w:sz w:val="19"/>
              </w:rPr>
            </w:pPr>
          </w:p>
          <w:p>
            <w:pPr>
              <w:pStyle w:val="TableParagraph"/>
              <w:ind w:left="139" w:right="66" w:hanging="59"/>
              <w:rPr>
                <w:sz w:val="16"/>
              </w:rPr>
            </w:pPr>
            <w:r>
              <w:rPr>
                <w:sz w:val="16"/>
              </w:rPr>
              <w:t>Universidad de Buenos Aires</w:t>
            </w:r>
          </w:p>
        </w:tc>
        <w:tc>
          <w:tcPr>
            <w:tcW w:w="1030" w:type="dxa"/>
          </w:tcPr>
          <w:p>
            <w:pPr>
              <w:pStyle w:val="TableParagraph"/>
              <w:rPr>
                <w:b/>
                <w:sz w:val="16"/>
              </w:rPr>
            </w:pPr>
          </w:p>
          <w:p>
            <w:pPr>
              <w:pStyle w:val="TableParagraph"/>
              <w:spacing w:before="5"/>
              <w:rPr>
                <w:b/>
                <w:sz w:val="19"/>
              </w:rPr>
            </w:pPr>
          </w:p>
          <w:p>
            <w:pPr>
              <w:pStyle w:val="TableParagraph"/>
              <w:ind w:left="75" w:right="76"/>
              <w:jc w:val="center"/>
              <w:rPr>
                <w:sz w:val="16"/>
              </w:rPr>
            </w:pPr>
            <w:r>
              <w:rPr>
                <w:sz w:val="16"/>
              </w:rPr>
              <w:t>Argentina</w:t>
            </w:r>
          </w:p>
        </w:tc>
        <w:tc>
          <w:tcPr>
            <w:tcW w:w="1368" w:type="dxa"/>
          </w:tcPr>
          <w:p>
            <w:pPr/>
          </w:p>
        </w:tc>
        <w:tc>
          <w:tcPr>
            <w:tcW w:w="1008" w:type="dxa"/>
          </w:tcPr>
          <w:p>
            <w:pPr/>
          </w:p>
        </w:tc>
        <w:tc>
          <w:tcPr>
            <w:tcW w:w="989" w:type="dxa"/>
          </w:tcPr>
          <w:p>
            <w:pPr/>
          </w:p>
        </w:tc>
        <w:tc>
          <w:tcPr>
            <w:tcW w:w="946" w:type="dxa"/>
          </w:tcPr>
          <w:p>
            <w:pPr/>
          </w:p>
        </w:tc>
      </w:tr>
      <w:tr>
        <w:trPr>
          <w:trHeight w:val="562" w:hRule="exact"/>
        </w:trPr>
        <w:tc>
          <w:tcPr>
            <w:tcW w:w="785" w:type="dxa"/>
          </w:tcPr>
          <w:p>
            <w:pPr>
              <w:pStyle w:val="TableParagraph"/>
              <w:rPr>
                <w:b/>
                <w:sz w:val="16"/>
              </w:rPr>
            </w:pPr>
          </w:p>
          <w:p>
            <w:pPr>
              <w:pStyle w:val="TableParagraph"/>
              <w:rPr>
                <w:b/>
                <w:sz w:val="15"/>
              </w:rPr>
            </w:pPr>
          </w:p>
          <w:p>
            <w:pPr>
              <w:pStyle w:val="TableParagraph"/>
              <w:jc w:val="center"/>
              <w:rPr>
                <w:b/>
                <w:sz w:val="16"/>
              </w:rPr>
            </w:pPr>
            <w:r>
              <w:rPr>
                <w:b/>
                <w:w w:val="100"/>
                <w:sz w:val="16"/>
              </w:rPr>
              <w:t>9</w:t>
            </w:r>
          </w:p>
        </w:tc>
        <w:tc>
          <w:tcPr>
            <w:tcW w:w="1474" w:type="dxa"/>
          </w:tcPr>
          <w:p>
            <w:pPr>
              <w:pStyle w:val="TableParagraph"/>
              <w:ind w:left="64" w:right="61" w:hanging="2"/>
              <w:jc w:val="center"/>
              <w:rPr>
                <w:sz w:val="16"/>
              </w:rPr>
            </w:pPr>
            <w:r>
              <w:rPr>
                <w:sz w:val="16"/>
              </w:rPr>
              <w:t>PATRICIO AROCA Y MIGUEL</w:t>
            </w:r>
            <w:r>
              <w:rPr>
                <w:spacing w:val="-3"/>
                <w:sz w:val="16"/>
              </w:rPr>
              <w:t> </w:t>
            </w:r>
            <w:r>
              <w:rPr>
                <w:sz w:val="16"/>
              </w:rPr>
              <w:t>ATIENZA</w:t>
            </w:r>
          </w:p>
        </w:tc>
        <w:tc>
          <w:tcPr>
            <w:tcW w:w="1244" w:type="dxa"/>
          </w:tcPr>
          <w:p>
            <w:pPr>
              <w:pStyle w:val="TableParagraph"/>
              <w:ind w:left="144" w:right="142"/>
              <w:jc w:val="center"/>
              <w:rPr>
                <w:sz w:val="16"/>
              </w:rPr>
            </w:pPr>
            <w:r>
              <w:rPr>
                <w:sz w:val="16"/>
              </w:rPr>
              <w:t>Universidad Católica del Norte</w:t>
            </w:r>
          </w:p>
        </w:tc>
        <w:tc>
          <w:tcPr>
            <w:tcW w:w="1030" w:type="dxa"/>
          </w:tcPr>
          <w:p>
            <w:pPr>
              <w:pStyle w:val="TableParagraph"/>
              <w:rPr>
                <w:b/>
                <w:sz w:val="16"/>
              </w:rPr>
            </w:pPr>
          </w:p>
          <w:p>
            <w:pPr>
              <w:pStyle w:val="TableParagraph"/>
              <w:spacing w:before="3"/>
              <w:rPr>
                <w:b/>
                <w:sz w:val="15"/>
              </w:rPr>
            </w:pPr>
          </w:p>
          <w:p>
            <w:pPr>
              <w:pStyle w:val="TableParagraph"/>
              <w:ind w:left="76" w:right="76"/>
              <w:jc w:val="center"/>
              <w:rPr>
                <w:sz w:val="16"/>
              </w:rPr>
            </w:pPr>
            <w:r>
              <w:rPr>
                <w:sz w:val="16"/>
              </w:rPr>
              <w:t>Chile</w:t>
            </w:r>
          </w:p>
        </w:tc>
        <w:tc>
          <w:tcPr>
            <w:tcW w:w="1368" w:type="dxa"/>
          </w:tcPr>
          <w:p>
            <w:pPr>
              <w:pStyle w:val="TableParagraph"/>
              <w:ind w:left="256" w:right="255"/>
              <w:jc w:val="center"/>
              <w:rPr>
                <w:sz w:val="16"/>
              </w:rPr>
            </w:pPr>
            <w:r>
              <w:rPr>
                <w:sz w:val="16"/>
              </w:rPr>
              <w:t>Universidad Católica del Norte</w:t>
            </w:r>
          </w:p>
        </w:tc>
        <w:tc>
          <w:tcPr>
            <w:tcW w:w="1008" w:type="dxa"/>
          </w:tcPr>
          <w:p>
            <w:pPr>
              <w:pStyle w:val="TableParagraph"/>
              <w:rPr>
                <w:b/>
                <w:sz w:val="16"/>
              </w:rPr>
            </w:pPr>
          </w:p>
          <w:p>
            <w:pPr>
              <w:pStyle w:val="TableParagraph"/>
              <w:spacing w:before="3"/>
              <w:rPr>
                <w:b/>
                <w:sz w:val="15"/>
              </w:rPr>
            </w:pPr>
          </w:p>
          <w:p>
            <w:pPr>
              <w:pStyle w:val="TableParagraph"/>
              <w:ind w:left="65" w:right="65"/>
              <w:jc w:val="center"/>
              <w:rPr>
                <w:sz w:val="16"/>
              </w:rPr>
            </w:pPr>
            <w:r>
              <w:rPr>
                <w:sz w:val="16"/>
              </w:rPr>
              <w:t>Chile</w:t>
            </w:r>
          </w:p>
        </w:tc>
        <w:tc>
          <w:tcPr>
            <w:tcW w:w="989" w:type="dxa"/>
          </w:tcPr>
          <w:p>
            <w:pPr/>
          </w:p>
        </w:tc>
        <w:tc>
          <w:tcPr>
            <w:tcW w:w="946" w:type="dxa"/>
          </w:tcPr>
          <w:p>
            <w:pPr/>
          </w:p>
        </w:tc>
      </w:tr>
      <w:tr>
        <w:trPr>
          <w:trHeight w:val="745" w:hRule="exact"/>
        </w:trPr>
        <w:tc>
          <w:tcPr>
            <w:tcW w:w="785" w:type="dxa"/>
          </w:tcPr>
          <w:p>
            <w:pPr>
              <w:pStyle w:val="TableParagraph"/>
              <w:rPr>
                <w:b/>
                <w:sz w:val="16"/>
              </w:rPr>
            </w:pPr>
          </w:p>
          <w:p>
            <w:pPr>
              <w:pStyle w:val="TableParagraph"/>
              <w:rPr>
                <w:b/>
                <w:sz w:val="16"/>
              </w:rPr>
            </w:pPr>
          </w:p>
          <w:p>
            <w:pPr>
              <w:pStyle w:val="TableParagraph"/>
              <w:spacing w:before="2"/>
              <w:rPr>
                <w:b/>
                <w:sz w:val="15"/>
              </w:rPr>
            </w:pPr>
          </w:p>
          <w:p>
            <w:pPr>
              <w:pStyle w:val="TableParagraph"/>
              <w:ind w:left="278" w:right="278"/>
              <w:jc w:val="center"/>
              <w:rPr>
                <w:b/>
                <w:sz w:val="16"/>
              </w:rPr>
            </w:pPr>
            <w:r>
              <w:rPr>
                <w:b/>
                <w:sz w:val="16"/>
              </w:rPr>
              <w:t>10</w:t>
            </w:r>
          </w:p>
        </w:tc>
        <w:tc>
          <w:tcPr>
            <w:tcW w:w="1474" w:type="dxa"/>
          </w:tcPr>
          <w:p>
            <w:pPr>
              <w:pStyle w:val="TableParagraph"/>
              <w:ind w:left="127" w:right="122" w:hanging="6"/>
              <w:jc w:val="center"/>
              <w:rPr>
                <w:sz w:val="16"/>
              </w:rPr>
            </w:pPr>
            <w:r>
              <w:rPr>
                <w:sz w:val="16"/>
              </w:rPr>
              <w:t>Inmaculada Caravaca, Gema González, Rocío Silva</w:t>
            </w:r>
          </w:p>
        </w:tc>
        <w:tc>
          <w:tcPr>
            <w:tcW w:w="1244" w:type="dxa"/>
          </w:tcPr>
          <w:p>
            <w:pPr>
              <w:pStyle w:val="TableParagraph"/>
              <w:rPr>
                <w:b/>
                <w:sz w:val="16"/>
              </w:rPr>
            </w:pPr>
          </w:p>
          <w:p>
            <w:pPr>
              <w:pStyle w:val="TableParagraph"/>
              <w:spacing w:before="3"/>
              <w:rPr>
                <w:b/>
                <w:sz w:val="15"/>
              </w:rPr>
            </w:pPr>
          </w:p>
          <w:p>
            <w:pPr>
              <w:pStyle w:val="TableParagraph"/>
              <w:ind w:left="382" w:right="65" w:hanging="301"/>
              <w:rPr>
                <w:sz w:val="16"/>
              </w:rPr>
            </w:pPr>
            <w:r>
              <w:rPr>
                <w:sz w:val="16"/>
              </w:rPr>
              <w:t>Universidad de Sevilla</w:t>
            </w:r>
          </w:p>
        </w:tc>
        <w:tc>
          <w:tcPr>
            <w:tcW w:w="1030" w:type="dxa"/>
          </w:tcPr>
          <w:p>
            <w:pPr>
              <w:pStyle w:val="TableParagraph"/>
              <w:rPr>
                <w:b/>
                <w:sz w:val="16"/>
              </w:rPr>
            </w:pPr>
          </w:p>
          <w:p>
            <w:pPr>
              <w:pStyle w:val="TableParagraph"/>
              <w:rPr>
                <w:b/>
                <w:sz w:val="16"/>
              </w:rPr>
            </w:pPr>
          </w:p>
          <w:p>
            <w:pPr>
              <w:pStyle w:val="TableParagraph"/>
              <w:spacing w:before="4"/>
              <w:rPr>
                <w:b/>
                <w:sz w:val="15"/>
              </w:rPr>
            </w:pPr>
          </w:p>
          <w:p>
            <w:pPr>
              <w:pStyle w:val="TableParagraph"/>
              <w:ind w:left="76" w:right="76"/>
              <w:jc w:val="center"/>
              <w:rPr>
                <w:sz w:val="16"/>
              </w:rPr>
            </w:pPr>
            <w:r>
              <w:rPr>
                <w:sz w:val="16"/>
              </w:rPr>
              <w:t>España</w:t>
            </w:r>
          </w:p>
        </w:tc>
        <w:tc>
          <w:tcPr>
            <w:tcW w:w="1368" w:type="dxa"/>
          </w:tcPr>
          <w:p>
            <w:pPr>
              <w:pStyle w:val="TableParagraph"/>
              <w:rPr>
                <w:b/>
                <w:sz w:val="16"/>
              </w:rPr>
            </w:pPr>
          </w:p>
          <w:p>
            <w:pPr>
              <w:pStyle w:val="TableParagraph"/>
              <w:spacing w:before="3"/>
              <w:rPr>
                <w:b/>
                <w:sz w:val="15"/>
              </w:rPr>
            </w:pPr>
          </w:p>
          <w:p>
            <w:pPr>
              <w:pStyle w:val="TableParagraph"/>
              <w:ind w:left="443" w:right="128" w:hanging="300"/>
              <w:rPr>
                <w:sz w:val="16"/>
              </w:rPr>
            </w:pPr>
            <w:r>
              <w:rPr>
                <w:sz w:val="16"/>
              </w:rPr>
              <w:t>Universidad de Sevilla</w:t>
            </w:r>
          </w:p>
        </w:tc>
        <w:tc>
          <w:tcPr>
            <w:tcW w:w="1008" w:type="dxa"/>
          </w:tcPr>
          <w:p>
            <w:pPr>
              <w:pStyle w:val="TableParagraph"/>
              <w:rPr>
                <w:b/>
                <w:sz w:val="16"/>
              </w:rPr>
            </w:pPr>
          </w:p>
          <w:p>
            <w:pPr>
              <w:pStyle w:val="TableParagraph"/>
              <w:rPr>
                <w:b/>
                <w:sz w:val="16"/>
              </w:rPr>
            </w:pPr>
          </w:p>
          <w:p>
            <w:pPr>
              <w:pStyle w:val="TableParagraph"/>
              <w:spacing w:before="4"/>
              <w:rPr>
                <w:b/>
                <w:sz w:val="15"/>
              </w:rPr>
            </w:pPr>
          </w:p>
          <w:p>
            <w:pPr>
              <w:pStyle w:val="TableParagraph"/>
              <w:ind w:left="65" w:right="63"/>
              <w:jc w:val="center"/>
              <w:rPr>
                <w:sz w:val="16"/>
              </w:rPr>
            </w:pPr>
            <w:r>
              <w:rPr>
                <w:sz w:val="16"/>
              </w:rPr>
              <w:t>España</w:t>
            </w:r>
          </w:p>
        </w:tc>
        <w:tc>
          <w:tcPr>
            <w:tcW w:w="989" w:type="dxa"/>
          </w:tcPr>
          <w:p>
            <w:pPr/>
          </w:p>
        </w:tc>
        <w:tc>
          <w:tcPr>
            <w:tcW w:w="946" w:type="dxa"/>
          </w:tcPr>
          <w:p>
            <w:pPr/>
          </w:p>
        </w:tc>
      </w:tr>
      <w:tr>
        <w:trPr>
          <w:trHeight w:val="958"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5"/>
              <w:rPr>
                <w:b/>
                <w:sz w:val="17"/>
              </w:rPr>
            </w:pPr>
          </w:p>
          <w:p>
            <w:pPr>
              <w:pStyle w:val="TableParagraph"/>
              <w:ind w:left="278" w:right="278"/>
              <w:jc w:val="center"/>
              <w:rPr>
                <w:b/>
                <w:sz w:val="16"/>
              </w:rPr>
            </w:pPr>
            <w:r>
              <w:rPr>
                <w:b/>
                <w:sz w:val="16"/>
              </w:rPr>
              <w:t>11</w:t>
            </w:r>
          </w:p>
        </w:tc>
        <w:tc>
          <w:tcPr>
            <w:tcW w:w="1474" w:type="dxa"/>
          </w:tcPr>
          <w:p>
            <w:pPr>
              <w:pStyle w:val="TableParagraph"/>
              <w:spacing w:before="8"/>
              <w:rPr>
                <w:b/>
                <w:sz w:val="17"/>
              </w:rPr>
            </w:pPr>
          </w:p>
          <w:p>
            <w:pPr>
              <w:pStyle w:val="TableParagraph"/>
              <w:ind w:left="143" w:right="143"/>
              <w:jc w:val="center"/>
              <w:rPr>
                <w:sz w:val="16"/>
              </w:rPr>
            </w:pPr>
            <w:hyperlink r:id="rId38">
              <w:r>
                <w:rPr>
                  <w:sz w:val="16"/>
                </w:rPr>
                <w:t>Gerardo Azócar,</w:t>
              </w:r>
            </w:hyperlink>
            <w:r>
              <w:rPr>
                <w:sz w:val="16"/>
              </w:rPr>
              <w:t> </w:t>
            </w:r>
            <w:hyperlink r:id="rId38">
              <w:r>
                <w:rPr>
                  <w:sz w:val="16"/>
                </w:rPr>
                <w:t>Rodrigo</w:t>
              </w:r>
            </w:hyperlink>
            <w:r>
              <w:rPr>
                <w:sz w:val="16"/>
              </w:rPr>
              <w:t> </w:t>
            </w:r>
            <w:hyperlink r:id="rId38">
              <w:r>
                <w:rPr>
                  <w:sz w:val="16"/>
                </w:rPr>
                <w:t>Sanhueza y</w:t>
              </w:r>
            </w:hyperlink>
          </w:p>
          <w:p>
            <w:pPr>
              <w:pStyle w:val="TableParagraph"/>
              <w:spacing w:before="1"/>
              <w:ind w:left="49" w:right="49"/>
              <w:jc w:val="center"/>
              <w:rPr>
                <w:sz w:val="16"/>
              </w:rPr>
            </w:pPr>
            <w:hyperlink r:id="rId38">
              <w:r>
                <w:rPr>
                  <w:sz w:val="16"/>
                </w:rPr>
                <w:t>Cristián Henríquez</w:t>
              </w:r>
            </w:hyperlink>
          </w:p>
        </w:tc>
        <w:tc>
          <w:tcPr>
            <w:tcW w:w="1244" w:type="dxa"/>
          </w:tcPr>
          <w:p>
            <w:pPr>
              <w:pStyle w:val="TableParagraph"/>
              <w:rPr>
                <w:b/>
                <w:sz w:val="16"/>
              </w:rPr>
            </w:pPr>
          </w:p>
          <w:p>
            <w:pPr>
              <w:pStyle w:val="TableParagraph"/>
              <w:rPr>
                <w:b/>
                <w:sz w:val="16"/>
              </w:rPr>
            </w:pPr>
          </w:p>
          <w:p>
            <w:pPr>
              <w:pStyle w:val="TableParagraph"/>
              <w:spacing w:before="7"/>
              <w:rPr>
                <w:b/>
                <w:sz w:val="17"/>
              </w:rPr>
            </w:pPr>
          </w:p>
          <w:p>
            <w:pPr>
              <w:pStyle w:val="TableParagraph"/>
              <w:ind w:left="194" w:right="66" w:hanging="114"/>
              <w:rPr>
                <w:sz w:val="16"/>
              </w:rPr>
            </w:pPr>
            <w:r>
              <w:rPr>
                <w:sz w:val="16"/>
              </w:rPr>
              <w:t>Universidad de Concepción</w:t>
            </w:r>
          </w:p>
        </w:tc>
        <w:tc>
          <w:tcPr>
            <w:tcW w:w="1030" w:type="dxa"/>
          </w:tcPr>
          <w:p>
            <w:pPr>
              <w:pStyle w:val="TableParagraph"/>
              <w:rPr>
                <w:b/>
                <w:sz w:val="16"/>
              </w:rPr>
            </w:pPr>
          </w:p>
          <w:p>
            <w:pPr>
              <w:pStyle w:val="TableParagraph"/>
              <w:rPr>
                <w:b/>
                <w:sz w:val="16"/>
              </w:rPr>
            </w:pPr>
          </w:p>
          <w:p>
            <w:pPr>
              <w:pStyle w:val="TableParagraph"/>
              <w:rPr>
                <w:b/>
                <w:sz w:val="16"/>
              </w:rPr>
            </w:pPr>
          </w:p>
          <w:p>
            <w:pPr>
              <w:pStyle w:val="TableParagraph"/>
              <w:spacing w:before="8"/>
              <w:rPr>
                <w:b/>
                <w:sz w:val="17"/>
              </w:rPr>
            </w:pPr>
          </w:p>
          <w:p>
            <w:pPr>
              <w:pStyle w:val="TableParagraph"/>
              <w:ind w:left="76" w:right="76"/>
              <w:jc w:val="center"/>
              <w:rPr>
                <w:sz w:val="16"/>
              </w:rPr>
            </w:pPr>
            <w:r>
              <w:rPr>
                <w:sz w:val="16"/>
              </w:rPr>
              <w:t>Chile</w:t>
            </w:r>
          </w:p>
        </w:tc>
        <w:tc>
          <w:tcPr>
            <w:tcW w:w="1368" w:type="dxa"/>
          </w:tcPr>
          <w:p>
            <w:pPr>
              <w:pStyle w:val="TableParagraph"/>
              <w:rPr>
                <w:b/>
                <w:sz w:val="16"/>
              </w:rPr>
            </w:pPr>
          </w:p>
          <w:p>
            <w:pPr>
              <w:pStyle w:val="TableParagraph"/>
              <w:rPr>
                <w:b/>
                <w:sz w:val="16"/>
              </w:rPr>
            </w:pPr>
          </w:p>
          <w:p>
            <w:pPr>
              <w:pStyle w:val="TableParagraph"/>
              <w:spacing w:before="7"/>
              <w:rPr>
                <w:b/>
                <w:sz w:val="17"/>
              </w:rPr>
            </w:pPr>
          </w:p>
          <w:p>
            <w:pPr>
              <w:pStyle w:val="TableParagraph"/>
              <w:ind w:left="256" w:right="128" w:hanging="113"/>
              <w:rPr>
                <w:sz w:val="16"/>
              </w:rPr>
            </w:pPr>
            <w:r>
              <w:rPr>
                <w:sz w:val="16"/>
              </w:rPr>
              <w:t>Universidad de Concepción</w:t>
            </w:r>
          </w:p>
        </w:tc>
        <w:tc>
          <w:tcPr>
            <w:tcW w:w="1008" w:type="dxa"/>
          </w:tcPr>
          <w:p>
            <w:pPr>
              <w:pStyle w:val="TableParagraph"/>
              <w:rPr>
                <w:b/>
                <w:sz w:val="16"/>
              </w:rPr>
            </w:pPr>
          </w:p>
          <w:p>
            <w:pPr>
              <w:pStyle w:val="TableParagraph"/>
              <w:rPr>
                <w:b/>
                <w:sz w:val="16"/>
              </w:rPr>
            </w:pPr>
          </w:p>
          <w:p>
            <w:pPr>
              <w:pStyle w:val="TableParagraph"/>
              <w:rPr>
                <w:b/>
                <w:sz w:val="16"/>
              </w:rPr>
            </w:pPr>
          </w:p>
          <w:p>
            <w:pPr>
              <w:pStyle w:val="TableParagraph"/>
              <w:spacing w:before="8"/>
              <w:rPr>
                <w:b/>
                <w:sz w:val="17"/>
              </w:rPr>
            </w:pPr>
          </w:p>
          <w:p>
            <w:pPr>
              <w:pStyle w:val="TableParagraph"/>
              <w:ind w:left="65" w:right="65"/>
              <w:jc w:val="center"/>
              <w:rPr>
                <w:sz w:val="16"/>
              </w:rPr>
            </w:pPr>
            <w:r>
              <w:rPr>
                <w:sz w:val="16"/>
              </w:rPr>
              <w:t>Chile</w:t>
            </w:r>
          </w:p>
        </w:tc>
        <w:tc>
          <w:tcPr>
            <w:tcW w:w="989" w:type="dxa"/>
          </w:tcPr>
          <w:p>
            <w:pPr/>
          </w:p>
        </w:tc>
        <w:tc>
          <w:tcPr>
            <w:tcW w:w="946" w:type="dxa"/>
          </w:tcPr>
          <w:p>
            <w:pPr/>
          </w:p>
        </w:tc>
      </w:tr>
      <w:tr>
        <w:trPr>
          <w:trHeight w:val="1010"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1"/>
              <w:rPr>
                <w:b/>
                <w:sz w:val="22"/>
              </w:rPr>
            </w:pPr>
          </w:p>
          <w:p>
            <w:pPr>
              <w:pStyle w:val="TableParagraph"/>
              <w:ind w:left="278" w:right="278"/>
              <w:jc w:val="center"/>
              <w:rPr>
                <w:b/>
                <w:sz w:val="16"/>
              </w:rPr>
            </w:pPr>
            <w:r>
              <w:rPr>
                <w:b/>
                <w:sz w:val="16"/>
              </w:rPr>
              <w:t>12</w:t>
            </w:r>
          </w:p>
        </w:tc>
        <w:tc>
          <w:tcPr>
            <w:tcW w:w="1474" w:type="dxa"/>
          </w:tcPr>
          <w:p>
            <w:pPr>
              <w:pStyle w:val="TableParagraph"/>
              <w:rPr>
                <w:b/>
                <w:sz w:val="16"/>
              </w:rPr>
            </w:pPr>
          </w:p>
          <w:p>
            <w:pPr>
              <w:pStyle w:val="TableParagraph"/>
              <w:spacing w:before="4"/>
              <w:rPr>
                <w:b/>
                <w:sz w:val="22"/>
              </w:rPr>
            </w:pPr>
          </w:p>
          <w:p>
            <w:pPr>
              <w:pStyle w:val="TableParagraph"/>
              <w:ind w:left="64" w:right="60" w:hanging="3"/>
              <w:jc w:val="center"/>
              <w:rPr>
                <w:sz w:val="16"/>
              </w:rPr>
            </w:pPr>
            <w:r>
              <w:rPr>
                <w:sz w:val="16"/>
              </w:rPr>
              <w:t>FRANCISCO SABATINI/ISABEL BRAIN</w:t>
            </w:r>
          </w:p>
        </w:tc>
        <w:tc>
          <w:tcPr>
            <w:tcW w:w="1244" w:type="dxa"/>
          </w:tcPr>
          <w:p>
            <w:pPr>
              <w:pStyle w:val="TableParagraph"/>
              <w:spacing w:before="3"/>
              <w:rPr>
                <w:b/>
                <w:sz w:val="22"/>
              </w:rPr>
            </w:pPr>
          </w:p>
          <w:p>
            <w:pPr>
              <w:pStyle w:val="TableParagraph"/>
              <w:ind w:left="194" w:right="192" w:hanging="3"/>
              <w:jc w:val="center"/>
              <w:rPr>
                <w:sz w:val="16"/>
              </w:rPr>
            </w:pPr>
            <w:r>
              <w:rPr>
                <w:sz w:val="16"/>
              </w:rPr>
              <w:t>Pontificia Universidad Católica de Chile</w:t>
            </w:r>
          </w:p>
        </w:tc>
        <w:tc>
          <w:tcPr>
            <w:tcW w:w="1030" w:type="dxa"/>
          </w:tcPr>
          <w:p>
            <w:pPr>
              <w:pStyle w:val="TableParagraph"/>
              <w:rPr>
                <w:b/>
                <w:sz w:val="16"/>
              </w:rPr>
            </w:pPr>
          </w:p>
          <w:p>
            <w:pPr>
              <w:pStyle w:val="TableParagraph"/>
              <w:rPr>
                <w:b/>
                <w:sz w:val="16"/>
              </w:rPr>
            </w:pPr>
          </w:p>
          <w:p>
            <w:pPr>
              <w:pStyle w:val="TableParagraph"/>
              <w:rPr>
                <w:b/>
                <w:sz w:val="16"/>
              </w:rPr>
            </w:pPr>
          </w:p>
          <w:p>
            <w:pPr>
              <w:pStyle w:val="TableParagraph"/>
              <w:spacing w:before="3"/>
              <w:rPr>
                <w:b/>
                <w:sz w:val="22"/>
              </w:rPr>
            </w:pPr>
          </w:p>
          <w:p>
            <w:pPr>
              <w:pStyle w:val="TableParagraph"/>
              <w:ind w:left="76" w:right="76"/>
              <w:jc w:val="center"/>
              <w:rPr>
                <w:sz w:val="16"/>
              </w:rPr>
            </w:pPr>
            <w:r>
              <w:rPr>
                <w:sz w:val="16"/>
              </w:rPr>
              <w:t>Chile</w:t>
            </w:r>
          </w:p>
        </w:tc>
        <w:tc>
          <w:tcPr>
            <w:tcW w:w="1368" w:type="dxa"/>
          </w:tcPr>
          <w:p>
            <w:pPr>
              <w:pStyle w:val="TableParagraph"/>
              <w:spacing w:before="3"/>
              <w:rPr>
                <w:b/>
                <w:sz w:val="22"/>
              </w:rPr>
            </w:pPr>
          </w:p>
          <w:p>
            <w:pPr>
              <w:pStyle w:val="TableParagraph"/>
              <w:ind w:left="256" w:right="255" w:hanging="3"/>
              <w:jc w:val="center"/>
              <w:rPr>
                <w:sz w:val="16"/>
              </w:rPr>
            </w:pPr>
            <w:r>
              <w:rPr>
                <w:sz w:val="16"/>
              </w:rPr>
              <w:t>Pontificia Universidad Católica de Chile</w:t>
            </w:r>
          </w:p>
        </w:tc>
        <w:tc>
          <w:tcPr>
            <w:tcW w:w="1008" w:type="dxa"/>
          </w:tcPr>
          <w:p>
            <w:pPr>
              <w:pStyle w:val="TableParagraph"/>
              <w:rPr>
                <w:b/>
                <w:sz w:val="16"/>
              </w:rPr>
            </w:pPr>
          </w:p>
          <w:p>
            <w:pPr>
              <w:pStyle w:val="TableParagraph"/>
              <w:rPr>
                <w:b/>
                <w:sz w:val="16"/>
              </w:rPr>
            </w:pPr>
          </w:p>
          <w:p>
            <w:pPr>
              <w:pStyle w:val="TableParagraph"/>
              <w:rPr>
                <w:b/>
                <w:sz w:val="16"/>
              </w:rPr>
            </w:pPr>
          </w:p>
          <w:p>
            <w:pPr>
              <w:pStyle w:val="TableParagraph"/>
              <w:spacing w:before="3"/>
              <w:rPr>
                <w:b/>
                <w:sz w:val="22"/>
              </w:rPr>
            </w:pPr>
          </w:p>
          <w:p>
            <w:pPr>
              <w:pStyle w:val="TableParagraph"/>
              <w:ind w:left="65" w:right="65"/>
              <w:jc w:val="center"/>
              <w:rPr>
                <w:sz w:val="16"/>
              </w:rPr>
            </w:pPr>
            <w:r>
              <w:rPr>
                <w:sz w:val="16"/>
              </w:rPr>
              <w:t>Chile</w:t>
            </w:r>
          </w:p>
        </w:tc>
        <w:tc>
          <w:tcPr>
            <w:tcW w:w="989" w:type="dxa"/>
          </w:tcPr>
          <w:p>
            <w:pPr>
              <w:pStyle w:val="TableParagraph"/>
              <w:rPr>
                <w:b/>
                <w:sz w:val="16"/>
              </w:rPr>
            </w:pPr>
          </w:p>
          <w:p>
            <w:pPr>
              <w:pStyle w:val="TableParagraph"/>
              <w:spacing w:before="4"/>
              <w:rPr>
                <w:b/>
                <w:sz w:val="22"/>
              </w:rPr>
            </w:pPr>
          </w:p>
          <w:p>
            <w:pPr>
              <w:pStyle w:val="TableParagraph"/>
              <w:ind w:left="100" w:right="101" w:firstLine="1"/>
              <w:jc w:val="center"/>
              <w:rPr>
                <w:sz w:val="16"/>
              </w:rPr>
            </w:pPr>
            <w:r>
              <w:rPr>
                <w:sz w:val="16"/>
              </w:rPr>
              <w:t>sociología planeación urbana</w:t>
            </w:r>
          </w:p>
        </w:tc>
        <w:tc>
          <w:tcPr>
            <w:tcW w:w="946" w:type="dxa"/>
          </w:tcPr>
          <w:p>
            <w:pPr/>
          </w:p>
        </w:tc>
      </w:tr>
      <w:tr>
        <w:trPr>
          <w:trHeight w:val="775" w:hRule="exact"/>
        </w:trPr>
        <w:tc>
          <w:tcPr>
            <w:tcW w:w="785" w:type="dxa"/>
          </w:tcPr>
          <w:p>
            <w:pPr>
              <w:pStyle w:val="TableParagraph"/>
              <w:rPr>
                <w:b/>
                <w:sz w:val="16"/>
              </w:rPr>
            </w:pPr>
          </w:p>
          <w:p>
            <w:pPr>
              <w:pStyle w:val="TableParagraph"/>
              <w:rPr>
                <w:b/>
                <w:sz w:val="16"/>
              </w:rPr>
            </w:pPr>
          </w:p>
          <w:p>
            <w:pPr>
              <w:pStyle w:val="TableParagraph"/>
              <w:spacing w:before="7"/>
              <w:rPr>
                <w:b/>
                <w:sz w:val="17"/>
              </w:rPr>
            </w:pPr>
          </w:p>
          <w:p>
            <w:pPr>
              <w:pStyle w:val="TableParagraph"/>
              <w:ind w:left="278" w:right="278"/>
              <w:jc w:val="center"/>
              <w:rPr>
                <w:b/>
                <w:sz w:val="16"/>
              </w:rPr>
            </w:pPr>
            <w:r>
              <w:rPr>
                <w:b/>
                <w:sz w:val="16"/>
              </w:rPr>
              <w:t>13</w:t>
            </w:r>
          </w:p>
        </w:tc>
        <w:tc>
          <w:tcPr>
            <w:tcW w:w="1474" w:type="dxa"/>
          </w:tcPr>
          <w:p>
            <w:pPr>
              <w:pStyle w:val="TableParagraph"/>
              <w:rPr>
                <w:b/>
                <w:sz w:val="16"/>
              </w:rPr>
            </w:pPr>
          </w:p>
          <w:p>
            <w:pPr>
              <w:pStyle w:val="TableParagraph"/>
              <w:spacing w:before="11"/>
              <w:rPr>
                <w:b/>
                <w:sz w:val="17"/>
              </w:rPr>
            </w:pPr>
          </w:p>
          <w:p>
            <w:pPr>
              <w:pStyle w:val="TableParagraph"/>
              <w:ind w:left="184" w:right="166" w:firstLine="26"/>
              <w:rPr>
                <w:sz w:val="16"/>
              </w:rPr>
            </w:pPr>
            <w:r>
              <w:rPr>
                <w:sz w:val="16"/>
              </w:rPr>
              <w:t>Hugo Romero, Alexis Vásquez</w:t>
            </w:r>
          </w:p>
        </w:tc>
        <w:tc>
          <w:tcPr>
            <w:tcW w:w="1244" w:type="dxa"/>
          </w:tcPr>
          <w:p>
            <w:pPr>
              <w:pStyle w:val="TableParagraph"/>
              <w:rPr>
                <w:b/>
                <w:sz w:val="16"/>
              </w:rPr>
            </w:pPr>
          </w:p>
          <w:p>
            <w:pPr>
              <w:pStyle w:val="TableParagraph"/>
              <w:spacing w:before="11"/>
              <w:rPr>
                <w:b/>
                <w:sz w:val="17"/>
              </w:rPr>
            </w:pPr>
          </w:p>
          <w:p>
            <w:pPr>
              <w:pStyle w:val="TableParagraph"/>
              <w:ind w:left="434" w:right="66" w:hanging="354"/>
              <w:rPr>
                <w:sz w:val="16"/>
              </w:rPr>
            </w:pPr>
            <w:r>
              <w:rPr>
                <w:sz w:val="16"/>
              </w:rPr>
              <w:t>Universidad de Chile</w:t>
            </w:r>
          </w:p>
        </w:tc>
        <w:tc>
          <w:tcPr>
            <w:tcW w:w="1030" w:type="dxa"/>
          </w:tcPr>
          <w:p>
            <w:pPr>
              <w:pStyle w:val="TableParagraph"/>
              <w:rPr>
                <w:b/>
                <w:sz w:val="16"/>
              </w:rPr>
            </w:pPr>
          </w:p>
          <w:p>
            <w:pPr>
              <w:pStyle w:val="TableParagraph"/>
              <w:rPr>
                <w:b/>
                <w:sz w:val="16"/>
              </w:rPr>
            </w:pPr>
          </w:p>
          <w:p>
            <w:pPr>
              <w:pStyle w:val="TableParagraph"/>
              <w:spacing w:before="9"/>
              <w:rPr>
                <w:b/>
                <w:sz w:val="17"/>
              </w:rPr>
            </w:pPr>
          </w:p>
          <w:p>
            <w:pPr>
              <w:pStyle w:val="TableParagraph"/>
              <w:ind w:left="76" w:right="76"/>
              <w:jc w:val="center"/>
              <w:rPr>
                <w:sz w:val="16"/>
              </w:rPr>
            </w:pPr>
            <w:r>
              <w:rPr>
                <w:sz w:val="16"/>
              </w:rPr>
              <w:t>Chile</w:t>
            </w:r>
          </w:p>
        </w:tc>
        <w:tc>
          <w:tcPr>
            <w:tcW w:w="1368" w:type="dxa"/>
          </w:tcPr>
          <w:p>
            <w:pPr>
              <w:pStyle w:val="TableParagraph"/>
              <w:rPr>
                <w:b/>
                <w:sz w:val="16"/>
              </w:rPr>
            </w:pPr>
          </w:p>
          <w:p>
            <w:pPr>
              <w:pStyle w:val="TableParagraph"/>
              <w:spacing w:before="11"/>
              <w:rPr>
                <w:b/>
                <w:sz w:val="17"/>
              </w:rPr>
            </w:pPr>
          </w:p>
          <w:p>
            <w:pPr>
              <w:pStyle w:val="TableParagraph"/>
              <w:ind w:left="496" w:right="128" w:hanging="353"/>
              <w:rPr>
                <w:sz w:val="16"/>
              </w:rPr>
            </w:pPr>
            <w:r>
              <w:rPr>
                <w:sz w:val="16"/>
              </w:rPr>
              <w:t>Universidad de Chile</w:t>
            </w:r>
          </w:p>
        </w:tc>
        <w:tc>
          <w:tcPr>
            <w:tcW w:w="1008" w:type="dxa"/>
          </w:tcPr>
          <w:p>
            <w:pPr>
              <w:pStyle w:val="TableParagraph"/>
              <w:rPr>
                <w:b/>
                <w:sz w:val="16"/>
              </w:rPr>
            </w:pPr>
          </w:p>
          <w:p>
            <w:pPr>
              <w:pStyle w:val="TableParagraph"/>
              <w:rPr>
                <w:b/>
                <w:sz w:val="16"/>
              </w:rPr>
            </w:pPr>
          </w:p>
          <w:p>
            <w:pPr>
              <w:pStyle w:val="TableParagraph"/>
              <w:spacing w:before="9"/>
              <w:rPr>
                <w:b/>
                <w:sz w:val="17"/>
              </w:rPr>
            </w:pPr>
          </w:p>
          <w:p>
            <w:pPr>
              <w:pStyle w:val="TableParagraph"/>
              <w:ind w:left="65" w:right="65"/>
              <w:jc w:val="center"/>
              <w:rPr>
                <w:sz w:val="16"/>
              </w:rPr>
            </w:pPr>
            <w:r>
              <w:rPr>
                <w:sz w:val="16"/>
              </w:rPr>
              <w:t>Chile</w:t>
            </w:r>
          </w:p>
        </w:tc>
        <w:tc>
          <w:tcPr>
            <w:tcW w:w="989" w:type="dxa"/>
          </w:tcPr>
          <w:p>
            <w:pPr/>
          </w:p>
        </w:tc>
        <w:tc>
          <w:tcPr>
            <w:tcW w:w="946" w:type="dxa"/>
          </w:tcPr>
          <w:p>
            <w:pPr/>
          </w:p>
        </w:tc>
      </w:tr>
      <w:tr>
        <w:trPr>
          <w:trHeight w:val="780" w:hRule="exact"/>
        </w:trPr>
        <w:tc>
          <w:tcPr>
            <w:tcW w:w="785" w:type="dxa"/>
          </w:tcPr>
          <w:p>
            <w:pPr>
              <w:pStyle w:val="TableParagraph"/>
              <w:rPr>
                <w:b/>
                <w:sz w:val="16"/>
              </w:rPr>
            </w:pPr>
          </w:p>
          <w:p>
            <w:pPr>
              <w:pStyle w:val="TableParagraph"/>
              <w:rPr>
                <w:b/>
                <w:sz w:val="16"/>
              </w:rPr>
            </w:pPr>
          </w:p>
          <w:p>
            <w:pPr>
              <w:pStyle w:val="TableParagraph"/>
              <w:spacing w:before="3"/>
              <w:rPr>
                <w:b/>
                <w:sz w:val="18"/>
              </w:rPr>
            </w:pPr>
          </w:p>
          <w:p>
            <w:pPr>
              <w:pStyle w:val="TableParagraph"/>
              <w:ind w:left="278" w:right="278"/>
              <w:jc w:val="center"/>
              <w:rPr>
                <w:b/>
                <w:sz w:val="16"/>
              </w:rPr>
            </w:pPr>
            <w:r>
              <w:rPr>
                <w:b/>
                <w:sz w:val="16"/>
              </w:rPr>
              <w:t>14</w:t>
            </w:r>
          </w:p>
        </w:tc>
        <w:tc>
          <w:tcPr>
            <w:tcW w:w="1474" w:type="dxa"/>
          </w:tcPr>
          <w:p>
            <w:pPr>
              <w:pStyle w:val="TableParagraph"/>
              <w:spacing w:before="4"/>
              <w:rPr>
                <w:b/>
                <w:sz w:val="18"/>
              </w:rPr>
            </w:pPr>
          </w:p>
          <w:p>
            <w:pPr>
              <w:pStyle w:val="TableParagraph"/>
              <w:ind w:left="91" w:right="89" w:hanging="3"/>
              <w:jc w:val="center"/>
              <w:rPr>
                <w:sz w:val="16"/>
              </w:rPr>
            </w:pPr>
            <w:r>
              <w:rPr>
                <w:sz w:val="16"/>
              </w:rPr>
              <w:t>Inmaculada Caravaca/Ricardo Méndez</w:t>
            </w:r>
          </w:p>
        </w:tc>
        <w:tc>
          <w:tcPr>
            <w:tcW w:w="1244" w:type="dxa"/>
          </w:tcPr>
          <w:p>
            <w:pPr>
              <w:pStyle w:val="TableParagraph"/>
              <w:rPr>
                <w:b/>
                <w:sz w:val="16"/>
              </w:rPr>
            </w:pPr>
          </w:p>
          <w:p>
            <w:pPr>
              <w:pStyle w:val="TableParagraph"/>
              <w:spacing w:before="4"/>
              <w:rPr>
                <w:b/>
                <w:sz w:val="18"/>
              </w:rPr>
            </w:pPr>
          </w:p>
          <w:p>
            <w:pPr>
              <w:pStyle w:val="TableParagraph"/>
              <w:spacing w:before="1"/>
              <w:ind w:left="382" w:right="65" w:hanging="301"/>
              <w:rPr>
                <w:sz w:val="16"/>
              </w:rPr>
            </w:pPr>
            <w:r>
              <w:rPr>
                <w:sz w:val="16"/>
              </w:rPr>
              <w:t>Universidad de Sevilla</w:t>
            </w:r>
          </w:p>
        </w:tc>
        <w:tc>
          <w:tcPr>
            <w:tcW w:w="1030" w:type="dxa"/>
          </w:tcPr>
          <w:p>
            <w:pPr>
              <w:pStyle w:val="TableParagraph"/>
              <w:rPr>
                <w:b/>
                <w:sz w:val="16"/>
              </w:rPr>
            </w:pPr>
          </w:p>
          <w:p>
            <w:pPr>
              <w:pStyle w:val="TableParagraph"/>
              <w:rPr>
                <w:b/>
                <w:sz w:val="16"/>
              </w:rPr>
            </w:pPr>
          </w:p>
          <w:p>
            <w:pPr>
              <w:pStyle w:val="TableParagraph"/>
              <w:spacing w:before="5"/>
              <w:rPr>
                <w:b/>
                <w:sz w:val="18"/>
              </w:rPr>
            </w:pPr>
          </w:p>
          <w:p>
            <w:pPr>
              <w:pStyle w:val="TableParagraph"/>
              <w:ind w:left="76" w:right="76"/>
              <w:jc w:val="center"/>
              <w:rPr>
                <w:sz w:val="16"/>
              </w:rPr>
            </w:pPr>
            <w:r>
              <w:rPr>
                <w:sz w:val="16"/>
              </w:rPr>
              <w:t>España</w:t>
            </w:r>
          </w:p>
        </w:tc>
        <w:tc>
          <w:tcPr>
            <w:tcW w:w="1368" w:type="dxa"/>
          </w:tcPr>
          <w:p>
            <w:pPr>
              <w:pStyle w:val="TableParagraph"/>
              <w:rPr>
                <w:b/>
                <w:sz w:val="16"/>
              </w:rPr>
            </w:pPr>
          </w:p>
          <w:p>
            <w:pPr>
              <w:pStyle w:val="TableParagraph"/>
              <w:spacing w:before="4"/>
              <w:rPr>
                <w:b/>
                <w:sz w:val="18"/>
              </w:rPr>
            </w:pPr>
          </w:p>
          <w:p>
            <w:pPr>
              <w:pStyle w:val="TableParagraph"/>
              <w:spacing w:before="1"/>
              <w:ind w:left="206" w:right="190" w:firstLine="50"/>
              <w:rPr>
                <w:sz w:val="16"/>
              </w:rPr>
            </w:pPr>
            <w:r>
              <w:rPr>
                <w:sz w:val="16"/>
              </w:rPr>
              <w:t>Universidad Complutense</w:t>
            </w:r>
          </w:p>
        </w:tc>
        <w:tc>
          <w:tcPr>
            <w:tcW w:w="1008" w:type="dxa"/>
          </w:tcPr>
          <w:p>
            <w:pPr>
              <w:pStyle w:val="TableParagraph"/>
              <w:rPr>
                <w:b/>
                <w:sz w:val="16"/>
              </w:rPr>
            </w:pPr>
          </w:p>
          <w:p>
            <w:pPr>
              <w:pStyle w:val="TableParagraph"/>
              <w:rPr>
                <w:b/>
                <w:sz w:val="16"/>
              </w:rPr>
            </w:pPr>
          </w:p>
          <w:p>
            <w:pPr>
              <w:pStyle w:val="TableParagraph"/>
              <w:spacing w:before="5"/>
              <w:rPr>
                <w:b/>
                <w:sz w:val="18"/>
              </w:rPr>
            </w:pPr>
          </w:p>
          <w:p>
            <w:pPr>
              <w:pStyle w:val="TableParagraph"/>
              <w:ind w:left="65" w:right="63"/>
              <w:jc w:val="center"/>
              <w:rPr>
                <w:sz w:val="16"/>
              </w:rPr>
            </w:pPr>
            <w:r>
              <w:rPr>
                <w:sz w:val="16"/>
              </w:rPr>
              <w:t>España</w:t>
            </w:r>
          </w:p>
        </w:tc>
        <w:tc>
          <w:tcPr>
            <w:tcW w:w="989" w:type="dxa"/>
          </w:tcPr>
          <w:p>
            <w:pPr/>
          </w:p>
        </w:tc>
        <w:tc>
          <w:tcPr>
            <w:tcW w:w="946" w:type="dxa"/>
          </w:tcPr>
          <w:p>
            <w:pPr/>
          </w:p>
        </w:tc>
      </w:tr>
      <w:tr>
        <w:trPr>
          <w:trHeight w:val="852"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95"/>
              <w:ind w:left="278" w:right="278"/>
              <w:jc w:val="center"/>
              <w:rPr>
                <w:b/>
                <w:sz w:val="16"/>
              </w:rPr>
            </w:pPr>
            <w:r>
              <w:rPr>
                <w:b/>
                <w:sz w:val="16"/>
              </w:rPr>
              <w:t>15</w:t>
            </w:r>
          </w:p>
        </w:tc>
        <w:tc>
          <w:tcPr>
            <w:tcW w:w="1474" w:type="dxa"/>
          </w:tcPr>
          <w:p>
            <w:pPr>
              <w:pStyle w:val="TableParagraph"/>
              <w:rPr>
                <w:b/>
                <w:sz w:val="16"/>
              </w:rPr>
            </w:pPr>
          </w:p>
          <w:p>
            <w:pPr>
              <w:pStyle w:val="TableParagraph"/>
              <w:rPr>
                <w:b/>
                <w:sz w:val="16"/>
              </w:rPr>
            </w:pPr>
          </w:p>
          <w:p>
            <w:pPr>
              <w:pStyle w:val="TableParagraph"/>
              <w:rPr>
                <w:b/>
                <w:sz w:val="16"/>
              </w:rPr>
            </w:pPr>
          </w:p>
          <w:p>
            <w:pPr>
              <w:pStyle w:val="TableParagraph"/>
              <w:spacing w:before="98"/>
              <w:ind w:left="49" w:right="47"/>
              <w:jc w:val="center"/>
              <w:rPr>
                <w:sz w:val="16"/>
              </w:rPr>
            </w:pPr>
            <w:r>
              <w:rPr>
                <w:sz w:val="16"/>
              </w:rPr>
              <w:t>Dennis R. Judd</w:t>
            </w:r>
          </w:p>
        </w:tc>
        <w:tc>
          <w:tcPr>
            <w:tcW w:w="1244" w:type="dxa"/>
          </w:tcPr>
          <w:p>
            <w:pPr>
              <w:pStyle w:val="TableParagraph"/>
              <w:rPr>
                <w:b/>
                <w:sz w:val="16"/>
              </w:rPr>
            </w:pPr>
          </w:p>
          <w:p>
            <w:pPr>
              <w:pStyle w:val="TableParagraph"/>
              <w:spacing w:before="98"/>
              <w:ind w:left="305" w:right="158" w:hanging="130"/>
              <w:rPr>
                <w:sz w:val="16"/>
              </w:rPr>
            </w:pPr>
            <w:r>
              <w:rPr>
                <w:sz w:val="16"/>
              </w:rPr>
              <w:t>University of Illinois at Chicago</w:t>
            </w:r>
          </w:p>
        </w:tc>
        <w:tc>
          <w:tcPr>
            <w:tcW w:w="1030" w:type="dxa"/>
          </w:tcPr>
          <w:p>
            <w:pPr>
              <w:pStyle w:val="TableParagraph"/>
              <w:rPr>
                <w:b/>
                <w:sz w:val="16"/>
              </w:rPr>
            </w:pPr>
          </w:p>
          <w:p>
            <w:pPr>
              <w:pStyle w:val="TableParagraph"/>
              <w:rPr>
                <w:b/>
                <w:sz w:val="16"/>
              </w:rPr>
            </w:pPr>
          </w:p>
          <w:p>
            <w:pPr>
              <w:pStyle w:val="TableParagraph"/>
              <w:rPr>
                <w:b/>
                <w:sz w:val="16"/>
              </w:rPr>
            </w:pPr>
          </w:p>
          <w:p>
            <w:pPr>
              <w:pStyle w:val="TableParagraph"/>
              <w:spacing w:before="98"/>
              <w:ind w:left="75" w:right="76"/>
              <w:jc w:val="center"/>
              <w:rPr>
                <w:sz w:val="16"/>
              </w:rPr>
            </w:pPr>
            <w:r>
              <w:rPr>
                <w:sz w:val="16"/>
              </w:rPr>
              <w:t>EUA</w:t>
            </w:r>
          </w:p>
        </w:tc>
        <w:tc>
          <w:tcPr>
            <w:tcW w:w="1368" w:type="dxa"/>
          </w:tcPr>
          <w:p>
            <w:pPr/>
          </w:p>
        </w:tc>
        <w:tc>
          <w:tcPr>
            <w:tcW w:w="1008" w:type="dxa"/>
          </w:tcPr>
          <w:p>
            <w:pPr/>
          </w:p>
        </w:tc>
        <w:tc>
          <w:tcPr>
            <w:tcW w:w="989" w:type="dxa"/>
          </w:tcPr>
          <w:p>
            <w:pPr/>
          </w:p>
        </w:tc>
        <w:tc>
          <w:tcPr>
            <w:tcW w:w="946" w:type="dxa"/>
          </w:tcPr>
          <w:p>
            <w:pPr/>
          </w:p>
        </w:tc>
      </w:tr>
      <w:tr>
        <w:trPr>
          <w:trHeight w:val="989"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2"/>
              <w:rPr>
                <w:b/>
                <w:sz w:val="20"/>
              </w:rPr>
            </w:pPr>
          </w:p>
          <w:p>
            <w:pPr>
              <w:pStyle w:val="TableParagraph"/>
              <w:ind w:left="278" w:right="278"/>
              <w:jc w:val="center"/>
              <w:rPr>
                <w:b/>
                <w:sz w:val="16"/>
              </w:rPr>
            </w:pPr>
            <w:r>
              <w:rPr>
                <w:b/>
                <w:sz w:val="16"/>
              </w:rPr>
              <w:t>16</w:t>
            </w:r>
          </w:p>
        </w:tc>
        <w:tc>
          <w:tcPr>
            <w:tcW w:w="1474" w:type="dxa"/>
          </w:tcPr>
          <w:p>
            <w:pPr>
              <w:pStyle w:val="TableParagraph"/>
              <w:rPr>
                <w:b/>
                <w:sz w:val="16"/>
              </w:rPr>
            </w:pPr>
          </w:p>
          <w:p>
            <w:pPr>
              <w:pStyle w:val="TableParagraph"/>
              <w:rPr>
                <w:b/>
                <w:sz w:val="16"/>
              </w:rPr>
            </w:pPr>
          </w:p>
          <w:p>
            <w:pPr>
              <w:pStyle w:val="TableParagraph"/>
              <w:spacing w:before="3"/>
              <w:rPr>
                <w:b/>
                <w:sz w:val="20"/>
              </w:rPr>
            </w:pPr>
          </w:p>
          <w:p>
            <w:pPr>
              <w:pStyle w:val="TableParagraph"/>
              <w:spacing w:before="1"/>
              <w:ind w:left="482" w:right="118" w:hanging="348"/>
              <w:rPr>
                <w:sz w:val="16"/>
              </w:rPr>
            </w:pPr>
            <w:r>
              <w:rPr>
                <w:sz w:val="16"/>
              </w:rPr>
              <w:t>Adrián Guillermo Aguilar</w:t>
            </w:r>
          </w:p>
        </w:tc>
        <w:tc>
          <w:tcPr>
            <w:tcW w:w="1244" w:type="dxa"/>
          </w:tcPr>
          <w:p>
            <w:pPr>
              <w:pStyle w:val="TableParagraph"/>
              <w:spacing w:before="4"/>
              <w:rPr>
                <w:b/>
                <w:sz w:val="20"/>
              </w:rPr>
            </w:pPr>
          </w:p>
          <w:p>
            <w:pPr>
              <w:pStyle w:val="TableParagraph"/>
              <w:ind w:left="139" w:right="139" w:firstLine="2"/>
              <w:jc w:val="center"/>
              <w:rPr>
                <w:sz w:val="16"/>
              </w:rPr>
            </w:pPr>
            <w:r>
              <w:rPr>
                <w:sz w:val="16"/>
              </w:rPr>
              <w:t>Universidad Nacional Autónoma de México</w:t>
            </w:r>
          </w:p>
        </w:tc>
        <w:tc>
          <w:tcPr>
            <w:tcW w:w="1030" w:type="dxa"/>
          </w:tcPr>
          <w:p>
            <w:pPr>
              <w:pStyle w:val="TableParagraph"/>
              <w:rPr>
                <w:b/>
                <w:sz w:val="16"/>
              </w:rPr>
            </w:pPr>
          </w:p>
          <w:p>
            <w:pPr>
              <w:pStyle w:val="TableParagraph"/>
              <w:rPr>
                <w:b/>
                <w:sz w:val="16"/>
              </w:rPr>
            </w:pPr>
          </w:p>
          <w:p>
            <w:pPr>
              <w:pStyle w:val="TableParagraph"/>
              <w:rPr>
                <w:b/>
                <w:sz w:val="16"/>
              </w:rPr>
            </w:pPr>
          </w:p>
          <w:p>
            <w:pPr>
              <w:pStyle w:val="TableParagraph"/>
              <w:spacing w:before="4"/>
              <w:rPr>
                <w:b/>
                <w:sz w:val="20"/>
              </w:rPr>
            </w:pPr>
          </w:p>
          <w:p>
            <w:pPr>
              <w:pStyle w:val="TableParagraph"/>
              <w:ind w:left="74" w:right="76"/>
              <w:jc w:val="center"/>
              <w:rPr>
                <w:sz w:val="16"/>
              </w:rPr>
            </w:pPr>
            <w:r>
              <w:rPr>
                <w:sz w:val="16"/>
              </w:rPr>
              <w:t>México</w:t>
            </w:r>
          </w:p>
        </w:tc>
        <w:tc>
          <w:tcPr>
            <w:tcW w:w="1368" w:type="dxa"/>
          </w:tcPr>
          <w:p>
            <w:pPr/>
          </w:p>
        </w:tc>
        <w:tc>
          <w:tcPr>
            <w:tcW w:w="1008" w:type="dxa"/>
          </w:tcPr>
          <w:p>
            <w:pPr/>
          </w:p>
        </w:tc>
        <w:tc>
          <w:tcPr>
            <w:tcW w:w="989" w:type="dxa"/>
          </w:tcPr>
          <w:p>
            <w:pPr/>
          </w:p>
        </w:tc>
        <w:tc>
          <w:tcPr>
            <w:tcW w:w="946" w:type="dxa"/>
          </w:tcPr>
          <w:p>
            <w:pPr/>
          </w:p>
        </w:tc>
      </w:tr>
      <w:tr>
        <w:trPr>
          <w:trHeight w:val="706" w:hRule="exact"/>
        </w:trPr>
        <w:tc>
          <w:tcPr>
            <w:tcW w:w="785" w:type="dxa"/>
          </w:tcPr>
          <w:p>
            <w:pPr>
              <w:pStyle w:val="TableParagraph"/>
              <w:rPr>
                <w:b/>
                <w:sz w:val="16"/>
              </w:rPr>
            </w:pPr>
          </w:p>
          <w:p>
            <w:pPr>
              <w:pStyle w:val="TableParagraph"/>
              <w:rPr>
                <w:b/>
                <w:sz w:val="16"/>
              </w:rPr>
            </w:pPr>
          </w:p>
          <w:p>
            <w:pPr>
              <w:pStyle w:val="TableParagraph"/>
              <w:spacing w:before="133"/>
              <w:ind w:left="278" w:right="278"/>
              <w:jc w:val="center"/>
              <w:rPr>
                <w:b/>
                <w:sz w:val="16"/>
              </w:rPr>
            </w:pPr>
            <w:r>
              <w:rPr>
                <w:b/>
                <w:sz w:val="16"/>
              </w:rPr>
              <w:t>17</w:t>
            </w:r>
          </w:p>
        </w:tc>
        <w:tc>
          <w:tcPr>
            <w:tcW w:w="1474" w:type="dxa"/>
          </w:tcPr>
          <w:p>
            <w:pPr>
              <w:pStyle w:val="TableParagraph"/>
              <w:rPr>
                <w:b/>
                <w:sz w:val="16"/>
              </w:rPr>
            </w:pPr>
          </w:p>
          <w:p>
            <w:pPr>
              <w:pStyle w:val="TableParagraph"/>
              <w:rPr>
                <w:b/>
                <w:sz w:val="16"/>
              </w:rPr>
            </w:pPr>
          </w:p>
          <w:p>
            <w:pPr>
              <w:pStyle w:val="TableParagraph"/>
              <w:spacing w:before="135"/>
              <w:ind w:left="49" w:right="49"/>
              <w:jc w:val="center"/>
              <w:rPr>
                <w:sz w:val="16"/>
              </w:rPr>
            </w:pPr>
            <w:r>
              <w:rPr>
                <w:sz w:val="16"/>
              </w:rPr>
              <w:t>Saskia Sassen</w:t>
            </w:r>
          </w:p>
        </w:tc>
        <w:tc>
          <w:tcPr>
            <w:tcW w:w="1244" w:type="dxa"/>
          </w:tcPr>
          <w:p>
            <w:pPr>
              <w:pStyle w:val="TableParagraph"/>
              <w:rPr>
                <w:b/>
                <w:sz w:val="16"/>
              </w:rPr>
            </w:pPr>
          </w:p>
          <w:p>
            <w:pPr>
              <w:pStyle w:val="TableParagraph"/>
              <w:spacing w:before="134"/>
              <w:ind w:left="264" w:right="247" w:firstLine="14"/>
              <w:rPr>
                <w:sz w:val="16"/>
              </w:rPr>
            </w:pPr>
            <w:r>
              <w:rPr>
                <w:sz w:val="16"/>
              </w:rPr>
              <w:t>Columbia University</w:t>
            </w:r>
          </w:p>
        </w:tc>
        <w:tc>
          <w:tcPr>
            <w:tcW w:w="1030" w:type="dxa"/>
          </w:tcPr>
          <w:p>
            <w:pPr/>
          </w:p>
        </w:tc>
        <w:tc>
          <w:tcPr>
            <w:tcW w:w="1368" w:type="dxa"/>
          </w:tcPr>
          <w:p>
            <w:pPr/>
          </w:p>
        </w:tc>
        <w:tc>
          <w:tcPr>
            <w:tcW w:w="1008" w:type="dxa"/>
          </w:tcPr>
          <w:p>
            <w:pPr/>
          </w:p>
        </w:tc>
        <w:tc>
          <w:tcPr>
            <w:tcW w:w="989" w:type="dxa"/>
          </w:tcPr>
          <w:p>
            <w:pPr/>
          </w:p>
        </w:tc>
        <w:tc>
          <w:tcPr>
            <w:tcW w:w="946" w:type="dxa"/>
          </w:tcPr>
          <w:p>
            <w:pPr/>
          </w:p>
        </w:tc>
      </w:tr>
      <w:tr>
        <w:trPr>
          <w:trHeight w:val="574" w:hRule="exact"/>
        </w:trPr>
        <w:tc>
          <w:tcPr>
            <w:tcW w:w="785" w:type="dxa"/>
          </w:tcPr>
          <w:p>
            <w:pPr>
              <w:pStyle w:val="TableParagraph"/>
              <w:rPr>
                <w:b/>
                <w:sz w:val="16"/>
              </w:rPr>
            </w:pPr>
          </w:p>
          <w:p>
            <w:pPr>
              <w:pStyle w:val="TableParagraph"/>
              <w:spacing w:before="1"/>
              <w:rPr>
                <w:b/>
                <w:sz w:val="16"/>
              </w:rPr>
            </w:pPr>
          </w:p>
          <w:p>
            <w:pPr>
              <w:pStyle w:val="TableParagraph"/>
              <w:ind w:left="278" w:right="278"/>
              <w:jc w:val="center"/>
              <w:rPr>
                <w:b/>
                <w:sz w:val="16"/>
              </w:rPr>
            </w:pPr>
            <w:r>
              <w:rPr>
                <w:b/>
                <w:sz w:val="16"/>
              </w:rPr>
              <w:t>18</w:t>
            </w:r>
          </w:p>
        </w:tc>
        <w:tc>
          <w:tcPr>
            <w:tcW w:w="1474" w:type="dxa"/>
          </w:tcPr>
          <w:p>
            <w:pPr>
              <w:pStyle w:val="TableParagraph"/>
              <w:rPr>
                <w:b/>
                <w:sz w:val="16"/>
              </w:rPr>
            </w:pPr>
          </w:p>
          <w:p>
            <w:pPr>
              <w:pStyle w:val="TableParagraph"/>
              <w:spacing w:before="3"/>
              <w:rPr>
                <w:b/>
                <w:sz w:val="16"/>
              </w:rPr>
            </w:pPr>
          </w:p>
          <w:p>
            <w:pPr>
              <w:pStyle w:val="TableParagraph"/>
              <w:ind w:left="49" w:right="49"/>
              <w:jc w:val="center"/>
              <w:rPr>
                <w:sz w:val="16"/>
              </w:rPr>
            </w:pPr>
            <w:r>
              <w:rPr>
                <w:sz w:val="16"/>
              </w:rPr>
              <w:t>Saskia Sassen</w:t>
            </w:r>
          </w:p>
        </w:tc>
        <w:tc>
          <w:tcPr>
            <w:tcW w:w="1244" w:type="dxa"/>
          </w:tcPr>
          <w:p>
            <w:pPr>
              <w:pStyle w:val="TableParagraph"/>
              <w:spacing w:before="5"/>
              <w:rPr>
                <w:b/>
                <w:sz w:val="16"/>
              </w:rPr>
            </w:pPr>
          </w:p>
          <w:p>
            <w:pPr>
              <w:pStyle w:val="TableParagraph"/>
              <w:ind w:left="264" w:right="247" w:firstLine="14"/>
              <w:rPr>
                <w:sz w:val="16"/>
              </w:rPr>
            </w:pPr>
            <w:r>
              <w:rPr>
                <w:sz w:val="16"/>
              </w:rPr>
              <w:t>Columbia University</w:t>
            </w:r>
          </w:p>
        </w:tc>
        <w:tc>
          <w:tcPr>
            <w:tcW w:w="1030" w:type="dxa"/>
          </w:tcPr>
          <w:p>
            <w:pPr/>
          </w:p>
        </w:tc>
        <w:tc>
          <w:tcPr>
            <w:tcW w:w="1368" w:type="dxa"/>
          </w:tcPr>
          <w:p>
            <w:pPr/>
          </w:p>
        </w:tc>
        <w:tc>
          <w:tcPr>
            <w:tcW w:w="1008" w:type="dxa"/>
          </w:tcPr>
          <w:p>
            <w:pPr/>
          </w:p>
        </w:tc>
        <w:tc>
          <w:tcPr>
            <w:tcW w:w="989" w:type="dxa"/>
          </w:tcPr>
          <w:p>
            <w:pPr/>
          </w:p>
        </w:tc>
        <w:tc>
          <w:tcPr>
            <w:tcW w:w="946" w:type="dxa"/>
          </w:tcPr>
          <w:p>
            <w:pPr/>
          </w:p>
        </w:tc>
      </w:tr>
      <w:tr>
        <w:trPr>
          <w:trHeight w:val="994"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7"/>
              <w:rPr>
                <w:b/>
                <w:sz w:val="20"/>
              </w:rPr>
            </w:pPr>
          </w:p>
          <w:p>
            <w:pPr>
              <w:pStyle w:val="TableParagraph"/>
              <w:ind w:left="278" w:right="278"/>
              <w:jc w:val="center"/>
              <w:rPr>
                <w:b/>
                <w:sz w:val="16"/>
              </w:rPr>
            </w:pPr>
            <w:r>
              <w:rPr>
                <w:b/>
                <w:sz w:val="16"/>
              </w:rPr>
              <w:t>19</w:t>
            </w:r>
          </w:p>
        </w:tc>
        <w:tc>
          <w:tcPr>
            <w:tcW w:w="1474" w:type="dxa"/>
          </w:tcPr>
          <w:p>
            <w:pPr>
              <w:pStyle w:val="TableParagraph"/>
              <w:rPr>
                <w:b/>
                <w:sz w:val="16"/>
              </w:rPr>
            </w:pPr>
          </w:p>
          <w:p>
            <w:pPr>
              <w:pStyle w:val="TableParagraph"/>
              <w:rPr>
                <w:b/>
                <w:sz w:val="16"/>
              </w:rPr>
            </w:pPr>
          </w:p>
          <w:p>
            <w:pPr>
              <w:pStyle w:val="TableParagraph"/>
              <w:spacing w:before="8"/>
              <w:rPr>
                <w:b/>
                <w:sz w:val="20"/>
              </w:rPr>
            </w:pPr>
          </w:p>
          <w:p>
            <w:pPr>
              <w:pStyle w:val="TableParagraph"/>
              <w:ind w:left="491" w:right="274" w:hanging="202"/>
              <w:rPr>
                <w:sz w:val="16"/>
              </w:rPr>
            </w:pPr>
            <w:hyperlink r:id="rId39">
              <w:r>
                <w:rPr>
                  <w:sz w:val="16"/>
                </w:rPr>
                <w:t>Carlos A. de</w:t>
              </w:r>
            </w:hyperlink>
            <w:r>
              <w:rPr>
                <w:sz w:val="16"/>
              </w:rPr>
              <w:t> </w:t>
            </w:r>
            <w:hyperlink r:id="rId39">
              <w:r>
                <w:rPr>
                  <w:sz w:val="16"/>
                </w:rPr>
                <w:t>Mattos</w:t>
              </w:r>
            </w:hyperlink>
          </w:p>
        </w:tc>
        <w:tc>
          <w:tcPr>
            <w:tcW w:w="1244" w:type="dxa"/>
          </w:tcPr>
          <w:p>
            <w:pPr>
              <w:pStyle w:val="TableParagraph"/>
              <w:spacing w:before="9"/>
              <w:rPr>
                <w:b/>
                <w:sz w:val="20"/>
              </w:rPr>
            </w:pPr>
          </w:p>
          <w:p>
            <w:pPr>
              <w:pStyle w:val="TableParagraph"/>
              <w:ind w:left="194" w:right="192" w:hanging="3"/>
              <w:jc w:val="center"/>
              <w:rPr>
                <w:sz w:val="16"/>
              </w:rPr>
            </w:pPr>
            <w:r>
              <w:rPr>
                <w:sz w:val="16"/>
              </w:rPr>
              <w:t>Pontificia Universidad Católica de Chile</w:t>
            </w:r>
          </w:p>
        </w:tc>
        <w:tc>
          <w:tcPr>
            <w:tcW w:w="1030" w:type="dxa"/>
          </w:tcPr>
          <w:p>
            <w:pPr>
              <w:pStyle w:val="TableParagraph"/>
              <w:rPr>
                <w:b/>
                <w:sz w:val="16"/>
              </w:rPr>
            </w:pPr>
          </w:p>
          <w:p>
            <w:pPr>
              <w:pStyle w:val="TableParagraph"/>
              <w:rPr>
                <w:b/>
                <w:sz w:val="16"/>
              </w:rPr>
            </w:pPr>
          </w:p>
          <w:p>
            <w:pPr>
              <w:pStyle w:val="TableParagraph"/>
              <w:rPr>
                <w:b/>
                <w:sz w:val="16"/>
              </w:rPr>
            </w:pPr>
          </w:p>
          <w:p>
            <w:pPr>
              <w:pStyle w:val="TableParagraph"/>
              <w:spacing w:before="9"/>
              <w:rPr>
                <w:b/>
                <w:sz w:val="20"/>
              </w:rPr>
            </w:pPr>
          </w:p>
          <w:p>
            <w:pPr>
              <w:pStyle w:val="TableParagraph"/>
              <w:ind w:left="76" w:right="76"/>
              <w:jc w:val="center"/>
              <w:rPr>
                <w:sz w:val="16"/>
              </w:rPr>
            </w:pPr>
            <w:r>
              <w:rPr>
                <w:sz w:val="16"/>
              </w:rPr>
              <w:t>Chile</w:t>
            </w:r>
          </w:p>
        </w:tc>
        <w:tc>
          <w:tcPr>
            <w:tcW w:w="1368" w:type="dxa"/>
          </w:tcPr>
          <w:p>
            <w:pPr/>
          </w:p>
        </w:tc>
        <w:tc>
          <w:tcPr>
            <w:tcW w:w="1008" w:type="dxa"/>
          </w:tcPr>
          <w:p>
            <w:pPr/>
          </w:p>
        </w:tc>
        <w:tc>
          <w:tcPr>
            <w:tcW w:w="989" w:type="dxa"/>
          </w:tcPr>
          <w:p>
            <w:pPr/>
          </w:p>
        </w:tc>
        <w:tc>
          <w:tcPr>
            <w:tcW w:w="946" w:type="dxa"/>
          </w:tcPr>
          <w:p>
            <w:pPr/>
          </w:p>
        </w:tc>
      </w:tr>
      <w:tr>
        <w:trPr>
          <w:trHeight w:val="554" w:hRule="exact"/>
        </w:trPr>
        <w:tc>
          <w:tcPr>
            <w:tcW w:w="785" w:type="dxa"/>
          </w:tcPr>
          <w:p>
            <w:pPr>
              <w:pStyle w:val="TableParagraph"/>
              <w:rPr>
                <w:b/>
                <w:sz w:val="16"/>
              </w:rPr>
            </w:pPr>
          </w:p>
          <w:p>
            <w:pPr>
              <w:pStyle w:val="TableParagraph"/>
              <w:spacing w:before="4"/>
              <w:rPr>
                <w:b/>
                <w:sz w:val="14"/>
              </w:rPr>
            </w:pPr>
          </w:p>
          <w:p>
            <w:pPr>
              <w:pStyle w:val="TableParagraph"/>
              <w:spacing w:before="1"/>
              <w:ind w:left="278" w:right="278"/>
              <w:jc w:val="center"/>
              <w:rPr>
                <w:b/>
                <w:sz w:val="16"/>
              </w:rPr>
            </w:pPr>
            <w:r>
              <w:rPr>
                <w:b/>
                <w:sz w:val="16"/>
              </w:rPr>
              <w:t>20</w:t>
            </w:r>
          </w:p>
        </w:tc>
        <w:tc>
          <w:tcPr>
            <w:tcW w:w="1474" w:type="dxa"/>
          </w:tcPr>
          <w:p>
            <w:pPr>
              <w:pStyle w:val="TableParagraph"/>
              <w:rPr>
                <w:b/>
                <w:sz w:val="16"/>
              </w:rPr>
            </w:pPr>
          </w:p>
          <w:p>
            <w:pPr>
              <w:pStyle w:val="TableParagraph"/>
              <w:spacing w:before="7"/>
              <w:rPr>
                <w:b/>
                <w:sz w:val="14"/>
              </w:rPr>
            </w:pPr>
          </w:p>
          <w:p>
            <w:pPr>
              <w:pStyle w:val="TableParagraph"/>
              <w:ind w:left="49" w:right="49"/>
              <w:jc w:val="center"/>
              <w:rPr>
                <w:sz w:val="16"/>
              </w:rPr>
            </w:pPr>
            <w:r>
              <w:rPr>
                <w:sz w:val="16"/>
              </w:rPr>
              <w:t>Luis Escobar</w:t>
            </w:r>
          </w:p>
        </w:tc>
        <w:tc>
          <w:tcPr>
            <w:tcW w:w="1244" w:type="dxa"/>
          </w:tcPr>
          <w:p>
            <w:pPr>
              <w:pStyle w:val="TableParagraph"/>
              <w:spacing w:before="6"/>
              <w:rPr>
                <w:b/>
                <w:sz w:val="14"/>
              </w:rPr>
            </w:pPr>
          </w:p>
          <w:p>
            <w:pPr>
              <w:pStyle w:val="TableParagraph"/>
              <w:ind w:left="439" w:right="47" w:hanging="375"/>
              <w:rPr>
                <w:sz w:val="16"/>
              </w:rPr>
            </w:pPr>
            <w:r>
              <w:rPr>
                <w:sz w:val="16"/>
              </w:rPr>
              <w:t>Universidad del Valle</w:t>
            </w:r>
          </w:p>
        </w:tc>
        <w:tc>
          <w:tcPr>
            <w:tcW w:w="1030" w:type="dxa"/>
          </w:tcPr>
          <w:p>
            <w:pPr>
              <w:pStyle w:val="TableParagraph"/>
              <w:rPr>
                <w:b/>
                <w:sz w:val="16"/>
              </w:rPr>
            </w:pPr>
          </w:p>
          <w:p>
            <w:pPr>
              <w:pStyle w:val="TableParagraph"/>
              <w:spacing w:before="7"/>
              <w:rPr>
                <w:b/>
                <w:sz w:val="14"/>
              </w:rPr>
            </w:pPr>
          </w:p>
          <w:p>
            <w:pPr>
              <w:pStyle w:val="TableParagraph"/>
              <w:ind w:left="76" w:right="76"/>
              <w:jc w:val="center"/>
              <w:rPr>
                <w:sz w:val="16"/>
              </w:rPr>
            </w:pPr>
            <w:r>
              <w:rPr>
                <w:sz w:val="16"/>
              </w:rPr>
              <w:t>Colombia</w:t>
            </w:r>
          </w:p>
        </w:tc>
        <w:tc>
          <w:tcPr>
            <w:tcW w:w="1368" w:type="dxa"/>
          </w:tcPr>
          <w:p>
            <w:pPr/>
          </w:p>
        </w:tc>
        <w:tc>
          <w:tcPr>
            <w:tcW w:w="1008" w:type="dxa"/>
          </w:tcPr>
          <w:p>
            <w:pPr/>
          </w:p>
        </w:tc>
        <w:tc>
          <w:tcPr>
            <w:tcW w:w="989" w:type="dxa"/>
          </w:tcPr>
          <w:p>
            <w:pPr/>
          </w:p>
        </w:tc>
        <w:tc>
          <w:tcPr>
            <w:tcW w:w="946" w:type="dxa"/>
          </w:tcPr>
          <w:p>
            <w:pPr/>
          </w:p>
        </w:tc>
      </w:tr>
      <w:tr>
        <w:trPr>
          <w:trHeight w:val="1001"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2"/>
              <w:rPr>
                <w:b/>
                <w:sz w:val="21"/>
              </w:rPr>
            </w:pPr>
          </w:p>
          <w:p>
            <w:pPr>
              <w:pStyle w:val="TableParagraph"/>
              <w:spacing w:before="1"/>
              <w:ind w:left="278" w:right="278"/>
              <w:jc w:val="center"/>
              <w:rPr>
                <w:b/>
                <w:sz w:val="16"/>
              </w:rPr>
            </w:pPr>
            <w:r>
              <w:rPr>
                <w:b/>
                <w:sz w:val="16"/>
              </w:rPr>
              <w:t>21</w:t>
            </w:r>
          </w:p>
        </w:tc>
        <w:tc>
          <w:tcPr>
            <w:tcW w:w="1474" w:type="dxa"/>
          </w:tcPr>
          <w:p>
            <w:pPr>
              <w:pStyle w:val="TableParagraph"/>
              <w:rPr>
                <w:b/>
                <w:sz w:val="16"/>
              </w:rPr>
            </w:pPr>
          </w:p>
          <w:p>
            <w:pPr>
              <w:pStyle w:val="TableParagraph"/>
              <w:spacing w:before="5"/>
              <w:rPr>
                <w:b/>
                <w:sz w:val="22"/>
              </w:rPr>
            </w:pPr>
          </w:p>
          <w:p>
            <w:pPr>
              <w:pStyle w:val="TableParagraph"/>
              <w:spacing w:line="223" w:lineRule="auto"/>
              <w:ind w:left="191" w:right="189" w:hanging="1"/>
              <w:jc w:val="center"/>
              <w:rPr>
                <w:sz w:val="16"/>
              </w:rPr>
            </w:pPr>
            <w:r>
              <w:rPr>
                <w:sz w:val="16"/>
              </w:rPr>
              <w:t>Alfredo Rodríguez</w:t>
            </w:r>
            <w:r>
              <w:rPr>
                <w:position w:val="8"/>
                <w:sz w:val="10"/>
              </w:rPr>
              <w:t>, </w:t>
            </w:r>
            <w:r>
              <w:rPr>
                <w:sz w:val="16"/>
              </w:rPr>
              <w:t>Ana Sugranyes</w:t>
            </w:r>
          </w:p>
        </w:tc>
        <w:tc>
          <w:tcPr>
            <w:tcW w:w="1244" w:type="dxa"/>
          </w:tcPr>
          <w:p>
            <w:pPr>
              <w:pStyle w:val="TableParagraph"/>
              <w:spacing w:before="5"/>
              <w:rPr>
                <w:b/>
                <w:sz w:val="21"/>
              </w:rPr>
            </w:pPr>
          </w:p>
          <w:p>
            <w:pPr>
              <w:pStyle w:val="TableParagraph"/>
              <w:ind w:left="69" w:right="68"/>
              <w:jc w:val="center"/>
              <w:rPr>
                <w:sz w:val="16"/>
              </w:rPr>
            </w:pPr>
            <w:r>
              <w:rPr>
                <w:sz w:val="16"/>
              </w:rPr>
              <w:t>Corporación de Estudios Sociales y Educación</w:t>
            </w:r>
          </w:p>
        </w:tc>
        <w:tc>
          <w:tcPr>
            <w:tcW w:w="1030" w:type="dxa"/>
          </w:tcPr>
          <w:p>
            <w:pPr>
              <w:pStyle w:val="TableParagraph"/>
              <w:rPr>
                <w:b/>
                <w:sz w:val="16"/>
              </w:rPr>
            </w:pPr>
          </w:p>
          <w:p>
            <w:pPr>
              <w:pStyle w:val="TableParagraph"/>
              <w:rPr>
                <w:b/>
                <w:sz w:val="16"/>
              </w:rPr>
            </w:pPr>
          </w:p>
          <w:p>
            <w:pPr>
              <w:pStyle w:val="TableParagraph"/>
              <w:rPr>
                <w:b/>
                <w:sz w:val="16"/>
              </w:rPr>
            </w:pPr>
          </w:p>
          <w:p>
            <w:pPr>
              <w:pStyle w:val="TableParagraph"/>
              <w:spacing w:before="5"/>
              <w:rPr>
                <w:b/>
                <w:sz w:val="21"/>
              </w:rPr>
            </w:pPr>
          </w:p>
          <w:p>
            <w:pPr>
              <w:pStyle w:val="TableParagraph"/>
              <w:ind w:left="76" w:right="76"/>
              <w:jc w:val="center"/>
              <w:rPr>
                <w:sz w:val="16"/>
              </w:rPr>
            </w:pPr>
            <w:r>
              <w:rPr>
                <w:sz w:val="16"/>
              </w:rPr>
              <w:t>Chile</w:t>
            </w:r>
          </w:p>
        </w:tc>
        <w:tc>
          <w:tcPr>
            <w:tcW w:w="1368" w:type="dxa"/>
          </w:tcPr>
          <w:p>
            <w:pPr>
              <w:pStyle w:val="TableParagraph"/>
              <w:rPr>
                <w:b/>
                <w:sz w:val="16"/>
              </w:rPr>
            </w:pPr>
          </w:p>
          <w:p>
            <w:pPr>
              <w:pStyle w:val="TableParagraph"/>
              <w:spacing w:before="6"/>
              <w:rPr>
                <w:b/>
                <w:sz w:val="21"/>
              </w:rPr>
            </w:pPr>
          </w:p>
          <w:p>
            <w:pPr>
              <w:pStyle w:val="TableParagraph"/>
              <w:ind w:left="237" w:right="236" w:hanging="1"/>
              <w:jc w:val="center"/>
              <w:rPr>
                <w:sz w:val="16"/>
              </w:rPr>
            </w:pPr>
            <w:r>
              <w:rPr>
                <w:sz w:val="16"/>
              </w:rPr>
              <w:t>Habitat International Coalition</w:t>
            </w:r>
          </w:p>
        </w:tc>
        <w:tc>
          <w:tcPr>
            <w:tcW w:w="1008" w:type="dxa"/>
          </w:tcPr>
          <w:p>
            <w:pPr/>
          </w:p>
        </w:tc>
        <w:tc>
          <w:tcPr>
            <w:tcW w:w="989" w:type="dxa"/>
          </w:tcPr>
          <w:p>
            <w:pPr/>
          </w:p>
        </w:tc>
        <w:tc>
          <w:tcPr>
            <w:tcW w:w="946" w:type="dxa"/>
          </w:tcPr>
          <w:p>
            <w:pPr/>
          </w:p>
        </w:tc>
      </w:tr>
    </w:tbl>
    <w:p>
      <w:pPr>
        <w:spacing w:after="0"/>
        <w:sectPr>
          <w:pgSz w:w="12240" w:h="15840"/>
          <w:pgMar w:header="0" w:footer="629" w:top="142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5"/>
        <w:gridCol w:w="1474"/>
        <w:gridCol w:w="1244"/>
        <w:gridCol w:w="1030"/>
        <w:gridCol w:w="1368"/>
        <w:gridCol w:w="1008"/>
        <w:gridCol w:w="989"/>
        <w:gridCol w:w="946"/>
      </w:tblGrid>
      <w:tr>
        <w:trPr>
          <w:trHeight w:val="399" w:hRule="exact"/>
        </w:trPr>
        <w:tc>
          <w:tcPr>
            <w:tcW w:w="785" w:type="dxa"/>
          </w:tcPr>
          <w:p>
            <w:pPr/>
          </w:p>
        </w:tc>
        <w:tc>
          <w:tcPr>
            <w:tcW w:w="8058" w:type="dxa"/>
            <w:gridSpan w:val="7"/>
          </w:tcPr>
          <w:p>
            <w:pPr>
              <w:pStyle w:val="TableParagraph"/>
              <w:tabs>
                <w:tab w:pos="3235" w:val="left" w:leader="none"/>
              </w:tabs>
              <w:spacing w:before="105"/>
              <w:ind w:left="1843"/>
              <w:rPr>
                <w:b/>
                <w:sz w:val="24"/>
              </w:rPr>
            </w:pPr>
            <w:r>
              <w:rPr>
                <w:b/>
                <w:sz w:val="24"/>
              </w:rPr>
              <w:t>Sección</w:t>
            </w:r>
            <w:r>
              <w:rPr>
                <w:b/>
                <w:spacing w:val="-1"/>
                <w:sz w:val="24"/>
              </w:rPr>
              <w:t> </w:t>
            </w:r>
            <w:r>
              <w:rPr>
                <w:b/>
                <w:sz w:val="24"/>
              </w:rPr>
              <w:t>1.</w:t>
              <w:tab/>
              <w:t>Autoría (variable 8 a la</w:t>
            </w:r>
            <w:r>
              <w:rPr>
                <w:b/>
                <w:spacing w:val="-11"/>
                <w:sz w:val="24"/>
              </w:rPr>
              <w:t> </w:t>
            </w:r>
            <w:r>
              <w:rPr>
                <w:b/>
                <w:sz w:val="24"/>
              </w:rPr>
              <w:t>14)</w:t>
            </w:r>
          </w:p>
        </w:tc>
      </w:tr>
      <w:tr>
        <w:trPr>
          <w:trHeight w:val="461" w:hRule="exact"/>
        </w:trPr>
        <w:tc>
          <w:tcPr>
            <w:tcW w:w="785" w:type="dxa"/>
            <w:vMerge w:val="restart"/>
          </w:tcPr>
          <w:p>
            <w:pPr>
              <w:pStyle w:val="TableParagraph"/>
              <w:rPr>
                <w:b/>
                <w:sz w:val="16"/>
              </w:rPr>
            </w:pPr>
          </w:p>
          <w:p>
            <w:pPr>
              <w:pStyle w:val="TableParagraph"/>
              <w:rPr>
                <w:b/>
                <w:sz w:val="16"/>
              </w:rPr>
            </w:pPr>
          </w:p>
          <w:p>
            <w:pPr>
              <w:pStyle w:val="TableParagraph"/>
              <w:rPr>
                <w:b/>
                <w:sz w:val="16"/>
              </w:rPr>
            </w:pPr>
          </w:p>
          <w:p>
            <w:pPr>
              <w:pStyle w:val="TableParagraph"/>
              <w:spacing w:before="119"/>
              <w:ind w:left="93" w:right="88" w:hanging="3"/>
              <w:jc w:val="center"/>
              <w:rPr>
                <w:b/>
                <w:sz w:val="16"/>
              </w:rPr>
            </w:pPr>
            <w:r>
              <w:rPr>
                <w:b/>
                <w:sz w:val="16"/>
              </w:rPr>
              <w:t>Unidad de análisis</w:t>
            </w:r>
          </w:p>
        </w:tc>
        <w:tc>
          <w:tcPr>
            <w:tcW w:w="1474" w:type="dxa"/>
          </w:tcPr>
          <w:p>
            <w:pPr>
              <w:pStyle w:val="TableParagraph"/>
              <w:spacing w:before="3"/>
              <w:rPr>
                <w:b/>
                <w:sz w:val="22"/>
              </w:rPr>
            </w:pPr>
          </w:p>
          <w:p>
            <w:pPr>
              <w:pStyle w:val="TableParagraph"/>
              <w:ind w:left="49" w:right="46"/>
              <w:jc w:val="center"/>
              <w:rPr>
                <w:b/>
                <w:sz w:val="16"/>
              </w:rPr>
            </w:pPr>
            <w:r>
              <w:rPr>
                <w:b/>
                <w:sz w:val="16"/>
              </w:rPr>
              <w:t>variable 8</w:t>
            </w:r>
          </w:p>
        </w:tc>
        <w:tc>
          <w:tcPr>
            <w:tcW w:w="1244" w:type="dxa"/>
          </w:tcPr>
          <w:p>
            <w:pPr>
              <w:pStyle w:val="TableParagraph"/>
              <w:spacing w:before="3"/>
              <w:rPr>
                <w:b/>
                <w:sz w:val="22"/>
              </w:rPr>
            </w:pPr>
          </w:p>
          <w:p>
            <w:pPr>
              <w:pStyle w:val="TableParagraph"/>
              <w:ind w:left="247" w:right="195"/>
              <w:rPr>
                <w:b/>
                <w:sz w:val="16"/>
              </w:rPr>
            </w:pPr>
            <w:r>
              <w:rPr>
                <w:b/>
                <w:sz w:val="16"/>
              </w:rPr>
              <w:t>variable 9</w:t>
            </w:r>
          </w:p>
        </w:tc>
        <w:tc>
          <w:tcPr>
            <w:tcW w:w="1030" w:type="dxa"/>
          </w:tcPr>
          <w:p>
            <w:pPr>
              <w:pStyle w:val="TableParagraph"/>
              <w:spacing w:before="3"/>
              <w:rPr>
                <w:b/>
                <w:sz w:val="22"/>
              </w:rPr>
            </w:pPr>
          </w:p>
          <w:p>
            <w:pPr>
              <w:pStyle w:val="TableParagraph"/>
              <w:ind w:right="72"/>
              <w:jc w:val="right"/>
              <w:rPr>
                <w:b/>
                <w:sz w:val="16"/>
              </w:rPr>
            </w:pPr>
            <w:r>
              <w:rPr>
                <w:b/>
                <w:sz w:val="16"/>
              </w:rPr>
              <w:t>variable 10</w:t>
            </w:r>
          </w:p>
        </w:tc>
        <w:tc>
          <w:tcPr>
            <w:tcW w:w="1368" w:type="dxa"/>
          </w:tcPr>
          <w:p>
            <w:pPr>
              <w:pStyle w:val="TableParagraph"/>
              <w:spacing w:before="3"/>
              <w:rPr>
                <w:b/>
                <w:sz w:val="22"/>
              </w:rPr>
            </w:pPr>
          </w:p>
          <w:p>
            <w:pPr>
              <w:pStyle w:val="TableParagraph"/>
              <w:ind w:left="263" w:right="128"/>
              <w:rPr>
                <w:b/>
                <w:sz w:val="16"/>
              </w:rPr>
            </w:pPr>
            <w:r>
              <w:rPr>
                <w:b/>
                <w:sz w:val="16"/>
              </w:rPr>
              <w:t>variable 11</w:t>
            </w:r>
          </w:p>
        </w:tc>
        <w:tc>
          <w:tcPr>
            <w:tcW w:w="1008" w:type="dxa"/>
          </w:tcPr>
          <w:p>
            <w:pPr>
              <w:pStyle w:val="TableParagraph"/>
              <w:spacing w:before="3"/>
              <w:rPr>
                <w:b/>
                <w:sz w:val="22"/>
              </w:rPr>
            </w:pPr>
          </w:p>
          <w:p>
            <w:pPr>
              <w:pStyle w:val="TableParagraph"/>
              <w:ind w:left="65" w:right="65"/>
              <w:jc w:val="center"/>
              <w:rPr>
                <w:b/>
                <w:sz w:val="16"/>
              </w:rPr>
            </w:pPr>
            <w:r>
              <w:rPr>
                <w:b/>
                <w:sz w:val="16"/>
              </w:rPr>
              <w:t>variable 12</w:t>
            </w:r>
          </w:p>
        </w:tc>
        <w:tc>
          <w:tcPr>
            <w:tcW w:w="989" w:type="dxa"/>
          </w:tcPr>
          <w:p>
            <w:pPr>
              <w:pStyle w:val="TableParagraph"/>
              <w:spacing w:before="3"/>
              <w:rPr>
                <w:b/>
                <w:sz w:val="22"/>
              </w:rPr>
            </w:pPr>
          </w:p>
          <w:p>
            <w:pPr>
              <w:pStyle w:val="TableParagraph"/>
              <w:ind w:right="74"/>
              <w:jc w:val="right"/>
              <w:rPr>
                <w:b/>
                <w:sz w:val="16"/>
              </w:rPr>
            </w:pPr>
            <w:r>
              <w:rPr>
                <w:b/>
                <w:sz w:val="16"/>
              </w:rPr>
              <w:t>variable 13</w:t>
            </w:r>
          </w:p>
        </w:tc>
        <w:tc>
          <w:tcPr>
            <w:tcW w:w="946" w:type="dxa"/>
          </w:tcPr>
          <w:p>
            <w:pPr>
              <w:pStyle w:val="TableParagraph"/>
              <w:spacing w:before="74"/>
              <w:ind w:left="379" w:right="148" w:hanging="216"/>
              <w:rPr>
                <w:b/>
                <w:sz w:val="16"/>
              </w:rPr>
            </w:pPr>
            <w:r>
              <w:rPr>
                <w:b/>
                <w:sz w:val="16"/>
              </w:rPr>
              <w:t>variable 14</w:t>
            </w:r>
          </w:p>
        </w:tc>
      </w:tr>
      <w:tr>
        <w:trPr>
          <w:trHeight w:val="782" w:hRule="exact"/>
        </w:trPr>
        <w:tc>
          <w:tcPr>
            <w:tcW w:w="785" w:type="dxa"/>
            <w:vMerge/>
          </w:tcPr>
          <w:p>
            <w:pPr/>
          </w:p>
        </w:tc>
        <w:tc>
          <w:tcPr>
            <w:tcW w:w="1474" w:type="dxa"/>
          </w:tcPr>
          <w:p>
            <w:pPr>
              <w:pStyle w:val="TableParagraph"/>
              <w:rPr>
                <w:b/>
                <w:sz w:val="16"/>
              </w:rPr>
            </w:pPr>
          </w:p>
          <w:p>
            <w:pPr>
              <w:pStyle w:val="TableParagraph"/>
              <w:rPr>
                <w:b/>
                <w:sz w:val="16"/>
              </w:rPr>
            </w:pPr>
          </w:p>
          <w:p>
            <w:pPr>
              <w:pStyle w:val="TableParagraph"/>
              <w:spacing w:before="2"/>
              <w:rPr>
                <w:b/>
                <w:sz w:val="18"/>
              </w:rPr>
            </w:pPr>
          </w:p>
          <w:p>
            <w:pPr>
              <w:pStyle w:val="TableParagraph"/>
              <w:spacing w:before="1"/>
              <w:ind w:left="49" w:right="49"/>
              <w:jc w:val="center"/>
              <w:rPr>
                <w:b/>
                <w:sz w:val="16"/>
              </w:rPr>
            </w:pPr>
            <w:r>
              <w:rPr>
                <w:b/>
                <w:sz w:val="16"/>
              </w:rPr>
              <w:t>Autor/autores</w:t>
            </w:r>
          </w:p>
        </w:tc>
        <w:tc>
          <w:tcPr>
            <w:tcW w:w="1244" w:type="dxa"/>
          </w:tcPr>
          <w:p>
            <w:pPr>
              <w:pStyle w:val="TableParagraph"/>
              <w:rPr>
                <w:b/>
                <w:sz w:val="16"/>
              </w:rPr>
            </w:pPr>
          </w:p>
          <w:p>
            <w:pPr>
              <w:pStyle w:val="TableParagraph"/>
              <w:spacing w:before="2"/>
              <w:rPr>
                <w:b/>
                <w:sz w:val="18"/>
              </w:rPr>
            </w:pPr>
          </w:p>
          <w:p>
            <w:pPr>
              <w:pStyle w:val="TableParagraph"/>
              <w:ind w:left="350" w:right="195" w:hanging="140"/>
              <w:rPr>
                <w:b/>
                <w:sz w:val="16"/>
              </w:rPr>
            </w:pPr>
            <w:r>
              <w:rPr>
                <w:b/>
                <w:sz w:val="16"/>
              </w:rPr>
              <w:t>Institución autor 1</w:t>
            </w:r>
          </w:p>
        </w:tc>
        <w:tc>
          <w:tcPr>
            <w:tcW w:w="1030" w:type="dxa"/>
          </w:tcPr>
          <w:p>
            <w:pPr>
              <w:pStyle w:val="TableParagraph"/>
              <w:spacing w:before="26"/>
              <w:ind w:left="75" w:right="76"/>
              <w:jc w:val="center"/>
              <w:rPr>
                <w:b/>
                <w:sz w:val="16"/>
              </w:rPr>
            </w:pPr>
            <w:r>
              <w:rPr>
                <w:b/>
                <w:sz w:val="16"/>
              </w:rPr>
              <w:t>País de origen institución autor 1</w:t>
            </w:r>
          </w:p>
        </w:tc>
        <w:tc>
          <w:tcPr>
            <w:tcW w:w="1368" w:type="dxa"/>
          </w:tcPr>
          <w:p>
            <w:pPr>
              <w:pStyle w:val="TableParagraph"/>
              <w:rPr>
                <w:b/>
                <w:sz w:val="16"/>
              </w:rPr>
            </w:pPr>
          </w:p>
          <w:p>
            <w:pPr>
              <w:pStyle w:val="TableParagraph"/>
              <w:spacing w:before="2"/>
              <w:rPr>
                <w:b/>
                <w:sz w:val="18"/>
              </w:rPr>
            </w:pPr>
          </w:p>
          <w:p>
            <w:pPr>
              <w:pStyle w:val="TableParagraph"/>
              <w:ind w:left="412" w:right="257" w:hanging="140"/>
              <w:rPr>
                <w:b/>
                <w:sz w:val="16"/>
              </w:rPr>
            </w:pPr>
            <w:r>
              <w:rPr>
                <w:b/>
                <w:sz w:val="16"/>
              </w:rPr>
              <w:t>Institución autor 2</w:t>
            </w:r>
          </w:p>
        </w:tc>
        <w:tc>
          <w:tcPr>
            <w:tcW w:w="1008" w:type="dxa"/>
          </w:tcPr>
          <w:p>
            <w:pPr>
              <w:pStyle w:val="TableParagraph"/>
              <w:spacing w:before="26"/>
              <w:ind w:left="65" w:right="64"/>
              <w:jc w:val="center"/>
              <w:rPr>
                <w:b/>
                <w:sz w:val="16"/>
              </w:rPr>
            </w:pPr>
            <w:r>
              <w:rPr>
                <w:b/>
                <w:sz w:val="16"/>
              </w:rPr>
              <w:t>País de origen institución autor 2</w:t>
            </w:r>
          </w:p>
        </w:tc>
        <w:tc>
          <w:tcPr>
            <w:tcW w:w="989" w:type="dxa"/>
          </w:tcPr>
          <w:p>
            <w:pPr>
              <w:pStyle w:val="TableParagraph"/>
              <w:rPr>
                <w:b/>
                <w:sz w:val="16"/>
              </w:rPr>
            </w:pPr>
          </w:p>
          <w:p>
            <w:pPr>
              <w:pStyle w:val="TableParagraph"/>
              <w:spacing w:before="2"/>
              <w:rPr>
                <w:b/>
                <w:sz w:val="18"/>
              </w:rPr>
            </w:pPr>
          </w:p>
          <w:p>
            <w:pPr>
              <w:pStyle w:val="TableParagraph"/>
              <w:ind w:left="223" w:right="94" w:hanging="113"/>
              <w:rPr>
                <w:b/>
                <w:sz w:val="16"/>
              </w:rPr>
            </w:pPr>
            <w:r>
              <w:rPr>
                <w:b/>
                <w:sz w:val="16"/>
              </w:rPr>
              <w:t>Disciplina autor 1</w:t>
            </w:r>
          </w:p>
        </w:tc>
        <w:tc>
          <w:tcPr>
            <w:tcW w:w="946" w:type="dxa"/>
          </w:tcPr>
          <w:p>
            <w:pPr>
              <w:pStyle w:val="TableParagraph"/>
              <w:rPr>
                <w:b/>
                <w:sz w:val="16"/>
              </w:rPr>
            </w:pPr>
          </w:p>
          <w:p>
            <w:pPr>
              <w:pStyle w:val="TableParagraph"/>
              <w:spacing w:before="2"/>
              <w:rPr>
                <w:b/>
                <w:sz w:val="18"/>
              </w:rPr>
            </w:pPr>
          </w:p>
          <w:p>
            <w:pPr>
              <w:pStyle w:val="TableParagraph"/>
              <w:ind w:left="201" w:right="72" w:hanging="113"/>
              <w:rPr>
                <w:b/>
                <w:sz w:val="16"/>
              </w:rPr>
            </w:pPr>
            <w:r>
              <w:rPr>
                <w:b/>
                <w:sz w:val="16"/>
              </w:rPr>
              <w:t>Disciplina autor 2</w:t>
            </w:r>
          </w:p>
        </w:tc>
      </w:tr>
      <w:tr>
        <w:trPr>
          <w:trHeight w:val="703" w:hRule="exact"/>
        </w:trPr>
        <w:tc>
          <w:tcPr>
            <w:tcW w:w="785" w:type="dxa"/>
          </w:tcPr>
          <w:p>
            <w:pPr>
              <w:pStyle w:val="TableParagraph"/>
              <w:rPr>
                <w:b/>
                <w:sz w:val="16"/>
              </w:rPr>
            </w:pPr>
          </w:p>
          <w:p>
            <w:pPr>
              <w:pStyle w:val="TableParagraph"/>
              <w:rPr>
                <w:b/>
                <w:sz w:val="16"/>
              </w:rPr>
            </w:pPr>
          </w:p>
          <w:p>
            <w:pPr>
              <w:pStyle w:val="TableParagraph"/>
              <w:spacing w:before="130"/>
              <w:ind w:left="278" w:right="278"/>
              <w:jc w:val="center"/>
              <w:rPr>
                <w:b/>
                <w:sz w:val="16"/>
              </w:rPr>
            </w:pPr>
            <w:r>
              <w:rPr>
                <w:b/>
                <w:sz w:val="16"/>
              </w:rPr>
              <w:t>22</w:t>
            </w:r>
          </w:p>
        </w:tc>
        <w:tc>
          <w:tcPr>
            <w:tcW w:w="1474" w:type="dxa"/>
          </w:tcPr>
          <w:p>
            <w:pPr>
              <w:pStyle w:val="TableParagraph"/>
              <w:rPr>
                <w:b/>
                <w:sz w:val="16"/>
              </w:rPr>
            </w:pPr>
          </w:p>
          <w:p>
            <w:pPr>
              <w:pStyle w:val="TableParagraph"/>
              <w:rPr>
                <w:b/>
                <w:sz w:val="16"/>
              </w:rPr>
            </w:pPr>
          </w:p>
          <w:p>
            <w:pPr>
              <w:pStyle w:val="TableParagraph"/>
              <w:spacing w:before="133"/>
              <w:ind w:left="49" w:right="49"/>
              <w:jc w:val="center"/>
              <w:rPr>
                <w:sz w:val="16"/>
              </w:rPr>
            </w:pPr>
            <w:r>
              <w:rPr>
                <w:sz w:val="16"/>
              </w:rPr>
              <w:t>Sergio Boisier</w:t>
            </w:r>
          </w:p>
        </w:tc>
        <w:tc>
          <w:tcPr>
            <w:tcW w:w="1244" w:type="dxa"/>
          </w:tcPr>
          <w:p>
            <w:pPr>
              <w:pStyle w:val="TableParagraph"/>
              <w:rPr>
                <w:b/>
                <w:sz w:val="16"/>
              </w:rPr>
            </w:pPr>
          </w:p>
          <w:p>
            <w:pPr>
              <w:pStyle w:val="TableParagraph"/>
              <w:spacing w:before="134"/>
              <w:ind w:left="230" w:right="66" w:hanging="150"/>
              <w:rPr>
                <w:sz w:val="16"/>
              </w:rPr>
            </w:pPr>
            <w:r>
              <w:rPr>
                <w:sz w:val="16"/>
              </w:rPr>
              <w:t>Universidad de la Frontera</w:t>
            </w:r>
          </w:p>
        </w:tc>
        <w:tc>
          <w:tcPr>
            <w:tcW w:w="1030" w:type="dxa"/>
          </w:tcPr>
          <w:p>
            <w:pPr/>
          </w:p>
        </w:tc>
        <w:tc>
          <w:tcPr>
            <w:tcW w:w="1368" w:type="dxa"/>
          </w:tcPr>
          <w:p>
            <w:pPr/>
          </w:p>
        </w:tc>
        <w:tc>
          <w:tcPr>
            <w:tcW w:w="1008" w:type="dxa"/>
          </w:tcPr>
          <w:p>
            <w:pPr/>
          </w:p>
        </w:tc>
        <w:tc>
          <w:tcPr>
            <w:tcW w:w="989" w:type="dxa"/>
          </w:tcPr>
          <w:p>
            <w:pPr/>
          </w:p>
        </w:tc>
        <w:tc>
          <w:tcPr>
            <w:tcW w:w="946" w:type="dxa"/>
          </w:tcPr>
          <w:p>
            <w:pPr/>
          </w:p>
        </w:tc>
      </w:tr>
      <w:tr>
        <w:trPr>
          <w:trHeight w:val="854"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100"/>
              <w:ind w:left="278" w:right="278"/>
              <w:jc w:val="center"/>
              <w:rPr>
                <w:b/>
                <w:sz w:val="16"/>
              </w:rPr>
            </w:pPr>
            <w:r>
              <w:rPr>
                <w:b/>
                <w:sz w:val="16"/>
              </w:rPr>
              <w:t>23</w:t>
            </w:r>
          </w:p>
        </w:tc>
        <w:tc>
          <w:tcPr>
            <w:tcW w:w="1474" w:type="dxa"/>
          </w:tcPr>
          <w:p>
            <w:pPr>
              <w:pStyle w:val="TableParagraph"/>
              <w:rPr>
                <w:b/>
                <w:sz w:val="16"/>
              </w:rPr>
            </w:pPr>
          </w:p>
          <w:p>
            <w:pPr>
              <w:pStyle w:val="TableParagraph"/>
              <w:rPr>
                <w:b/>
                <w:sz w:val="16"/>
              </w:rPr>
            </w:pPr>
          </w:p>
          <w:p>
            <w:pPr>
              <w:pStyle w:val="TableParagraph"/>
              <w:rPr>
                <w:b/>
                <w:sz w:val="16"/>
              </w:rPr>
            </w:pPr>
          </w:p>
          <w:p>
            <w:pPr>
              <w:pStyle w:val="TableParagraph"/>
              <w:spacing w:before="102"/>
              <w:ind w:left="49" w:right="47"/>
              <w:jc w:val="center"/>
              <w:rPr>
                <w:sz w:val="16"/>
              </w:rPr>
            </w:pPr>
            <w:r>
              <w:rPr>
                <w:sz w:val="16"/>
              </w:rPr>
              <w:t>Alicia Lindón</w:t>
            </w:r>
          </w:p>
        </w:tc>
        <w:tc>
          <w:tcPr>
            <w:tcW w:w="1244" w:type="dxa"/>
          </w:tcPr>
          <w:p>
            <w:pPr>
              <w:pStyle w:val="TableParagraph"/>
              <w:spacing w:before="102"/>
              <w:ind w:left="108" w:right="109" w:firstLine="3"/>
              <w:jc w:val="center"/>
              <w:rPr>
                <w:sz w:val="16"/>
              </w:rPr>
            </w:pPr>
            <w:r>
              <w:rPr>
                <w:sz w:val="16"/>
              </w:rPr>
              <w:t>Universidad Autónoma Metropolitana, Iztapalapa</w:t>
            </w:r>
          </w:p>
        </w:tc>
        <w:tc>
          <w:tcPr>
            <w:tcW w:w="1030" w:type="dxa"/>
          </w:tcPr>
          <w:p>
            <w:pPr/>
          </w:p>
        </w:tc>
        <w:tc>
          <w:tcPr>
            <w:tcW w:w="1368" w:type="dxa"/>
          </w:tcPr>
          <w:p>
            <w:pPr/>
          </w:p>
        </w:tc>
        <w:tc>
          <w:tcPr>
            <w:tcW w:w="1008" w:type="dxa"/>
          </w:tcPr>
          <w:p>
            <w:pPr/>
          </w:p>
        </w:tc>
        <w:tc>
          <w:tcPr>
            <w:tcW w:w="989" w:type="dxa"/>
          </w:tcPr>
          <w:p>
            <w:pPr/>
          </w:p>
        </w:tc>
        <w:tc>
          <w:tcPr>
            <w:tcW w:w="946" w:type="dxa"/>
          </w:tcPr>
          <w:p>
            <w:pPr/>
          </w:p>
        </w:tc>
      </w:tr>
      <w:tr>
        <w:trPr>
          <w:trHeight w:val="997"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10"/>
              <w:rPr>
                <w:b/>
                <w:sz w:val="20"/>
              </w:rPr>
            </w:pPr>
          </w:p>
          <w:p>
            <w:pPr>
              <w:pStyle w:val="TableParagraph"/>
              <w:ind w:left="278" w:right="278"/>
              <w:jc w:val="center"/>
              <w:rPr>
                <w:b/>
                <w:sz w:val="16"/>
              </w:rPr>
            </w:pPr>
            <w:r>
              <w:rPr>
                <w:b/>
                <w:sz w:val="16"/>
              </w:rPr>
              <w:t>24</w:t>
            </w:r>
          </w:p>
        </w:tc>
        <w:tc>
          <w:tcPr>
            <w:tcW w:w="1474" w:type="dxa"/>
          </w:tcPr>
          <w:p>
            <w:pPr>
              <w:pStyle w:val="TableParagraph"/>
              <w:rPr>
                <w:b/>
                <w:sz w:val="16"/>
              </w:rPr>
            </w:pPr>
          </w:p>
          <w:p>
            <w:pPr>
              <w:pStyle w:val="TableParagraph"/>
              <w:spacing w:before="1"/>
              <w:rPr>
                <w:b/>
                <w:sz w:val="21"/>
              </w:rPr>
            </w:pPr>
          </w:p>
          <w:p>
            <w:pPr>
              <w:pStyle w:val="TableParagraph"/>
              <w:spacing w:before="1"/>
              <w:ind w:left="211" w:right="207" w:hanging="5"/>
              <w:jc w:val="center"/>
              <w:rPr>
                <w:sz w:val="16"/>
              </w:rPr>
            </w:pPr>
            <w:r>
              <w:rPr>
                <w:sz w:val="16"/>
              </w:rPr>
              <w:t>Fernanda Sánchez/Rosa Moura</w:t>
            </w:r>
          </w:p>
        </w:tc>
        <w:tc>
          <w:tcPr>
            <w:tcW w:w="1244" w:type="dxa"/>
          </w:tcPr>
          <w:p>
            <w:pPr>
              <w:pStyle w:val="TableParagraph"/>
              <w:rPr>
                <w:b/>
                <w:sz w:val="16"/>
              </w:rPr>
            </w:pPr>
          </w:p>
          <w:p>
            <w:pPr>
              <w:pStyle w:val="TableParagraph"/>
              <w:spacing w:before="1"/>
              <w:rPr>
                <w:b/>
                <w:sz w:val="21"/>
              </w:rPr>
            </w:pPr>
          </w:p>
          <w:p>
            <w:pPr>
              <w:pStyle w:val="TableParagraph"/>
              <w:spacing w:before="1"/>
              <w:ind w:left="142" w:right="142"/>
              <w:jc w:val="center"/>
              <w:rPr>
                <w:sz w:val="16"/>
              </w:rPr>
            </w:pPr>
            <w:r>
              <w:rPr>
                <w:sz w:val="16"/>
              </w:rPr>
              <w:t>Universidade Federal Fluminense</w:t>
            </w:r>
          </w:p>
        </w:tc>
        <w:tc>
          <w:tcPr>
            <w:tcW w:w="1030" w:type="dxa"/>
          </w:tcPr>
          <w:p>
            <w:pPr>
              <w:pStyle w:val="TableParagraph"/>
              <w:rPr>
                <w:b/>
                <w:sz w:val="16"/>
              </w:rPr>
            </w:pPr>
          </w:p>
          <w:p>
            <w:pPr>
              <w:pStyle w:val="TableParagraph"/>
              <w:rPr>
                <w:b/>
                <w:sz w:val="16"/>
              </w:rPr>
            </w:pPr>
          </w:p>
          <w:p>
            <w:pPr>
              <w:pStyle w:val="TableParagraph"/>
              <w:rPr>
                <w:b/>
                <w:sz w:val="16"/>
              </w:rPr>
            </w:pPr>
          </w:p>
          <w:p>
            <w:pPr>
              <w:pStyle w:val="TableParagraph"/>
              <w:spacing w:before="1"/>
              <w:rPr>
                <w:b/>
                <w:sz w:val="21"/>
              </w:rPr>
            </w:pPr>
          </w:p>
          <w:p>
            <w:pPr>
              <w:pStyle w:val="TableParagraph"/>
              <w:ind w:left="307"/>
              <w:rPr>
                <w:sz w:val="16"/>
              </w:rPr>
            </w:pPr>
            <w:r>
              <w:rPr>
                <w:sz w:val="16"/>
              </w:rPr>
              <w:t>Brasil</w:t>
            </w:r>
          </w:p>
        </w:tc>
        <w:tc>
          <w:tcPr>
            <w:tcW w:w="1368" w:type="dxa"/>
          </w:tcPr>
          <w:p>
            <w:pPr>
              <w:pStyle w:val="TableParagraph"/>
              <w:spacing w:before="57"/>
              <w:ind w:left="64" w:right="63"/>
              <w:jc w:val="center"/>
              <w:rPr>
                <w:sz w:val="16"/>
              </w:rPr>
            </w:pPr>
            <w:r>
              <w:rPr>
                <w:sz w:val="16"/>
              </w:rPr>
              <w:t>Instituto Paranaense de Desenvolvimento Econômico e Social</w:t>
            </w:r>
          </w:p>
        </w:tc>
        <w:tc>
          <w:tcPr>
            <w:tcW w:w="1008" w:type="dxa"/>
          </w:tcPr>
          <w:p>
            <w:pPr>
              <w:pStyle w:val="TableParagraph"/>
              <w:rPr>
                <w:b/>
                <w:sz w:val="16"/>
              </w:rPr>
            </w:pPr>
          </w:p>
          <w:p>
            <w:pPr>
              <w:pStyle w:val="TableParagraph"/>
              <w:rPr>
                <w:b/>
                <w:sz w:val="16"/>
              </w:rPr>
            </w:pPr>
          </w:p>
          <w:p>
            <w:pPr>
              <w:pStyle w:val="TableParagraph"/>
              <w:rPr>
                <w:b/>
                <w:sz w:val="16"/>
              </w:rPr>
            </w:pPr>
          </w:p>
          <w:p>
            <w:pPr>
              <w:pStyle w:val="TableParagraph"/>
              <w:spacing w:before="1"/>
              <w:rPr>
                <w:b/>
                <w:sz w:val="21"/>
              </w:rPr>
            </w:pPr>
          </w:p>
          <w:p>
            <w:pPr>
              <w:pStyle w:val="TableParagraph"/>
              <w:ind w:left="64" w:right="65"/>
              <w:jc w:val="center"/>
              <w:rPr>
                <w:sz w:val="16"/>
              </w:rPr>
            </w:pPr>
            <w:r>
              <w:rPr>
                <w:sz w:val="16"/>
              </w:rPr>
              <w:t>Brasil</w:t>
            </w:r>
          </w:p>
        </w:tc>
        <w:tc>
          <w:tcPr>
            <w:tcW w:w="989" w:type="dxa"/>
          </w:tcPr>
          <w:p>
            <w:pPr/>
          </w:p>
        </w:tc>
        <w:tc>
          <w:tcPr>
            <w:tcW w:w="946" w:type="dxa"/>
          </w:tcPr>
          <w:p>
            <w:pPr/>
          </w:p>
        </w:tc>
      </w:tr>
      <w:tr>
        <w:trPr>
          <w:trHeight w:val="1001"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2"/>
              <w:rPr>
                <w:b/>
                <w:sz w:val="21"/>
              </w:rPr>
            </w:pPr>
          </w:p>
          <w:p>
            <w:pPr>
              <w:pStyle w:val="TableParagraph"/>
              <w:spacing w:before="1"/>
              <w:ind w:left="278" w:right="278"/>
              <w:jc w:val="center"/>
              <w:rPr>
                <w:b/>
                <w:sz w:val="16"/>
              </w:rPr>
            </w:pPr>
            <w:r>
              <w:rPr>
                <w:b/>
                <w:sz w:val="16"/>
              </w:rPr>
              <w:t>25</w:t>
            </w:r>
          </w:p>
        </w:tc>
        <w:tc>
          <w:tcPr>
            <w:tcW w:w="1474" w:type="dxa"/>
          </w:tcPr>
          <w:p>
            <w:pPr>
              <w:pStyle w:val="TableParagraph"/>
              <w:rPr>
                <w:b/>
                <w:sz w:val="16"/>
              </w:rPr>
            </w:pPr>
          </w:p>
          <w:p>
            <w:pPr>
              <w:pStyle w:val="TableParagraph"/>
              <w:rPr>
                <w:b/>
                <w:sz w:val="16"/>
              </w:rPr>
            </w:pPr>
          </w:p>
          <w:p>
            <w:pPr>
              <w:pStyle w:val="TableParagraph"/>
              <w:rPr>
                <w:b/>
                <w:sz w:val="16"/>
              </w:rPr>
            </w:pPr>
          </w:p>
          <w:p>
            <w:pPr>
              <w:pStyle w:val="TableParagraph"/>
              <w:spacing w:before="5"/>
              <w:rPr>
                <w:b/>
                <w:sz w:val="21"/>
              </w:rPr>
            </w:pPr>
          </w:p>
          <w:p>
            <w:pPr>
              <w:pStyle w:val="TableParagraph"/>
              <w:ind w:left="49" w:right="49"/>
              <w:jc w:val="center"/>
              <w:rPr>
                <w:sz w:val="16"/>
              </w:rPr>
            </w:pPr>
            <w:r>
              <w:rPr>
                <w:sz w:val="16"/>
              </w:rPr>
              <w:t>Christof Parnreiter</w:t>
            </w:r>
          </w:p>
        </w:tc>
        <w:tc>
          <w:tcPr>
            <w:tcW w:w="1244" w:type="dxa"/>
          </w:tcPr>
          <w:p>
            <w:pPr>
              <w:pStyle w:val="TableParagraph"/>
              <w:spacing w:before="5"/>
              <w:rPr>
                <w:b/>
                <w:sz w:val="21"/>
              </w:rPr>
            </w:pPr>
          </w:p>
          <w:p>
            <w:pPr>
              <w:pStyle w:val="TableParagraph"/>
              <w:ind w:left="64" w:right="63" w:hanging="2"/>
              <w:jc w:val="center"/>
              <w:rPr>
                <w:sz w:val="16"/>
              </w:rPr>
            </w:pPr>
            <w:r>
              <w:rPr>
                <w:sz w:val="16"/>
              </w:rPr>
              <w:t>Instituto de Investigaciones Urbanas y Regionales</w:t>
            </w:r>
          </w:p>
        </w:tc>
        <w:tc>
          <w:tcPr>
            <w:tcW w:w="1030" w:type="dxa"/>
          </w:tcPr>
          <w:p>
            <w:pPr>
              <w:pStyle w:val="TableParagraph"/>
              <w:rPr>
                <w:b/>
                <w:sz w:val="16"/>
              </w:rPr>
            </w:pPr>
          </w:p>
          <w:p>
            <w:pPr>
              <w:pStyle w:val="TableParagraph"/>
              <w:rPr>
                <w:b/>
                <w:sz w:val="16"/>
              </w:rPr>
            </w:pPr>
          </w:p>
          <w:p>
            <w:pPr>
              <w:pStyle w:val="TableParagraph"/>
              <w:rPr>
                <w:b/>
                <w:sz w:val="16"/>
              </w:rPr>
            </w:pPr>
          </w:p>
          <w:p>
            <w:pPr>
              <w:pStyle w:val="TableParagraph"/>
              <w:spacing w:before="5"/>
              <w:rPr>
                <w:b/>
                <w:sz w:val="21"/>
              </w:rPr>
            </w:pPr>
          </w:p>
          <w:p>
            <w:pPr>
              <w:pStyle w:val="TableParagraph"/>
              <w:ind w:left="259"/>
              <w:rPr>
                <w:sz w:val="16"/>
              </w:rPr>
            </w:pPr>
            <w:r>
              <w:rPr>
                <w:sz w:val="16"/>
              </w:rPr>
              <w:t>Austria</w:t>
            </w:r>
          </w:p>
        </w:tc>
        <w:tc>
          <w:tcPr>
            <w:tcW w:w="1368" w:type="dxa"/>
          </w:tcPr>
          <w:p>
            <w:pPr/>
          </w:p>
        </w:tc>
        <w:tc>
          <w:tcPr>
            <w:tcW w:w="1008" w:type="dxa"/>
          </w:tcPr>
          <w:p>
            <w:pPr/>
          </w:p>
        </w:tc>
        <w:tc>
          <w:tcPr>
            <w:tcW w:w="989" w:type="dxa"/>
          </w:tcPr>
          <w:p>
            <w:pPr/>
          </w:p>
        </w:tc>
        <w:tc>
          <w:tcPr>
            <w:tcW w:w="946" w:type="dxa"/>
          </w:tcPr>
          <w:p>
            <w:pPr/>
          </w:p>
        </w:tc>
      </w:tr>
      <w:tr>
        <w:trPr>
          <w:trHeight w:val="703" w:hRule="exact"/>
        </w:trPr>
        <w:tc>
          <w:tcPr>
            <w:tcW w:w="785" w:type="dxa"/>
          </w:tcPr>
          <w:p>
            <w:pPr>
              <w:pStyle w:val="TableParagraph"/>
              <w:rPr>
                <w:b/>
                <w:sz w:val="16"/>
              </w:rPr>
            </w:pPr>
          </w:p>
          <w:p>
            <w:pPr>
              <w:pStyle w:val="TableParagraph"/>
              <w:rPr>
                <w:b/>
                <w:sz w:val="16"/>
              </w:rPr>
            </w:pPr>
          </w:p>
          <w:p>
            <w:pPr>
              <w:pStyle w:val="TableParagraph"/>
              <w:spacing w:before="133"/>
              <w:ind w:left="278" w:right="278"/>
              <w:jc w:val="center"/>
              <w:rPr>
                <w:b/>
                <w:sz w:val="16"/>
              </w:rPr>
            </w:pPr>
            <w:r>
              <w:rPr>
                <w:b/>
                <w:sz w:val="16"/>
              </w:rPr>
              <w:t>26</w:t>
            </w:r>
          </w:p>
        </w:tc>
        <w:tc>
          <w:tcPr>
            <w:tcW w:w="1474" w:type="dxa"/>
          </w:tcPr>
          <w:p>
            <w:pPr>
              <w:pStyle w:val="TableParagraph"/>
              <w:spacing w:before="134"/>
              <w:ind w:left="220" w:right="219" w:hanging="3"/>
              <w:jc w:val="center"/>
              <w:rPr>
                <w:sz w:val="16"/>
              </w:rPr>
            </w:pPr>
            <w:r>
              <w:rPr>
                <w:sz w:val="16"/>
              </w:rPr>
              <w:t>Cecilia Cariola/Miguel Lacabana</w:t>
            </w:r>
          </w:p>
        </w:tc>
        <w:tc>
          <w:tcPr>
            <w:tcW w:w="1244" w:type="dxa"/>
          </w:tcPr>
          <w:p>
            <w:pPr>
              <w:pStyle w:val="TableParagraph"/>
              <w:spacing w:before="134"/>
              <w:ind w:left="238" w:right="175" w:hanging="44"/>
              <w:rPr>
                <w:sz w:val="16"/>
              </w:rPr>
            </w:pPr>
            <w:r>
              <w:rPr>
                <w:sz w:val="16"/>
              </w:rPr>
              <w:t>Universidad Central de Venezuela</w:t>
            </w:r>
          </w:p>
        </w:tc>
        <w:tc>
          <w:tcPr>
            <w:tcW w:w="1030" w:type="dxa"/>
          </w:tcPr>
          <w:p>
            <w:pPr>
              <w:pStyle w:val="TableParagraph"/>
              <w:rPr>
                <w:b/>
                <w:sz w:val="16"/>
              </w:rPr>
            </w:pPr>
          </w:p>
          <w:p>
            <w:pPr>
              <w:pStyle w:val="TableParagraph"/>
              <w:rPr>
                <w:b/>
                <w:sz w:val="16"/>
              </w:rPr>
            </w:pPr>
          </w:p>
          <w:p>
            <w:pPr>
              <w:pStyle w:val="TableParagraph"/>
              <w:spacing w:before="135"/>
              <w:ind w:right="132"/>
              <w:jc w:val="right"/>
              <w:rPr>
                <w:sz w:val="16"/>
              </w:rPr>
            </w:pPr>
            <w:r>
              <w:rPr>
                <w:sz w:val="16"/>
              </w:rPr>
              <w:t>Venezuela</w:t>
            </w:r>
          </w:p>
        </w:tc>
        <w:tc>
          <w:tcPr>
            <w:tcW w:w="1368" w:type="dxa"/>
          </w:tcPr>
          <w:p>
            <w:pPr>
              <w:pStyle w:val="TableParagraph"/>
              <w:spacing w:before="134"/>
              <w:ind w:left="299" w:right="238" w:hanging="44"/>
              <w:rPr>
                <w:sz w:val="16"/>
              </w:rPr>
            </w:pPr>
            <w:r>
              <w:rPr>
                <w:sz w:val="16"/>
              </w:rPr>
              <w:t>Universidad Central de Venezuela</w:t>
            </w:r>
          </w:p>
        </w:tc>
        <w:tc>
          <w:tcPr>
            <w:tcW w:w="1008" w:type="dxa"/>
          </w:tcPr>
          <w:p>
            <w:pPr>
              <w:pStyle w:val="TableParagraph"/>
              <w:rPr>
                <w:b/>
                <w:sz w:val="16"/>
              </w:rPr>
            </w:pPr>
          </w:p>
          <w:p>
            <w:pPr>
              <w:pStyle w:val="TableParagraph"/>
              <w:rPr>
                <w:b/>
                <w:sz w:val="16"/>
              </w:rPr>
            </w:pPr>
          </w:p>
          <w:p>
            <w:pPr>
              <w:pStyle w:val="TableParagraph"/>
              <w:spacing w:before="135"/>
              <w:ind w:left="65" w:right="65"/>
              <w:jc w:val="center"/>
              <w:rPr>
                <w:sz w:val="16"/>
              </w:rPr>
            </w:pPr>
            <w:r>
              <w:rPr>
                <w:sz w:val="16"/>
              </w:rPr>
              <w:t>Venezuela</w:t>
            </w:r>
          </w:p>
        </w:tc>
        <w:tc>
          <w:tcPr>
            <w:tcW w:w="989" w:type="dxa"/>
          </w:tcPr>
          <w:p>
            <w:pPr/>
          </w:p>
        </w:tc>
        <w:tc>
          <w:tcPr>
            <w:tcW w:w="946" w:type="dxa"/>
          </w:tcPr>
          <w:p>
            <w:pPr/>
          </w:p>
        </w:tc>
      </w:tr>
      <w:tr>
        <w:trPr>
          <w:trHeight w:val="776" w:hRule="exact"/>
        </w:trPr>
        <w:tc>
          <w:tcPr>
            <w:tcW w:w="785" w:type="dxa"/>
          </w:tcPr>
          <w:p>
            <w:pPr>
              <w:pStyle w:val="TableParagraph"/>
              <w:rPr>
                <w:b/>
                <w:sz w:val="16"/>
              </w:rPr>
            </w:pPr>
          </w:p>
          <w:p>
            <w:pPr>
              <w:pStyle w:val="TableParagraph"/>
              <w:rPr>
                <w:b/>
                <w:sz w:val="16"/>
              </w:rPr>
            </w:pPr>
          </w:p>
          <w:p>
            <w:pPr>
              <w:pStyle w:val="TableParagraph"/>
              <w:spacing w:before="10"/>
              <w:rPr>
                <w:b/>
                <w:sz w:val="17"/>
              </w:rPr>
            </w:pPr>
          </w:p>
          <w:p>
            <w:pPr>
              <w:pStyle w:val="TableParagraph"/>
              <w:ind w:left="278" w:right="278"/>
              <w:jc w:val="center"/>
              <w:rPr>
                <w:b/>
                <w:sz w:val="16"/>
              </w:rPr>
            </w:pPr>
            <w:r>
              <w:rPr>
                <w:b/>
                <w:sz w:val="16"/>
              </w:rPr>
              <w:t>27</w:t>
            </w:r>
          </w:p>
        </w:tc>
        <w:tc>
          <w:tcPr>
            <w:tcW w:w="1474" w:type="dxa"/>
          </w:tcPr>
          <w:p>
            <w:pPr>
              <w:pStyle w:val="TableParagraph"/>
              <w:rPr>
                <w:b/>
                <w:sz w:val="16"/>
              </w:rPr>
            </w:pPr>
          </w:p>
          <w:p>
            <w:pPr>
              <w:pStyle w:val="TableParagraph"/>
              <w:rPr>
                <w:b/>
                <w:sz w:val="16"/>
              </w:rPr>
            </w:pPr>
          </w:p>
          <w:p>
            <w:pPr>
              <w:pStyle w:val="TableParagraph"/>
              <w:rPr>
                <w:b/>
                <w:sz w:val="18"/>
              </w:rPr>
            </w:pPr>
          </w:p>
          <w:p>
            <w:pPr>
              <w:pStyle w:val="TableParagraph"/>
              <w:spacing w:before="1"/>
              <w:ind w:left="6" w:right="49"/>
              <w:jc w:val="center"/>
              <w:rPr>
                <w:sz w:val="16"/>
              </w:rPr>
            </w:pPr>
            <w:r>
              <w:rPr>
                <w:sz w:val="16"/>
              </w:rPr>
              <w:t>Neil Brenner</w:t>
            </w:r>
          </w:p>
        </w:tc>
        <w:tc>
          <w:tcPr>
            <w:tcW w:w="1244" w:type="dxa"/>
          </w:tcPr>
          <w:p>
            <w:pPr>
              <w:pStyle w:val="TableParagraph"/>
              <w:rPr>
                <w:b/>
                <w:sz w:val="16"/>
              </w:rPr>
            </w:pPr>
          </w:p>
          <w:p>
            <w:pPr>
              <w:pStyle w:val="TableParagraph"/>
              <w:spacing w:before="11"/>
              <w:rPr>
                <w:b/>
                <w:sz w:val="17"/>
              </w:rPr>
            </w:pPr>
          </w:p>
          <w:p>
            <w:pPr>
              <w:pStyle w:val="TableParagraph"/>
              <w:ind w:left="199" w:right="66" w:hanging="119"/>
              <w:rPr>
                <w:sz w:val="16"/>
              </w:rPr>
            </w:pPr>
            <w:r>
              <w:rPr>
                <w:sz w:val="16"/>
              </w:rPr>
              <w:t>Universidad de Nueva York</w:t>
            </w:r>
          </w:p>
        </w:tc>
        <w:tc>
          <w:tcPr>
            <w:tcW w:w="1030" w:type="dxa"/>
          </w:tcPr>
          <w:p>
            <w:pPr>
              <w:pStyle w:val="TableParagraph"/>
              <w:rPr>
                <w:b/>
                <w:sz w:val="16"/>
              </w:rPr>
            </w:pPr>
          </w:p>
          <w:p>
            <w:pPr>
              <w:pStyle w:val="TableParagraph"/>
              <w:rPr>
                <w:b/>
                <w:sz w:val="16"/>
              </w:rPr>
            </w:pPr>
          </w:p>
          <w:p>
            <w:pPr>
              <w:pStyle w:val="TableParagraph"/>
              <w:rPr>
                <w:b/>
                <w:sz w:val="18"/>
              </w:rPr>
            </w:pPr>
          </w:p>
          <w:p>
            <w:pPr>
              <w:pStyle w:val="TableParagraph"/>
              <w:spacing w:before="1"/>
              <w:ind w:left="75" w:right="76"/>
              <w:jc w:val="center"/>
              <w:rPr>
                <w:sz w:val="16"/>
              </w:rPr>
            </w:pPr>
            <w:r>
              <w:rPr>
                <w:sz w:val="16"/>
              </w:rPr>
              <w:t>EUA</w:t>
            </w:r>
          </w:p>
        </w:tc>
        <w:tc>
          <w:tcPr>
            <w:tcW w:w="1368" w:type="dxa"/>
          </w:tcPr>
          <w:p>
            <w:pPr/>
          </w:p>
        </w:tc>
        <w:tc>
          <w:tcPr>
            <w:tcW w:w="1008" w:type="dxa"/>
          </w:tcPr>
          <w:p>
            <w:pPr/>
          </w:p>
        </w:tc>
        <w:tc>
          <w:tcPr>
            <w:tcW w:w="989" w:type="dxa"/>
          </w:tcPr>
          <w:p>
            <w:pPr/>
          </w:p>
        </w:tc>
        <w:tc>
          <w:tcPr>
            <w:tcW w:w="946" w:type="dxa"/>
          </w:tcPr>
          <w:p>
            <w:pPr/>
          </w:p>
        </w:tc>
      </w:tr>
      <w:tr>
        <w:trPr>
          <w:trHeight w:val="797" w:hRule="exact"/>
        </w:trPr>
        <w:tc>
          <w:tcPr>
            <w:tcW w:w="785" w:type="dxa"/>
          </w:tcPr>
          <w:p>
            <w:pPr>
              <w:pStyle w:val="TableParagraph"/>
              <w:rPr>
                <w:b/>
                <w:sz w:val="16"/>
              </w:rPr>
            </w:pPr>
          </w:p>
          <w:p>
            <w:pPr>
              <w:pStyle w:val="TableParagraph"/>
              <w:rPr>
                <w:b/>
                <w:sz w:val="16"/>
              </w:rPr>
            </w:pPr>
          </w:p>
          <w:p>
            <w:pPr>
              <w:pStyle w:val="TableParagraph"/>
              <w:spacing w:before="5"/>
              <w:rPr>
                <w:b/>
                <w:sz w:val="19"/>
              </w:rPr>
            </w:pPr>
          </w:p>
          <w:p>
            <w:pPr>
              <w:pStyle w:val="TableParagraph"/>
              <w:spacing w:before="1"/>
              <w:ind w:left="278" w:right="278"/>
              <w:jc w:val="center"/>
              <w:rPr>
                <w:b/>
                <w:sz w:val="16"/>
              </w:rPr>
            </w:pPr>
            <w:r>
              <w:rPr>
                <w:b/>
                <w:sz w:val="16"/>
              </w:rPr>
              <w:t>28</w:t>
            </w:r>
          </w:p>
        </w:tc>
        <w:tc>
          <w:tcPr>
            <w:tcW w:w="1474" w:type="dxa"/>
          </w:tcPr>
          <w:p>
            <w:pPr>
              <w:pStyle w:val="TableParagraph"/>
              <w:spacing w:before="9"/>
              <w:rPr>
                <w:b/>
                <w:sz w:val="19"/>
              </w:rPr>
            </w:pPr>
          </w:p>
          <w:p>
            <w:pPr>
              <w:pStyle w:val="TableParagraph"/>
              <w:ind w:left="47" w:right="49"/>
              <w:jc w:val="center"/>
              <w:rPr>
                <w:sz w:val="16"/>
              </w:rPr>
            </w:pPr>
            <w:r>
              <w:rPr>
                <w:sz w:val="16"/>
              </w:rPr>
              <w:t>María Mardone/Claudia Vidal</w:t>
            </w:r>
          </w:p>
        </w:tc>
        <w:tc>
          <w:tcPr>
            <w:tcW w:w="1244" w:type="dxa"/>
          </w:tcPr>
          <w:p>
            <w:pPr>
              <w:pStyle w:val="TableParagraph"/>
              <w:rPr>
                <w:b/>
                <w:sz w:val="16"/>
              </w:rPr>
            </w:pPr>
          </w:p>
          <w:p>
            <w:pPr>
              <w:pStyle w:val="TableParagraph"/>
              <w:spacing w:before="7"/>
              <w:rPr>
                <w:b/>
                <w:sz w:val="19"/>
              </w:rPr>
            </w:pPr>
          </w:p>
          <w:p>
            <w:pPr>
              <w:pStyle w:val="TableParagraph"/>
              <w:ind w:left="194" w:right="66" w:hanging="114"/>
              <w:rPr>
                <w:sz w:val="16"/>
              </w:rPr>
            </w:pPr>
            <w:r>
              <w:rPr>
                <w:sz w:val="16"/>
              </w:rPr>
              <w:t>Universidad de Concepción</w:t>
            </w:r>
          </w:p>
        </w:tc>
        <w:tc>
          <w:tcPr>
            <w:tcW w:w="1030" w:type="dxa"/>
          </w:tcPr>
          <w:p>
            <w:pPr>
              <w:pStyle w:val="TableParagraph"/>
              <w:rPr>
                <w:b/>
                <w:sz w:val="16"/>
              </w:rPr>
            </w:pPr>
          </w:p>
          <w:p>
            <w:pPr>
              <w:pStyle w:val="TableParagraph"/>
              <w:rPr>
                <w:b/>
                <w:sz w:val="16"/>
              </w:rPr>
            </w:pPr>
          </w:p>
          <w:p>
            <w:pPr>
              <w:pStyle w:val="TableParagraph"/>
              <w:spacing w:before="8"/>
              <w:rPr>
                <w:b/>
                <w:sz w:val="19"/>
              </w:rPr>
            </w:pPr>
          </w:p>
          <w:p>
            <w:pPr>
              <w:pStyle w:val="TableParagraph"/>
              <w:ind w:left="326"/>
              <w:rPr>
                <w:sz w:val="16"/>
              </w:rPr>
            </w:pPr>
            <w:r>
              <w:rPr>
                <w:sz w:val="16"/>
              </w:rPr>
              <w:t>Chile</w:t>
            </w:r>
          </w:p>
        </w:tc>
        <w:tc>
          <w:tcPr>
            <w:tcW w:w="1368" w:type="dxa"/>
          </w:tcPr>
          <w:p>
            <w:pPr>
              <w:pStyle w:val="TableParagraph"/>
              <w:rPr>
                <w:b/>
                <w:sz w:val="16"/>
              </w:rPr>
            </w:pPr>
          </w:p>
          <w:p>
            <w:pPr>
              <w:pStyle w:val="TableParagraph"/>
              <w:spacing w:before="7"/>
              <w:rPr>
                <w:b/>
                <w:sz w:val="19"/>
              </w:rPr>
            </w:pPr>
          </w:p>
          <w:p>
            <w:pPr>
              <w:pStyle w:val="TableParagraph"/>
              <w:ind w:left="412" w:right="126" w:hanging="286"/>
              <w:rPr>
                <w:sz w:val="16"/>
              </w:rPr>
            </w:pPr>
            <w:r>
              <w:rPr>
                <w:sz w:val="16"/>
              </w:rPr>
              <w:t>Universidad del Bío-Bío</w:t>
            </w:r>
          </w:p>
        </w:tc>
        <w:tc>
          <w:tcPr>
            <w:tcW w:w="1008" w:type="dxa"/>
          </w:tcPr>
          <w:p>
            <w:pPr>
              <w:pStyle w:val="TableParagraph"/>
              <w:rPr>
                <w:b/>
                <w:sz w:val="16"/>
              </w:rPr>
            </w:pPr>
          </w:p>
          <w:p>
            <w:pPr>
              <w:pStyle w:val="TableParagraph"/>
              <w:rPr>
                <w:b/>
                <w:sz w:val="16"/>
              </w:rPr>
            </w:pPr>
          </w:p>
          <w:p>
            <w:pPr>
              <w:pStyle w:val="TableParagraph"/>
              <w:spacing w:before="8"/>
              <w:rPr>
                <w:b/>
                <w:sz w:val="19"/>
              </w:rPr>
            </w:pPr>
          </w:p>
          <w:p>
            <w:pPr>
              <w:pStyle w:val="TableParagraph"/>
              <w:ind w:left="65" w:right="65"/>
              <w:jc w:val="center"/>
              <w:rPr>
                <w:sz w:val="16"/>
              </w:rPr>
            </w:pPr>
            <w:r>
              <w:rPr>
                <w:sz w:val="16"/>
              </w:rPr>
              <w:t>Chile</w:t>
            </w:r>
          </w:p>
        </w:tc>
        <w:tc>
          <w:tcPr>
            <w:tcW w:w="989" w:type="dxa"/>
          </w:tcPr>
          <w:p>
            <w:pPr/>
          </w:p>
        </w:tc>
        <w:tc>
          <w:tcPr>
            <w:tcW w:w="946" w:type="dxa"/>
          </w:tcPr>
          <w:p>
            <w:pPr/>
          </w:p>
        </w:tc>
      </w:tr>
      <w:tr>
        <w:trPr>
          <w:trHeight w:val="847"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93"/>
              <w:ind w:left="278" w:right="278"/>
              <w:jc w:val="center"/>
              <w:rPr>
                <w:b/>
                <w:sz w:val="16"/>
              </w:rPr>
            </w:pPr>
            <w:r>
              <w:rPr>
                <w:b/>
                <w:sz w:val="16"/>
              </w:rPr>
              <w:t>29</w:t>
            </w:r>
          </w:p>
        </w:tc>
        <w:tc>
          <w:tcPr>
            <w:tcW w:w="1474" w:type="dxa"/>
          </w:tcPr>
          <w:p>
            <w:pPr>
              <w:pStyle w:val="TableParagraph"/>
              <w:rPr>
                <w:b/>
                <w:sz w:val="16"/>
              </w:rPr>
            </w:pPr>
          </w:p>
          <w:p>
            <w:pPr>
              <w:pStyle w:val="TableParagraph"/>
              <w:spacing w:before="94"/>
              <w:ind w:left="124" w:right="125" w:firstLine="2"/>
              <w:jc w:val="center"/>
              <w:rPr>
                <w:sz w:val="16"/>
              </w:rPr>
            </w:pPr>
            <w:r>
              <w:rPr>
                <w:sz w:val="16"/>
              </w:rPr>
              <w:t>Francisco Sabatin/Federico Arenas</w:t>
            </w:r>
          </w:p>
        </w:tc>
        <w:tc>
          <w:tcPr>
            <w:tcW w:w="1244" w:type="dxa"/>
          </w:tcPr>
          <w:p>
            <w:pPr>
              <w:pStyle w:val="TableParagraph"/>
              <w:rPr>
                <w:b/>
                <w:sz w:val="16"/>
              </w:rPr>
            </w:pPr>
          </w:p>
          <w:p>
            <w:pPr>
              <w:pStyle w:val="TableParagraph"/>
              <w:spacing w:before="94"/>
              <w:ind w:left="144" w:right="142"/>
              <w:jc w:val="center"/>
              <w:rPr>
                <w:sz w:val="16"/>
              </w:rPr>
            </w:pPr>
            <w:r>
              <w:rPr>
                <w:sz w:val="16"/>
              </w:rPr>
              <w:t>Universidad Católica de Chile</w:t>
            </w:r>
          </w:p>
        </w:tc>
        <w:tc>
          <w:tcPr>
            <w:tcW w:w="1030" w:type="dxa"/>
          </w:tcPr>
          <w:p>
            <w:pPr>
              <w:pStyle w:val="TableParagraph"/>
              <w:rPr>
                <w:b/>
                <w:sz w:val="16"/>
              </w:rPr>
            </w:pPr>
          </w:p>
          <w:p>
            <w:pPr>
              <w:pStyle w:val="TableParagraph"/>
              <w:rPr>
                <w:b/>
                <w:sz w:val="16"/>
              </w:rPr>
            </w:pPr>
          </w:p>
          <w:p>
            <w:pPr>
              <w:pStyle w:val="TableParagraph"/>
              <w:rPr>
                <w:b/>
                <w:sz w:val="16"/>
              </w:rPr>
            </w:pPr>
          </w:p>
          <w:p>
            <w:pPr>
              <w:pStyle w:val="TableParagraph"/>
              <w:spacing w:before="95"/>
              <w:ind w:left="326"/>
              <w:rPr>
                <w:sz w:val="16"/>
              </w:rPr>
            </w:pPr>
            <w:r>
              <w:rPr>
                <w:sz w:val="16"/>
              </w:rPr>
              <w:t>Chile</w:t>
            </w:r>
          </w:p>
        </w:tc>
        <w:tc>
          <w:tcPr>
            <w:tcW w:w="1368" w:type="dxa"/>
          </w:tcPr>
          <w:p>
            <w:pPr>
              <w:pStyle w:val="TableParagraph"/>
              <w:rPr>
                <w:b/>
                <w:sz w:val="16"/>
              </w:rPr>
            </w:pPr>
          </w:p>
          <w:p>
            <w:pPr>
              <w:pStyle w:val="TableParagraph"/>
              <w:rPr>
                <w:b/>
                <w:sz w:val="16"/>
              </w:rPr>
            </w:pPr>
          </w:p>
          <w:p>
            <w:pPr>
              <w:pStyle w:val="TableParagraph"/>
              <w:spacing w:before="94"/>
              <w:ind w:left="74" w:right="55" w:firstLine="182"/>
              <w:rPr>
                <w:sz w:val="16"/>
              </w:rPr>
            </w:pPr>
            <w:r>
              <w:rPr>
                <w:sz w:val="16"/>
              </w:rPr>
              <w:t>Universidad Católica de Chile</w:t>
            </w:r>
          </w:p>
        </w:tc>
        <w:tc>
          <w:tcPr>
            <w:tcW w:w="1008" w:type="dxa"/>
          </w:tcPr>
          <w:p>
            <w:pPr>
              <w:pStyle w:val="TableParagraph"/>
              <w:rPr>
                <w:b/>
                <w:sz w:val="16"/>
              </w:rPr>
            </w:pPr>
          </w:p>
          <w:p>
            <w:pPr>
              <w:pStyle w:val="TableParagraph"/>
              <w:rPr>
                <w:b/>
                <w:sz w:val="16"/>
              </w:rPr>
            </w:pPr>
          </w:p>
          <w:p>
            <w:pPr>
              <w:pStyle w:val="TableParagraph"/>
              <w:rPr>
                <w:b/>
                <w:sz w:val="16"/>
              </w:rPr>
            </w:pPr>
          </w:p>
          <w:p>
            <w:pPr>
              <w:pStyle w:val="TableParagraph"/>
              <w:spacing w:before="95"/>
              <w:ind w:left="65" w:right="65"/>
              <w:jc w:val="center"/>
              <w:rPr>
                <w:sz w:val="16"/>
              </w:rPr>
            </w:pPr>
            <w:r>
              <w:rPr>
                <w:sz w:val="16"/>
              </w:rPr>
              <w:t>Chile</w:t>
            </w:r>
          </w:p>
        </w:tc>
        <w:tc>
          <w:tcPr>
            <w:tcW w:w="989" w:type="dxa"/>
          </w:tcPr>
          <w:p>
            <w:pPr>
              <w:pStyle w:val="TableParagraph"/>
              <w:rPr>
                <w:b/>
                <w:sz w:val="16"/>
              </w:rPr>
            </w:pPr>
          </w:p>
          <w:p>
            <w:pPr>
              <w:pStyle w:val="TableParagraph"/>
              <w:rPr>
                <w:b/>
                <w:sz w:val="16"/>
              </w:rPr>
            </w:pPr>
          </w:p>
          <w:p>
            <w:pPr>
              <w:pStyle w:val="TableParagraph"/>
              <w:rPr>
                <w:b/>
                <w:sz w:val="16"/>
              </w:rPr>
            </w:pPr>
          </w:p>
          <w:p>
            <w:pPr>
              <w:pStyle w:val="TableParagraph"/>
              <w:spacing w:before="95"/>
              <w:ind w:right="135"/>
              <w:jc w:val="right"/>
              <w:rPr>
                <w:sz w:val="16"/>
              </w:rPr>
            </w:pPr>
            <w:r>
              <w:rPr>
                <w:sz w:val="16"/>
              </w:rPr>
              <w:t>Sociólogo</w:t>
            </w:r>
          </w:p>
        </w:tc>
        <w:tc>
          <w:tcPr>
            <w:tcW w:w="946" w:type="dxa"/>
          </w:tcPr>
          <w:p>
            <w:pPr>
              <w:pStyle w:val="TableParagraph"/>
              <w:rPr>
                <w:b/>
                <w:sz w:val="16"/>
              </w:rPr>
            </w:pPr>
          </w:p>
          <w:p>
            <w:pPr>
              <w:pStyle w:val="TableParagraph"/>
              <w:rPr>
                <w:b/>
                <w:sz w:val="16"/>
              </w:rPr>
            </w:pPr>
          </w:p>
          <w:p>
            <w:pPr>
              <w:pStyle w:val="TableParagraph"/>
              <w:rPr>
                <w:b/>
                <w:sz w:val="16"/>
              </w:rPr>
            </w:pPr>
          </w:p>
          <w:p>
            <w:pPr>
              <w:pStyle w:val="TableParagraph"/>
              <w:spacing w:before="95"/>
              <w:ind w:left="88"/>
              <w:rPr>
                <w:sz w:val="16"/>
              </w:rPr>
            </w:pPr>
            <w:r>
              <w:rPr>
                <w:sz w:val="16"/>
              </w:rPr>
              <w:t>Geoógrafo</w:t>
            </w:r>
          </w:p>
        </w:tc>
      </w:tr>
      <w:tr>
        <w:trPr>
          <w:trHeight w:val="847" w:hRule="exact"/>
        </w:trPr>
        <w:tc>
          <w:tcPr>
            <w:tcW w:w="785" w:type="dxa"/>
          </w:tcPr>
          <w:p>
            <w:pPr>
              <w:pStyle w:val="TableParagraph"/>
              <w:rPr>
                <w:b/>
                <w:sz w:val="16"/>
              </w:rPr>
            </w:pPr>
          </w:p>
          <w:p>
            <w:pPr>
              <w:pStyle w:val="TableParagraph"/>
              <w:rPr>
                <w:b/>
                <w:sz w:val="16"/>
              </w:rPr>
            </w:pPr>
          </w:p>
          <w:p>
            <w:pPr>
              <w:pStyle w:val="TableParagraph"/>
              <w:rPr>
                <w:b/>
                <w:sz w:val="16"/>
              </w:rPr>
            </w:pPr>
          </w:p>
          <w:p>
            <w:pPr>
              <w:pStyle w:val="TableParagraph"/>
              <w:spacing w:before="93"/>
              <w:ind w:left="278" w:right="278"/>
              <w:jc w:val="center"/>
              <w:rPr>
                <w:b/>
                <w:sz w:val="16"/>
              </w:rPr>
            </w:pPr>
            <w:r>
              <w:rPr>
                <w:b/>
                <w:sz w:val="16"/>
              </w:rPr>
              <w:t>30</w:t>
            </w:r>
          </w:p>
        </w:tc>
        <w:tc>
          <w:tcPr>
            <w:tcW w:w="1474" w:type="dxa"/>
          </w:tcPr>
          <w:p>
            <w:pPr>
              <w:pStyle w:val="TableParagraph"/>
              <w:rPr>
                <w:b/>
                <w:sz w:val="16"/>
              </w:rPr>
            </w:pPr>
          </w:p>
          <w:p>
            <w:pPr>
              <w:pStyle w:val="TableParagraph"/>
              <w:rPr>
                <w:b/>
                <w:sz w:val="16"/>
              </w:rPr>
            </w:pPr>
          </w:p>
          <w:p>
            <w:pPr>
              <w:pStyle w:val="TableParagraph"/>
              <w:rPr>
                <w:b/>
                <w:sz w:val="16"/>
              </w:rPr>
            </w:pPr>
          </w:p>
          <w:p>
            <w:pPr>
              <w:pStyle w:val="TableParagraph"/>
              <w:spacing w:before="95"/>
              <w:ind w:left="48" w:right="49"/>
              <w:jc w:val="center"/>
              <w:rPr>
                <w:sz w:val="16"/>
              </w:rPr>
            </w:pPr>
            <w:r>
              <w:rPr>
                <w:sz w:val="16"/>
              </w:rPr>
              <w:t>Ricardo Méndez</w:t>
            </w:r>
          </w:p>
        </w:tc>
        <w:tc>
          <w:tcPr>
            <w:tcW w:w="1244" w:type="dxa"/>
          </w:tcPr>
          <w:p>
            <w:pPr>
              <w:pStyle w:val="TableParagraph"/>
              <w:rPr>
                <w:b/>
                <w:sz w:val="16"/>
              </w:rPr>
            </w:pPr>
          </w:p>
          <w:p>
            <w:pPr>
              <w:pStyle w:val="TableParagraph"/>
              <w:spacing w:before="94"/>
              <w:ind w:left="192" w:right="191" w:firstLine="31"/>
              <w:jc w:val="both"/>
              <w:rPr>
                <w:sz w:val="16"/>
              </w:rPr>
            </w:pPr>
            <w:r>
              <w:rPr>
                <w:sz w:val="16"/>
              </w:rPr>
              <w:t>Instituto de Economía y Geografía</w:t>
            </w:r>
          </w:p>
        </w:tc>
        <w:tc>
          <w:tcPr>
            <w:tcW w:w="1030" w:type="dxa"/>
          </w:tcPr>
          <w:p>
            <w:pPr>
              <w:pStyle w:val="TableParagraph"/>
              <w:rPr>
                <w:b/>
                <w:sz w:val="16"/>
              </w:rPr>
            </w:pPr>
          </w:p>
          <w:p>
            <w:pPr>
              <w:pStyle w:val="TableParagraph"/>
              <w:rPr>
                <w:b/>
                <w:sz w:val="16"/>
              </w:rPr>
            </w:pPr>
          </w:p>
          <w:p>
            <w:pPr>
              <w:pStyle w:val="TableParagraph"/>
              <w:rPr>
                <w:b/>
                <w:sz w:val="16"/>
              </w:rPr>
            </w:pPr>
          </w:p>
          <w:p>
            <w:pPr>
              <w:pStyle w:val="TableParagraph"/>
              <w:spacing w:before="95"/>
              <w:ind w:left="237"/>
              <w:rPr>
                <w:sz w:val="16"/>
              </w:rPr>
            </w:pPr>
            <w:r>
              <w:rPr>
                <w:sz w:val="16"/>
              </w:rPr>
              <w:t>España</w:t>
            </w:r>
          </w:p>
        </w:tc>
        <w:tc>
          <w:tcPr>
            <w:tcW w:w="1368" w:type="dxa"/>
          </w:tcPr>
          <w:p>
            <w:pPr/>
          </w:p>
        </w:tc>
        <w:tc>
          <w:tcPr>
            <w:tcW w:w="1008" w:type="dxa"/>
          </w:tcPr>
          <w:p>
            <w:pPr/>
          </w:p>
        </w:tc>
        <w:tc>
          <w:tcPr>
            <w:tcW w:w="989" w:type="dxa"/>
          </w:tcPr>
          <w:p>
            <w:pPr/>
          </w:p>
        </w:tc>
        <w:tc>
          <w:tcPr>
            <w:tcW w:w="946" w:type="dxa"/>
          </w:tcPr>
          <w:p>
            <w:pPr/>
          </w:p>
        </w:tc>
      </w:tr>
    </w:tbl>
    <w:p>
      <w:pPr>
        <w:pStyle w:val="BodyText"/>
        <w:rPr>
          <w:b/>
          <w:sz w:val="20"/>
        </w:rPr>
      </w:pPr>
    </w:p>
    <w:p>
      <w:pPr>
        <w:pStyle w:val="BodyText"/>
        <w:rPr>
          <w:b/>
          <w:sz w:val="20"/>
        </w:rPr>
      </w:pPr>
    </w:p>
    <w:p>
      <w:pPr>
        <w:pStyle w:val="BodyText"/>
        <w:rPr>
          <w:b/>
          <w:sz w:val="20"/>
        </w:rPr>
      </w:pPr>
    </w:p>
    <w:p>
      <w:pPr>
        <w:pStyle w:val="BodyText"/>
        <w:spacing w:before="8"/>
        <w:rPr>
          <w:b/>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62"/>
        <w:gridCol w:w="7962"/>
      </w:tblGrid>
      <w:tr>
        <w:trPr>
          <w:trHeight w:val="312" w:hRule="exact"/>
        </w:trPr>
        <w:tc>
          <w:tcPr>
            <w:tcW w:w="862" w:type="dxa"/>
          </w:tcPr>
          <w:p>
            <w:pPr/>
          </w:p>
        </w:tc>
        <w:tc>
          <w:tcPr>
            <w:tcW w:w="7962" w:type="dxa"/>
          </w:tcPr>
          <w:p>
            <w:pPr>
              <w:pStyle w:val="TableParagraph"/>
              <w:spacing w:before="22"/>
              <w:ind w:left="1327" w:right="43"/>
              <w:rPr>
                <w:b/>
                <w:sz w:val="24"/>
              </w:rPr>
            </w:pPr>
            <w:r>
              <w:rPr>
                <w:b/>
                <w:sz w:val="24"/>
              </w:rPr>
              <w:t>Sección 2. Objeto de investigación (variable 1)</w:t>
            </w:r>
          </w:p>
        </w:tc>
      </w:tr>
      <w:tr>
        <w:trPr>
          <w:trHeight w:val="310" w:hRule="exact"/>
        </w:trPr>
        <w:tc>
          <w:tcPr>
            <w:tcW w:w="862" w:type="dxa"/>
            <w:vMerge w:val="restart"/>
          </w:tcPr>
          <w:p>
            <w:pPr>
              <w:pStyle w:val="TableParagraph"/>
              <w:ind w:left="124" w:right="124"/>
              <w:jc w:val="center"/>
              <w:rPr>
                <w:sz w:val="18"/>
              </w:rPr>
            </w:pPr>
            <w:r>
              <w:rPr>
                <w:sz w:val="18"/>
              </w:rPr>
              <w:t>Unidad de análisis</w:t>
            </w:r>
          </w:p>
        </w:tc>
        <w:tc>
          <w:tcPr>
            <w:tcW w:w="7962" w:type="dxa"/>
          </w:tcPr>
          <w:p>
            <w:pPr>
              <w:pStyle w:val="TableParagraph"/>
              <w:spacing w:before="88"/>
              <w:ind w:left="2836" w:right="2786"/>
              <w:jc w:val="center"/>
              <w:rPr>
                <w:b/>
                <w:sz w:val="18"/>
              </w:rPr>
            </w:pPr>
            <w:r>
              <w:rPr>
                <w:b/>
                <w:sz w:val="18"/>
              </w:rPr>
              <w:t>variable 1</w:t>
            </w:r>
          </w:p>
        </w:tc>
      </w:tr>
      <w:tr>
        <w:trPr>
          <w:trHeight w:val="322" w:hRule="exact"/>
        </w:trPr>
        <w:tc>
          <w:tcPr>
            <w:tcW w:w="862" w:type="dxa"/>
            <w:vMerge/>
          </w:tcPr>
          <w:p>
            <w:pPr/>
          </w:p>
        </w:tc>
        <w:tc>
          <w:tcPr>
            <w:tcW w:w="7962" w:type="dxa"/>
          </w:tcPr>
          <w:p>
            <w:pPr>
              <w:pStyle w:val="TableParagraph"/>
              <w:spacing w:before="100"/>
              <w:ind w:left="2836" w:right="2836"/>
              <w:jc w:val="center"/>
              <w:rPr>
                <w:b/>
                <w:sz w:val="18"/>
              </w:rPr>
            </w:pPr>
            <w:r>
              <w:rPr>
                <w:b/>
                <w:sz w:val="18"/>
              </w:rPr>
              <w:t>Pregunta de investigación</w:t>
            </w:r>
          </w:p>
        </w:tc>
      </w:tr>
      <w:tr>
        <w:trPr>
          <w:trHeight w:val="494" w:hRule="exact"/>
        </w:trPr>
        <w:tc>
          <w:tcPr>
            <w:tcW w:w="862" w:type="dxa"/>
          </w:tcPr>
          <w:p>
            <w:pPr>
              <w:pStyle w:val="TableParagraph"/>
              <w:spacing w:before="10"/>
              <w:rPr>
                <w:b/>
                <w:sz w:val="23"/>
              </w:rPr>
            </w:pPr>
          </w:p>
          <w:p>
            <w:pPr>
              <w:pStyle w:val="TableParagraph"/>
              <w:ind w:right="1"/>
              <w:jc w:val="center"/>
              <w:rPr>
                <w:sz w:val="18"/>
              </w:rPr>
            </w:pPr>
            <w:r>
              <w:rPr>
                <w:w w:val="99"/>
                <w:sz w:val="18"/>
              </w:rPr>
              <w:t>1</w:t>
            </w:r>
          </w:p>
        </w:tc>
        <w:tc>
          <w:tcPr>
            <w:tcW w:w="7962" w:type="dxa"/>
          </w:tcPr>
          <w:p>
            <w:pPr>
              <w:pStyle w:val="TableParagraph"/>
              <w:spacing w:before="68"/>
              <w:ind w:left="64" w:right="43"/>
              <w:rPr>
                <w:sz w:val="18"/>
              </w:rPr>
            </w:pPr>
            <w:r>
              <w:rPr>
                <w:sz w:val="18"/>
              </w:rPr>
              <w:t>¿Cuáles son los factores que causan la segregación residencial, y cuál la relación entre desigualdades y segregación?</w:t>
            </w:r>
          </w:p>
        </w:tc>
      </w:tr>
      <w:tr>
        <w:trPr>
          <w:trHeight w:val="415" w:hRule="exact"/>
        </w:trPr>
        <w:tc>
          <w:tcPr>
            <w:tcW w:w="862" w:type="dxa"/>
          </w:tcPr>
          <w:p>
            <w:pPr>
              <w:pStyle w:val="TableParagraph"/>
              <w:spacing w:before="2"/>
              <w:rPr>
                <w:b/>
                <w:sz w:val="17"/>
              </w:rPr>
            </w:pPr>
          </w:p>
          <w:p>
            <w:pPr>
              <w:pStyle w:val="TableParagraph"/>
              <w:spacing w:before="1"/>
              <w:ind w:right="1"/>
              <w:jc w:val="center"/>
              <w:rPr>
                <w:sz w:val="18"/>
              </w:rPr>
            </w:pPr>
            <w:r>
              <w:rPr>
                <w:w w:val="99"/>
                <w:sz w:val="18"/>
              </w:rPr>
              <w:t>2</w:t>
            </w:r>
          </w:p>
        </w:tc>
        <w:tc>
          <w:tcPr>
            <w:tcW w:w="7962" w:type="dxa"/>
          </w:tcPr>
          <w:p>
            <w:pPr>
              <w:pStyle w:val="TableParagraph"/>
              <w:spacing w:before="2"/>
              <w:rPr>
                <w:b/>
                <w:sz w:val="17"/>
              </w:rPr>
            </w:pPr>
          </w:p>
          <w:p>
            <w:pPr>
              <w:pStyle w:val="TableParagraph"/>
              <w:spacing w:before="1"/>
              <w:ind w:left="64" w:right="43"/>
              <w:rPr>
                <w:sz w:val="18"/>
              </w:rPr>
            </w:pPr>
            <w:r>
              <w:rPr>
                <w:sz w:val="18"/>
              </w:rPr>
              <w:t>Sin pregunta</w:t>
            </w:r>
          </w:p>
        </w:tc>
      </w:tr>
      <w:tr>
        <w:trPr>
          <w:trHeight w:val="281" w:hRule="exact"/>
        </w:trPr>
        <w:tc>
          <w:tcPr>
            <w:tcW w:w="862" w:type="dxa"/>
          </w:tcPr>
          <w:p>
            <w:pPr>
              <w:pStyle w:val="TableParagraph"/>
              <w:spacing w:before="61"/>
              <w:ind w:right="1"/>
              <w:jc w:val="center"/>
              <w:rPr>
                <w:sz w:val="18"/>
              </w:rPr>
            </w:pPr>
            <w:r>
              <w:rPr>
                <w:w w:val="99"/>
                <w:sz w:val="18"/>
              </w:rPr>
              <w:t>3</w:t>
            </w:r>
          </w:p>
        </w:tc>
        <w:tc>
          <w:tcPr>
            <w:tcW w:w="7962" w:type="dxa"/>
          </w:tcPr>
          <w:p>
            <w:pPr>
              <w:pStyle w:val="TableParagraph"/>
              <w:spacing w:before="61"/>
              <w:ind w:left="64" w:right="43"/>
              <w:rPr>
                <w:sz w:val="18"/>
              </w:rPr>
            </w:pPr>
            <w:r>
              <w:rPr>
                <w:sz w:val="18"/>
              </w:rPr>
              <w:t>¿Cuál es la nueva estructura de la ciudad latinoamericana?</w:t>
            </w:r>
          </w:p>
        </w:tc>
      </w:tr>
      <w:tr>
        <w:trPr>
          <w:trHeight w:val="250" w:hRule="exact"/>
        </w:trPr>
        <w:tc>
          <w:tcPr>
            <w:tcW w:w="862" w:type="dxa"/>
          </w:tcPr>
          <w:p>
            <w:pPr>
              <w:pStyle w:val="TableParagraph"/>
              <w:spacing w:before="32"/>
              <w:ind w:right="1"/>
              <w:jc w:val="center"/>
              <w:rPr>
                <w:sz w:val="18"/>
              </w:rPr>
            </w:pPr>
            <w:r>
              <w:rPr>
                <w:w w:val="99"/>
                <w:sz w:val="18"/>
              </w:rPr>
              <w:t>4</w:t>
            </w:r>
          </w:p>
        </w:tc>
        <w:tc>
          <w:tcPr>
            <w:tcW w:w="7962" w:type="dxa"/>
          </w:tcPr>
          <w:p>
            <w:pPr>
              <w:pStyle w:val="TableParagraph"/>
              <w:spacing w:before="32"/>
              <w:ind w:left="64" w:right="43"/>
              <w:rPr>
                <w:sz w:val="18"/>
              </w:rPr>
            </w:pPr>
            <w:r>
              <w:rPr>
                <w:sz w:val="18"/>
              </w:rPr>
              <w:t>Sin pregunta</w:t>
            </w:r>
          </w:p>
        </w:tc>
      </w:tr>
      <w:tr>
        <w:trPr>
          <w:trHeight w:val="317" w:hRule="exact"/>
        </w:trPr>
        <w:tc>
          <w:tcPr>
            <w:tcW w:w="862" w:type="dxa"/>
          </w:tcPr>
          <w:p>
            <w:pPr>
              <w:pStyle w:val="TableParagraph"/>
              <w:spacing w:before="100"/>
              <w:ind w:right="1"/>
              <w:jc w:val="center"/>
              <w:rPr>
                <w:sz w:val="18"/>
              </w:rPr>
            </w:pPr>
            <w:r>
              <w:rPr>
                <w:w w:val="99"/>
                <w:sz w:val="18"/>
              </w:rPr>
              <w:t>5</w:t>
            </w:r>
          </w:p>
        </w:tc>
        <w:tc>
          <w:tcPr>
            <w:tcW w:w="7962" w:type="dxa"/>
          </w:tcPr>
          <w:p>
            <w:pPr>
              <w:pStyle w:val="TableParagraph"/>
              <w:spacing w:before="100"/>
              <w:ind w:left="64" w:right="43"/>
              <w:rPr>
                <w:sz w:val="18"/>
              </w:rPr>
            </w:pPr>
            <w:r>
              <w:rPr>
                <w:sz w:val="18"/>
              </w:rPr>
              <w:t>Sin pregunta</w:t>
            </w:r>
          </w:p>
        </w:tc>
      </w:tr>
      <w:tr>
        <w:trPr>
          <w:trHeight w:val="252" w:hRule="exact"/>
        </w:trPr>
        <w:tc>
          <w:tcPr>
            <w:tcW w:w="862" w:type="dxa"/>
          </w:tcPr>
          <w:p>
            <w:pPr>
              <w:pStyle w:val="TableParagraph"/>
              <w:spacing w:before="35"/>
              <w:ind w:right="1"/>
              <w:jc w:val="center"/>
              <w:rPr>
                <w:sz w:val="18"/>
              </w:rPr>
            </w:pPr>
            <w:r>
              <w:rPr>
                <w:w w:val="99"/>
                <w:sz w:val="18"/>
              </w:rPr>
              <w:t>6</w:t>
            </w:r>
          </w:p>
        </w:tc>
        <w:tc>
          <w:tcPr>
            <w:tcW w:w="7962" w:type="dxa"/>
          </w:tcPr>
          <w:p>
            <w:pPr>
              <w:pStyle w:val="TableParagraph"/>
              <w:spacing w:before="35"/>
              <w:ind w:left="64" w:right="43"/>
              <w:rPr>
                <w:sz w:val="18"/>
              </w:rPr>
            </w:pPr>
            <w:r>
              <w:rPr>
                <w:sz w:val="18"/>
              </w:rPr>
              <w:t>Sin pregunta</w:t>
            </w:r>
          </w:p>
        </w:tc>
      </w:tr>
    </w:tbl>
    <w:p>
      <w:pPr>
        <w:spacing w:after="0"/>
        <w:rPr>
          <w:sz w:val="18"/>
        </w:rPr>
        <w:sectPr>
          <w:pgSz w:w="12240" w:h="15840"/>
          <w:pgMar w:header="0" w:footer="629" w:top="142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62"/>
        <w:gridCol w:w="7962"/>
      </w:tblGrid>
      <w:tr>
        <w:trPr>
          <w:trHeight w:val="312" w:hRule="exact"/>
        </w:trPr>
        <w:tc>
          <w:tcPr>
            <w:tcW w:w="862" w:type="dxa"/>
          </w:tcPr>
          <w:p>
            <w:pPr/>
          </w:p>
        </w:tc>
        <w:tc>
          <w:tcPr>
            <w:tcW w:w="7962" w:type="dxa"/>
          </w:tcPr>
          <w:p>
            <w:pPr>
              <w:pStyle w:val="TableParagraph"/>
              <w:spacing w:before="18"/>
              <w:ind w:left="1327" w:right="43"/>
              <w:rPr>
                <w:b/>
                <w:sz w:val="24"/>
              </w:rPr>
            </w:pPr>
            <w:r>
              <w:rPr>
                <w:b/>
                <w:sz w:val="24"/>
              </w:rPr>
              <w:t>Sección 2. Objeto de investigación (variable 1)</w:t>
            </w:r>
          </w:p>
        </w:tc>
      </w:tr>
      <w:tr>
        <w:trPr>
          <w:trHeight w:val="312" w:hRule="exact"/>
        </w:trPr>
        <w:tc>
          <w:tcPr>
            <w:tcW w:w="862" w:type="dxa"/>
            <w:vMerge w:val="restart"/>
          </w:tcPr>
          <w:p>
            <w:pPr>
              <w:pStyle w:val="TableParagraph"/>
              <w:ind w:left="124" w:right="124"/>
              <w:jc w:val="center"/>
              <w:rPr>
                <w:sz w:val="18"/>
              </w:rPr>
            </w:pPr>
            <w:r>
              <w:rPr>
                <w:sz w:val="18"/>
              </w:rPr>
              <w:t>Unidad de análisis</w:t>
            </w:r>
          </w:p>
        </w:tc>
        <w:tc>
          <w:tcPr>
            <w:tcW w:w="7962" w:type="dxa"/>
          </w:tcPr>
          <w:p>
            <w:pPr>
              <w:pStyle w:val="TableParagraph"/>
              <w:spacing w:before="84"/>
              <w:ind w:left="2836" w:right="2786"/>
              <w:jc w:val="center"/>
              <w:rPr>
                <w:b/>
                <w:sz w:val="18"/>
              </w:rPr>
            </w:pPr>
            <w:r>
              <w:rPr>
                <w:b/>
                <w:sz w:val="18"/>
              </w:rPr>
              <w:t>variable 1</w:t>
            </w:r>
          </w:p>
        </w:tc>
      </w:tr>
      <w:tr>
        <w:trPr>
          <w:trHeight w:val="319" w:hRule="exact"/>
        </w:trPr>
        <w:tc>
          <w:tcPr>
            <w:tcW w:w="862" w:type="dxa"/>
            <w:vMerge/>
          </w:tcPr>
          <w:p>
            <w:pPr/>
          </w:p>
        </w:tc>
        <w:tc>
          <w:tcPr>
            <w:tcW w:w="7962" w:type="dxa"/>
          </w:tcPr>
          <w:p>
            <w:pPr>
              <w:pStyle w:val="TableParagraph"/>
              <w:spacing w:before="93"/>
              <w:ind w:left="2836" w:right="2836"/>
              <w:jc w:val="center"/>
              <w:rPr>
                <w:b/>
                <w:sz w:val="18"/>
              </w:rPr>
            </w:pPr>
            <w:r>
              <w:rPr>
                <w:b/>
                <w:sz w:val="18"/>
              </w:rPr>
              <w:t>Pregunta de investigación</w:t>
            </w:r>
          </w:p>
        </w:tc>
      </w:tr>
      <w:tr>
        <w:trPr>
          <w:trHeight w:val="250" w:hRule="exact"/>
        </w:trPr>
        <w:tc>
          <w:tcPr>
            <w:tcW w:w="862" w:type="dxa"/>
          </w:tcPr>
          <w:p>
            <w:pPr>
              <w:pStyle w:val="TableParagraph"/>
              <w:spacing w:before="28"/>
              <w:ind w:left="374"/>
              <w:rPr>
                <w:sz w:val="18"/>
              </w:rPr>
            </w:pPr>
            <w:r>
              <w:rPr>
                <w:w w:val="99"/>
                <w:sz w:val="18"/>
              </w:rPr>
              <w:t>7</w:t>
            </w:r>
          </w:p>
        </w:tc>
        <w:tc>
          <w:tcPr>
            <w:tcW w:w="7962" w:type="dxa"/>
          </w:tcPr>
          <w:p>
            <w:pPr>
              <w:pStyle w:val="TableParagraph"/>
              <w:spacing w:before="28"/>
              <w:ind w:left="64" w:right="43"/>
              <w:rPr>
                <w:sz w:val="18"/>
              </w:rPr>
            </w:pPr>
            <w:r>
              <w:rPr>
                <w:sz w:val="18"/>
              </w:rPr>
              <w:t>Sin pregunta</w:t>
            </w:r>
          </w:p>
        </w:tc>
      </w:tr>
      <w:tr>
        <w:trPr>
          <w:trHeight w:val="252" w:hRule="exact"/>
        </w:trPr>
        <w:tc>
          <w:tcPr>
            <w:tcW w:w="862" w:type="dxa"/>
          </w:tcPr>
          <w:p>
            <w:pPr>
              <w:pStyle w:val="TableParagraph"/>
              <w:spacing w:before="31"/>
              <w:ind w:left="374"/>
              <w:rPr>
                <w:sz w:val="18"/>
              </w:rPr>
            </w:pPr>
            <w:r>
              <w:rPr>
                <w:w w:val="99"/>
                <w:sz w:val="18"/>
              </w:rPr>
              <w:t>8</w:t>
            </w:r>
          </w:p>
        </w:tc>
        <w:tc>
          <w:tcPr>
            <w:tcW w:w="7962" w:type="dxa"/>
          </w:tcPr>
          <w:p>
            <w:pPr>
              <w:pStyle w:val="TableParagraph"/>
              <w:spacing w:before="31"/>
              <w:ind w:left="64" w:right="43"/>
              <w:rPr>
                <w:sz w:val="18"/>
              </w:rPr>
            </w:pPr>
            <w:r>
              <w:rPr>
                <w:sz w:val="18"/>
              </w:rPr>
              <w:t>Sin pregunta</w:t>
            </w:r>
          </w:p>
        </w:tc>
      </w:tr>
      <w:tr>
        <w:trPr>
          <w:trHeight w:val="732" w:hRule="exact"/>
        </w:trPr>
        <w:tc>
          <w:tcPr>
            <w:tcW w:w="862" w:type="dxa"/>
          </w:tcPr>
          <w:p>
            <w:pPr>
              <w:pStyle w:val="TableParagraph"/>
              <w:rPr>
                <w:b/>
                <w:sz w:val="18"/>
              </w:rPr>
            </w:pPr>
          </w:p>
          <w:p>
            <w:pPr>
              <w:pStyle w:val="TableParagraph"/>
              <w:spacing w:before="5"/>
              <w:rPr>
                <w:b/>
                <w:sz w:val="26"/>
              </w:rPr>
            </w:pPr>
          </w:p>
          <w:p>
            <w:pPr>
              <w:pStyle w:val="TableParagraph"/>
              <w:ind w:left="374"/>
              <w:rPr>
                <w:sz w:val="18"/>
              </w:rPr>
            </w:pPr>
            <w:r>
              <w:rPr>
                <w:w w:val="99"/>
                <w:sz w:val="18"/>
              </w:rPr>
              <w:t>9</w:t>
            </w:r>
          </w:p>
        </w:tc>
        <w:tc>
          <w:tcPr>
            <w:tcW w:w="7962" w:type="dxa"/>
          </w:tcPr>
          <w:p>
            <w:pPr>
              <w:pStyle w:val="TableParagraph"/>
              <w:spacing w:before="96"/>
              <w:ind w:left="64" w:right="120"/>
              <w:jc w:val="both"/>
              <w:rPr>
                <w:sz w:val="18"/>
              </w:rPr>
            </w:pPr>
            <w:r>
              <w:rPr>
                <w:sz w:val="18"/>
              </w:rPr>
              <w:t>El</w:t>
            </w:r>
            <w:r>
              <w:rPr>
                <w:spacing w:val="-3"/>
                <w:sz w:val="18"/>
              </w:rPr>
              <w:t> </w:t>
            </w:r>
            <w:r>
              <w:rPr>
                <w:sz w:val="18"/>
              </w:rPr>
              <w:t>objetivo</w:t>
            </w:r>
            <w:r>
              <w:rPr>
                <w:spacing w:val="-3"/>
                <w:sz w:val="18"/>
              </w:rPr>
              <w:t> </w:t>
            </w:r>
            <w:r>
              <w:rPr>
                <w:sz w:val="18"/>
              </w:rPr>
              <w:t>de</w:t>
            </w:r>
            <w:r>
              <w:rPr>
                <w:spacing w:val="-3"/>
                <w:sz w:val="18"/>
              </w:rPr>
              <w:t> </w:t>
            </w:r>
            <w:r>
              <w:rPr>
                <w:sz w:val="18"/>
              </w:rPr>
              <w:t>este</w:t>
            </w:r>
            <w:r>
              <w:rPr>
                <w:spacing w:val="-3"/>
                <w:sz w:val="18"/>
              </w:rPr>
              <w:t> </w:t>
            </w:r>
            <w:r>
              <w:rPr>
                <w:sz w:val="18"/>
              </w:rPr>
              <w:t>trabajo</w:t>
            </w:r>
            <w:r>
              <w:rPr>
                <w:spacing w:val="-3"/>
                <w:sz w:val="18"/>
              </w:rPr>
              <w:t> </w:t>
            </w:r>
            <w:r>
              <w:rPr>
                <w:sz w:val="18"/>
              </w:rPr>
              <w:t>es</w:t>
            </w:r>
            <w:r>
              <w:rPr>
                <w:spacing w:val="-4"/>
                <w:sz w:val="18"/>
              </w:rPr>
              <w:t> </w:t>
            </w:r>
            <w:r>
              <w:rPr>
                <w:sz w:val="18"/>
              </w:rPr>
              <w:t>analizar</w:t>
            </w:r>
            <w:r>
              <w:rPr>
                <w:spacing w:val="-3"/>
                <w:sz w:val="18"/>
              </w:rPr>
              <w:t> </w:t>
            </w:r>
            <w:r>
              <w:rPr>
                <w:sz w:val="18"/>
              </w:rPr>
              <w:t>la</w:t>
            </w:r>
            <w:r>
              <w:rPr>
                <w:spacing w:val="-5"/>
                <w:sz w:val="18"/>
              </w:rPr>
              <w:t> </w:t>
            </w:r>
            <w:r>
              <w:rPr>
                <w:sz w:val="18"/>
              </w:rPr>
              <w:t>magnitud</w:t>
            </w:r>
            <w:r>
              <w:rPr>
                <w:spacing w:val="-3"/>
                <w:sz w:val="18"/>
              </w:rPr>
              <w:t> </w:t>
            </w:r>
            <w:r>
              <w:rPr>
                <w:sz w:val="18"/>
              </w:rPr>
              <w:t>y</w:t>
            </w:r>
            <w:r>
              <w:rPr>
                <w:spacing w:val="-4"/>
                <w:sz w:val="18"/>
              </w:rPr>
              <w:t> </w:t>
            </w:r>
            <w:r>
              <w:rPr>
                <w:sz w:val="18"/>
              </w:rPr>
              <w:t>características</w:t>
            </w:r>
            <w:r>
              <w:rPr>
                <w:spacing w:val="-5"/>
                <w:sz w:val="18"/>
              </w:rPr>
              <w:t> </w:t>
            </w:r>
            <w:r>
              <w:rPr>
                <w:sz w:val="18"/>
              </w:rPr>
              <w:t>de</w:t>
            </w:r>
            <w:r>
              <w:rPr>
                <w:spacing w:val="-5"/>
                <w:sz w:val="18"/>
              </w:rPr>
              <w:t> </w:t>
            </w:r>
            <w:r>
              <w:rPr>
                <w:sz w:val="18"/>
              </w:rPr>
              <w:t>la</w:t>
            </w:r>
            <w:r>
              <w:rPr>
                <w:spacing w:val="-5"/>
                <w:sz w:val="18"/>
              </w:rPr>
              <w:t> </w:t>
            </w:r>
            <w:r>
              <w:rPr>
                <w:sz w:val="18"/>
              </w:rPr>
              <w:t>conmutación</w:t>
            </w:r>
            <w:r>
              <w:rPr>
                <w:spacing w:val="-3"/>
                <w:sz w:val="18"/>
              </w:rPr>
              <w:t> </w:t>
            </w:r>
            <w:r>
              <w:rPr>
                <w:sz w:val="18"/>
              </w:rPr>
              <w:t>regional</w:t>
            </w:r>
            <w:r>
              <w:rPr>
                <w:spacing w:val="-5"/>
                <w:sz w:val="18"/>
              </w:rPr>
              <w:t> </w:t>
            </w:r>
            <w:r>
              <w:rPr>
                <w:sz w:val="18"/>
              </w:rPr>
              <w:t>en Chile y evaluar su impacto en la economía de la Región de Antofagasta, situada al norte del país y caracterizada por sus altas tasas de recepción de commuters desde otras</w:t>
            </w:r>
            <w:r>
              <w:rPr>
                <w:spacing w:val="-28"/>
                <w:sz w:val="18"/>
              </w:rPr>
              <w:t> </w:t>
            </w:r>
            <w:r>
              <w:rPr>
                <w:sz w:val="18"/>
              </w:rPr>
              <w:t>regiones.</w:t>
            </w:r>
          </w:p>
        </w:tc>
      </w:tr>
      <w:tr>
        <w:trPr>
          <w:trHeight w:val="1213" w:hRule="exact"/>
        </w:trPr>
        <w:tc>
          <w:tcPr>
            <w:tcW w:w="862"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2"/>
              <w:rPr>
                <w:b/>
                <w:sz w:val="14"/>
              </w:rPr>
            </w:pPr>
          </w:p>
          <w:p>
            <w:pPr>
              <w:pStyle w:val="TableParagraph"/>
              <w:spacing w:before="1"/>
              <w:ind w:left="326"/>
              <w:rPr>
                <w:sz w:val="18"/>
              </w:rPr>
            </w:pPr>
            <w:r>
              <w:rPr>
                <w:sz w:val="18"/>
              </w:rPr>
              <w:t>10</w:t>
            </w:r>
          </w:p>
        </w:tc>
        <w:tc>
          <w:tcPr>
            <w:tcW w:w="7962" w:type="dxa"/>
          </w:tcPr>
          <w:p>
            <w:pPr>
              <w:pStyle w:val="TableParagraph"/>
              <w:spacing w:before="2"/>
              <w:rPr>
                <w:b/>
                <w:sz w:val="14"/>
              </w:rPr>
            </w:pPr>
          </w:p>
          <w:p>
            <w:pPr>
              <w:pStyle w:val="TableParagraph"/>
              <w:ind w:left="64" w:right="69"/>
              <w:jc w:val="both"/>
              <w:rPr>
                <w:sz w:val="18"/>
              </w:rPr>
            </w:pPr>
            <w:r>
              <w:rPr>
                <w:sz w:val="18"/>
              </w:rPr>
              <w:t>Influencia que ejercen los tres condicionantes anteriormente citados (actitud innovadora, integración en redes y utilización racional de los recursos) en la evolución de los territorios que podrían calificarse de inteligentes, considerando como tales a aquellos que, utilizando  sus propios recursos de una forma económica, ambiental y socialmente eficiente, consiguen generar verdaderos procesos de desarrollo territorial integrado</w:t>
            </w:r>
          </w:p>
        </w:tc>
      </w:tr>
      <w:tr>
        <w:trPr>
          <w:trHeight w:val="701" w:hRule="exact"/>
        </w:trPr>
        <w:tc>
          <w:tcPr>
            <w:tcW w:w="862" w:type="dxa"/>
          </w:tcPr>
          <w:p>
            <w:pPr>
              <w:pStyle w:val="TableParagraph"/>
              <w:rPr>
                <w:b/>
                <w:sz w:val="18"/>
              </w:rPr>
            </w:pPr>
          </w:p>
          <w:p>
            <w:pPr>
              <w:pStyle w:val="TableParagraph"/>
              <w:spacing w:before="8"/>
              <w:rPr>
                <w:b/>
                <w:sz w:val="23"/>
              </w:rPr>
            </w:pPr>
          </w:p>
          <w:p>
            <w:pPr>
              <w:pStyle w:val="TableParagraph"/>
              <w:ind w:left="326"/>
              <w:rPr>
                <w:sz w:val="18"/>
              </w:rPr>
            </w:pPr>
            <w:r>
              <w:rPr>
                <w:sz w:val="18"/>
              </w:rPr>
              <w:t>11</w:t>
            </w:r>
          </w:p>
        </w:tc>
        <w:tc>
          <w:tcPr>
            <w:tcW w:w="7962" w:type="dxa"/>
          </w:tcPr>
          <w:p>
            <w:pPr>
              <w:pStyle w:val="TableParagraph"/>
              <w:spacing w:before="64"/>
              <w:ind w:left="64" w:right="43"/>
              <w:rPr>
                <w:sz w:val="18"/>
              </w:rPr>
            </w:pPr>
            <w:r>
              <w:rPr>
                <w:sz w:val="18"/>
              </w:rPr>
              <w:t>Cómo ha ocurrido este proceso y cuál ha sido el comportamiento de las ciudades frente al crecimiento, ha motivado una preocupación cada vez mayor de cientistas sociales, arquitectos y geógrafos</w:t>
            </w:r>
          </w:p>
        </w:tc>
      </w:tr>
      <w:tr>
        <w:trPr>
          <w:trHeight w:val="252" w:hRule="exact"/>
        </w:trPr>
        <w:tc>
          <w:tcPr>
            <w:tcW w:w="862" w:type="dxa"/>
          </w:tcPr>
          <w:p>
            <w:pPr>
              <w:pStyle w:val="TableParagraph"/>
              <w:spacing w:before="28"/>
              <w:ind w:left="326"/>
              <w:rPr>
                <w:sz w:val="18"/>
              </w:rPr>
            </w:pPr>
            <w:r>
              <w:rPr>
                <w:sz w:val="18"/>
              </w:rPr>
              <w:t>12</w:t>
            </w:r>
          </w:p>
        </w:tc>
        <w:tc>
          <w:tcPr>
            <w:tcW w:w="7962" w:type="dxa"/>
          </w:tcPr>
          <w:p>
            <w:pPr>
              <w:pStyle w:val="TableParagraph"/>
              <w:spacing w:before="28"/>
              <w:ind w:left="64" w:right="43"/>
              <w:rPr>
                <w:sz w:val="18"/>
              </w:rPr>
            </w:pPr>
            <w:r>
              <w:rPr>
                <w:sz w:val="18"/>
              </w:rPr>
              <w:t>Sin pregunta</w:t>
            </w:r>
          </w:p>
        </w:tc>
      </w:tr>
      <w:tr>
        <w:trPr>
          <w:trHeight w:val="250" w:hRule="exact"/>
        </w:trPr>
        <w:tc>
          <w:tcPr>
            <w:tcW w:w="862" w:type="dxa"/>
          </w:tcPr>
          <w:p>
            <w:pPr>
              <w:pStyle w:val="TableParagraph"/>
              <w:spacing w:before="28"/>
              <w:ind w:left="326"/>
              <w:rPr>
                <w:sz w:val="18"/>
              </w:rPr>
            </w:pPr>
            <w:r>
              <w:rPr>
                <w:sz w:val="18"/>
              </w:rPr>
              <w:t>13</w:t>
            </w:r>
          </w:p>
        </w:tc>
        <w:tc>
          <w:tcPr>
            <w:tcW w:w="7962" w:type="dxa"/>
          </w:tcPr>
          <w:p>
            <w:pPr>
              <w:pStyle w:val="TableParagraph"/>
              <w:spacing w:before="28"/>
              <w:ind w:left="64" w:right="43"/>
              <w:rPr>
                <w:sz w:val="18"/>
              </w:rPr>
            </w:pPr>
            <w:r>
              <w:rPr>
                <w:sz w:val="18"/>
              </w:rPr>
              <w:t>Sin pregunta</w:t>
            </w:r>
          </w:p>
        </w:tc>
      </w:tr>
      <w:tr>
        <w:trPr>
          <w:trHeight w:val="293" w:hRule="exact"/>
        </w:trPr>
        <w:tc>
          <w:tcPr>
            <w:tcW w:w="862" w:type="dxa"/>
          </w:tcPr>
          <w:p>
            <w:pPr>
              <w:pStyle w:val="TableParagraph"/>
              <w:spacing w:before="72"/>
              <w:ind w:left="326"/>
              <w:rPr>
                <w:sz w:val="18"/>
              </w:rPr>
            </w:pPr>
            <w:r>
              <w:rPr>
                <w:sz w:val="18"/>
              </w:rPr>
              <w:t>14</w:t>
            </w:r>
          </w:p>
        </w:tc>
        <w:tc>
          <w:tcPr>
            <w:tcW w:w="7962" w:type="dxa"/>
          </w:tcPr>
          <w:p>
            <w:pPr>
              <w:pStyle w:val="TableParagraph"/>
              <w:spacing w:before="72"/>
              <w:ind w:left="64" w:right="43"/>
              <w:rPr>
                <w:sz w:val="18"/>
              </w:rPr>
            </w:pPr>
            <w:r>
              <w:rPr>
                <w:sz w:val="18"/>
              </w:rPr>
              <w:t>Sin pregunta</w:t>
            </w:r>
          </w:p>
        </w:tc>
      </w:tr>
      <w:tr>
        <w:trPr>
          <w:trHeight w:val="298" w:hRule="exact"/>
        </w:trPr>
        <w:tc>
          <w:tcPr>
            <w:tcW w:w="862" w:type="dxa"/>
          </w:tcPr>
          <w:p>
            <w:pPr>
              <w:pStyle w:val="TableParagraph"/>
              <w:spacing w:before="74"/>
              <w:ind w:left="326"/>
              <w:rPr>
                <w:sz w:val="18"/>
              </w:rPr>
            </w:pPr>
            <w:r>
              <w:rPr>
                <w:sz w:val="18"/>
              </w:rPr>
              <w:t>15</w:t>
            </w:r>
          </w:p>
        </w:tc>
        <w:tc>
          <w:tcPr>
            <w:tcW w:w="7962" w:type="dxa"/>
          </w:tcPr>
          <w:p>
            <w:pPr>
              <w:pStyle w:val="TableParagraph"/>
              <w:spacing w:before="74"/>
              <w:ind w:left="64" w:right="43"/>
              <w:rPr>
                <w:sz w:val="18"/>
              </w:rPr>
            </w:pPr>
            <w:r>
              <w:rPr>
                <w:sz w:val="18"/>
              </w:rPr>
              <w:t>Sin pregunta</w:t>
            </w:r>
          </w:p>
        </w:tc>
      </w:tr>
      <w:tr>
        <w:trPr>
          <w:trHeight w:val="415" w:hRule="exact"/>
        </w:trPr>
        <w:tc>
          <w:tcPr>
            <w:tcW w:w="862" w:type="dxa"/>
          </w:tcPr>
          <w:p>
            <w:pPr>
              <w:pStyle w:val="TableParagraph"/>
              <w:spacing w:before="7"/>
              <w:rPr>
                <w:b/>
                <w:sz w:val="16"/>
              </w:rPr>
            </w:pPr>
          </w:p>
          <w:p>
            <w:pPr>
              <w:pStyle w:val="TableParagraph"/>
              <w:spacing w:before="1"/>
              <w:ind w:left="326"/>
              <w:rPr>
                <w:sz w:val="18"/>
              </w:rPr>
            </w:pPr>
            <w:r>
              <w:rPr>
                <w:sz w:val="18"/>
              </w:rPr>
              <w:t>16</w:t>
            </w:r>
          </w:p>
        </w:tc>
        <w:tc>
          <w:tcPr>
            <w:tcW w:w="7962" w:type="dxa"/>
          </w:tcPr>
          <w:p>
            <w:pPr>
              <w:pStyle w:val="TableParagraph"/>
              <w:spacing w:before="7"/>
              <w:rPr>
                <w:b/>
                <w:sz w:val="16"/>
              </w:rPr>
            </w:pPr>
          </w:p>
          <w:p>
            <w:pPr>
              <w:pStyle w:val="TableParagraph"/>
              <w:spacing w:before="1"/>
              <w:ind w:left="64" w:right="43"/>
              <w:rPr>
                <w:sz w:val="18"/>
              </w:rPr>
            </w:pPr>
            <w:r>
              <w:rPr>
                <w:sz w:val="18"/>
              </w:rPr>
              <w:t>Sin pregunta</w:t>
            </w:r>
          </w:p>
        </w:tc>
      </w:tr>
      <w:tr>
        <w:trPr>
          <w:trHeight w:val="1128" w:hRule="exact"/>
        </w:trPr>
        <w:tc>
          <w:tcPr>
            <w:tcW w:w="862" w:type="dxa"/>
          </w:tcPr>
          <w:p>
            <w:pPr>
              <w:pStyle w:val="TableParagraph"/>
              <w:rPr>
                <w:b/>
                <w:sz w:val="18"/>
              </w:rPr>
            </w:pPr>
          </w:p>
          <w:p>
            <w:pPr>
              <w:pStyle w:val="TableParagraph"/>
              <w:rPr>
                <w:b/>
                <w:sz w:val="18"/>
              </w:rPr>
            </w:pPr>
          </w:p>
          <w:p>
            <w:pPr>
              <w:pStyle w:val="TableParagraph"/>
              <w:rPr>
                <w:b/>
                <w:sz w:val="18"/>
              </w:rPr>
            </w:pPr>
          </w:p>
          <w:p>
            <w:pPr>
              <w:pStyle w:val="TableParagraph"/>
              <w:spacing w:before="10"/>
              <w:rPr>
                <w:b/>
                <w:sz w:val="24"/>
              </w:rPr>
            </w:pPr>
          </w:p>
          <w:p>
            <w:pPr>
              <w:pStyle w:val="TableParagraph"/>
              <w:ind w:left="326"/>
              <w:rPr>
                <w:sz w:val="18"/>
              </w:rPr>
            </w:pPr>
            <w:r>
              <w:rPr>
                <w:sz w:val="18"/>
              </w:rPr>
              <w:t>17</w:t>
            </w:r>
          </w:p>
        </w:tc>
        <w:tc>
          <w:tcPr>
            <w:tcW w:w="7962" w:type="dxa"/>
          </w:tcPr>
          <w:p>
            <w:pPr>
              <w:pStyle w:val="TableParagraph"/>
              <w:spacing w:before="79"/>
              <w:ind w:left="64" w:right="43"/>
              <w:rPr>
                <w:sz w:val="18"/>
              </w:rPr>
            </w:pPr>
            <w:r>
              <w:rPr>
                <w:sz w:val="18"/>
              </w:rPr>
              <w:t>Por una parte, construir una dimensión urbana más fuerte al interior de políticas que no siendo específicamente urbanas, tienen agudos impactos urbanos; el punto crítico es la falta de dimensión espacial de estas políticas. Por otra parte, entender qué tipos de acción inter- gubernamental conjunta se necesitan en la medida que la política urbana en ciudades en proceso de globalización no puede ser limitada a gobiernos nacionales o regionales/locales.</w:t>
            </w:r>
          </w:p>
        </w:tc>
      </w:tr>
      <w:tr>
        <w:trPr>
          <w:trHeight w:val="422" w:hRule="exact"/>
        </w:trPr>
        <w:tc>
          <w:tcPr>
            <w:tcW w:w="862" w:type="dxa"/>
          </w:tcPr>
          <w:p>
            <w:pPr>
              <w:pStyle w:val="TableParagraph"/>
              <w:spacing w:before="6"/>
              <w:rPr>
                <w:b/>
                <w:sz w:val="17"/>
              </w:rPr>
            </w:pPr>
          </w:p>
          <w:p>
            <w:pPr>
              <w:pStyle w:val="TableParagraph"/>
              <w:ind w:left="326"/>
              <w:rPr>
                <w:sz w:val="18"/>
              </w:rPr>
            </w:pPr>
            <w:r>
              <w:rPr>
                <w:sz w:val="18"/>
              </w:rPr>
              <w:t>18</w:t>
            </w:r>
          </w:p>
        </w:tc>
        <w:tc>
          <w:tcPr>
            <w:tcW w:w="7962" w:type="dxa"/>
          </w:tcPr>
          <w:p>
            <w:pPr>
              <w:pStyle w:val="TableParagraph"/>
              <w:spacing w:before="6"/>
              <w:rPr>
                <w:b/>
                <w:sz w:val="17"/>
              </w:rPr>
            </w:pPr>
          </w:p>
          <w:p>
            <w:pPr>
              <w:pStyle w:val="TableParagraph"/>
              <w:ind w:left="64" w:right="43"/>
              <w:rPr>
                <w:sz w:val="18"/>
              </w:rPr>
            </w:pPr>
            <w:r>
              <w:rPr>
                <w:sz w:val="18"/>
              </w:rPr>
              <w:t>Sin pregunta</w:t>
            </w:r>
          </w:p>
        </w:tc>
      </w:tr>
      <w:tr>
        <w:trPr>
          <w:trHeight w:val="427" w:hRule="exact"/>
        </w:trPr>
        <w:tc>
          <w:tcPr>
            <w:tcW w:w="862" w:type="dxa"/>
          </w:tcPr>
          <w:p>
            <w:pPr>
              <w:pStyle w:val="TableParagraph"/>
              <w:spacing w:before="10"/>
              <w:rPr>
                <w:b/>
                <w:sz w:val="17"/>
              </w:rPr>
            </w:pPr>
          </w:p>
          <w:p>
            <w:pPr>
              <w:pStyle w:val="TableParagraph"/>
              <w:spacing w:before="1"/>
              <w:ind w:left="326"/>
              <w:rPr>
                <w:sz w:val="18"/>
              </w:rPr>
            </w:pPr>
            <w:r>
              <w:rPr>
                <w:sz w:val="18"/>
              </w:rPr>
              <w:t>19</w:t>
            </w:r>
          </w:p>
        </w:tc>
        <w:tc>
          <w:tcPr>
            <w:tcW w:w="7962" w:type="dxa"/>
          </w:tcPr>
          <w:p>
            <w:pPr>
              <w:pStyle w:val="TableParagraph"/>
              <w:spacing w:before="10"/>
              <w:rPr>
                <w:b/>
                <w:sz w:val="17"/>
              </w:rPr>
            </w:pPr>
          </w:p>
          <w:p>
            <w:pPr>
              <w:pStyle w:val="TableParagraph"/>
              <w:spacing w:before="1"/>
              <w:ind w:left="64" w:right="43"/>
              <w:rPr>
                <w:sz w:val="18"/>
              </w:rPr>
            </w:pPr>
            <w:r>
              <w:rPr>
                <w:sz w:val="18"/>
              </w:rPr>
              <w:t>Sin pregunta</w:t>
            </w:r>
          </w:p>
        </w:tc>
      </w:tr>
      <w:tr>
        <w:trPr>
          <w:trHeight w:val="420" w:hRule="exact"/>
        </w:trPr>
        <w:tc>
          <w:tcPr>
            <w:tcW w:w="862" w:type="dxa"/>
          </w:tcPr>
          <w:p>
            <w:pPr>
              <w:pStyle w:val="TableParagraph"/>
              <w:spacing w:before="3"/>
              <w:rPr>
                <w:b/>
                <w:sz w:val="17"/>
              </w:rPr>
            </w:pPr>
          </w:p>
          <w:p>
            <w:pPr>
              <w:pStyle w:val="TableParagraph"/>
              <w:ind w:left="326"/>
              <w:rPr>
                <w:sz w:val="18"/>
              </w:rPr>
            </w:pPr>
            <w:r>
              <w:rPr>
                <w:sz w:val="18"/>
              </w:rPr>
              <w:t>20</w:t>
            </w:r>
          </w:p>
        </w:tc>
        <w:tc>
          <w:tcPr>
            <w:tcW w:w="7962" w:type="dxa"/>
          </w:tcPr>
          <w:p>
            <w:pPr>
              <w:pStyle w:val="TableParagraph"/>
              <w:spacing w:before="3"/>
              <w:rPr>
                <w:b/>
                <w:sz w:val="17"/>
              </w:rPr>
            </w:pPr>
          </w:p>
          <w:p>
            <w:pPr>
              <w:pStyle w:val="TableParagraph"/>
              <w:ind w:left="64" w:right="43"/>
              <w:rPr>
                <w:sz w:val="18"/>
              </w:rPr>
            </w:pPr>
            <w:r>
              <w:rPr>
                <w:sz w:val="18"/>
              </w:rPr>
              <w:t>Sin pregunta</w:t>
            </w:r>
          </w:p>
        </w:tc>
      </w:tr>
      <w:tr>
        <w:trPr>
          <w:trHeight w:val="286" w:hRule="exact"/>
        </w:trPr>
        <w:tc>
          <w:tcPr>
            <w:tcW w:w="862" w:type="dxa"/>
          </w:tcPr>
          <w:p>
            <w:pPr>
              <w:pStyle w:val="TableParagraph"/>
              <w:spacing w:before="62"/>
              <w:ind w:left="326"/>
              <w:rPr>
                <w:sz w:val="18"/>
              </w:rPr>
            </w:pPr>
            <w:r>
              <w:rPr>
                <w:sz w:val="18"/>
              </w:rPr>
              <w:t>21</w:t>
            </w:r>
          </w:p>
        </w:tc>
        <w:tc>
          <w:tcPr>
            <w:tcW w:w="7962" w:type="dxa"/>
          </w:tcPr>
          <w:p>
            <w:pPr>
              <w:pStyle w:val="TableParagraph"/>
              <w:spacing w:before="62"/>
              <w:ind w:left="64" w:right="43"/>
              <w:rPr>
                <w:sz w:val="18"/>
              </w:rPr>
            </w:pPr>
            <w:r>
              <w:rPr>
                <w:sz w:val="18"/>
              </w:rPr>
              <w:t>Sin pregunta</w:t>
            </w:r>
          </w:p>
        </w:tc>
      </w:tr>
      <w:tr>
        <w:trPr>
          <w:trHeight w:val="427" w:hRule="exact"/>
        </w:trPr>
        <w:tc>
          <w:tcPr>
            <w:tcW w:w="862" w:type="dxa"/>
          </w:tcPr>
          <w:p>
            <w:pPr>
              <w:pStyle w:val="TableParagraph"/>
              <w:spacing w:before="10"/>
              <w:rPr>
                <w:b/>
                <w:sz w:val="17"/>
              </w:rPr>
            </w:pPr>
          </w:p>
          <w:p>
            <w:pPr>
              <w:pStyle w:val="TableParagraph"/>
              <w:spacing w:before="1"/>
              <w:ind w:left="326"/>
              <w:rPr>
                <w:sz w:val="18"/>
              </w:rPr>
            </w:pPr>
            <w:r>
              <w:rPr>
                <w:sz w:val="18"/>
              </w:rPr>
              <w:t>22</w:t>
            </w:r>
          </w:p>
        </w:tc>
        <w:tc>
          <w:tcPr>
            <w:tcW w:w="7962" w:type="dxa"/>
          </w:tcPr>
          <w:p>
            <w:pPr>
              <w:pStyle w:val="TableParagraph"/>
              <w:spacing w:before="10"/>
              <w:rPr>
                <w:b/>
                <w:sz w:val="17"/>
              </w:rPr>
            </w:pPr>
          </w:p>
          <w:p>
            <w:pPr>
              <w:pStyle w:val="TableParagraph"/>
              <w:spacing w:before="1"/>
              <w:ind w:left="64" w:right="43"/>
              <w:rPr>
                <w:sz w:val="18"/>
              </w:rPr>
            </w:pPr>
            <w:r>
              <w:rPr>
                <w:sz w:val="18"/>
              </w:rPr>
              <w:t>Sin pregunta</w:t>
            </w:r>
          </w:p>
        </w:tc>
      </w:tr>
      <w:tr>
        <w:trPr>
          <w:trHeight w:val="720" w:hRule="exact"/>
        </w:trPr>
        <w:tc>
          <w:tcPr>
            <w:tcW w:w="862" w:type="dxa"/>
          </w:tcPr>
          <w:p>
            <w:pPr>
              <w:pStyle w:val="TableParagraph"/>
              <w:rPr>
                <w:b/>
                <w:sz w:val="18"/>
              </w:rPr>
            </w:pPr>
          </w:p>
          <w:p>
            <w:pPr>
              <w:pStyle w:val="TableParagraph"/>
              <w:spacing w:before="4"/>
              <w:rPr>
                <w:b/>
                <w:sz w:val="25"/>
              </w:rPr>
            </w:pPr>
          </w:p>
          <w:p>
            <w:pPr>
              <w:pStyle w:val="TableParagraph"/>
              <w:ind w:left="326"/>
              <w:rPr>
                <w:sz w:val="18"/>
              </w:rPr>
            </w:pPr>
            <w:r>
              <w:rPr>
                <w:sz w:val="18"/>
              </w:rPr>
              <w:t>23</w:t>
            </w:r>
          </w:p>
        </w:tc>
        <w:tc>
          <w:tcPr>
            <w:tcW w:w="7962" w:type="dxa"/>
          </w:tcPr>
          <w:p>
            <w:pPr>
              <w:pStyle w:val="TableParagraph"/>
              <w:spacing w:before="84"/>
              <w:ind w:left="64" w:right="94"/>
              <w:rPr>
                <w:sz w:val="18"/>
              </w:rPr>
            </w:pPr>
            <w:r>
              <w:rPr>
                <w:sz w:val="18"/>
              </w:rPr>
              <w:t>¿De qué forma los imaginarios urbanos pueden contribuir en ese proceso de construcción social del espacio urbano / ¿cómo estudiar la construcción social de los lugares en la ciudad con relación a los imaginarios urbanos?</w:t>
            </w:r>
          </w:p>
        </w:tc>
      </w:tr>
      <w:tr>
        <w:trPr>
          <w:trHeight w:val="733" w:hRule="exact"/>
        </w:trPr>
        <w:tc>
          <w:tcPr>
            <w:tcW w:w="862" w:type="dxa"/>
          </w:tcPr>
          <w:p>
            <w:pPr>
              <w:pStyle w:val="TableParagraph"/>
              <w:rPr>
                <w:b/>
                <w:sz w:val="18"/>
              </w:rPr>
            </w:pPr>
          </w:p>
          <w:p>
            <w:pPr>
              <w:pStyle w:val="TableParagraph"/>
              <w:spacing w:before="5"/>
              <w:rPr>
                <w:b/>
                <w:sz w:val="26"/>
              </w:rPr>
            </w:pPr>
          </w:p>
          <w:p>
            <w:pPr>
              <w:pStyle w:val="TableParagraph"/>
              <w:spacing w:before="1"/>
              <w:ind w:left="326"/>
              <w:rPr>
                <w:sz w:val="18"/>
              </w:rPr>
            </w:pPr>
            <w:r>
              <w:rPr>
                <w:sz w:val="18"/>
              </w:rPr>
              <w:t>24</w:t>
            </w:r>
          </w:p>
        </w:tc>
        <w:tc>
          <w:tcPr>
            <w:tcW w:w="7962" w:type="dxa"/>
          </w:tcPr>
          <w:p>
            <w:pPr>
              <w:pStyle w:val="TableParagraph"/>
              <w:spacing w:before="96"/>
              <w:ind w:left="64" w:right="94"/>
              <w:rPr>
                <w:sz w:val="18"/>
              </w:rPr>
            </w:pPr>
            <w:r>
              <w:rPr>
                <w:sz w:val="18"/>
              </w:rPr>
              <w:t>¿Por qué en el actual momento histórico las políticas urbanas con origen en ciudades tan distintas producen “modelos” semejantes? Y frente a eso, ¿cuáles son y qué reflejan los patrones dominantes de éxito?</w:t>
            </w:r>
          </w:p>
        </w:tc>
      </w:tr>
      <w:tr>
        <w:trPr>
          <w:trHeight w:val="401" w:hRule="exact"/>
        </w:trPr>
        <w:tc>
          <w:tcPr>
            <w:tcW w:w="862" w:type="dxa"/>
          </w:tcPr>
          <w:p>
            <w:pPr>
              <w:pStyle w:val="TableParagraph"/>
              <w:spacing w:before="5"/>
              <w:rPr>
                <w:b/>
                <w:sz w:val="15"/>
              </w:rPr>
            </w:pPr>
          </w:p>
          <w:p>
            <w:pPr>
              <w:pStyle w:val="TableParagraph"/>
              <w:ind w:left="326"/>
              <w:rPr>
                <w:sz w:val="18"/>
              </w:rPr>
            </w:pPr>
            <w:r>
              <w:rPr>
                <w:sz w:val="18"/>
              </w:rPr>
              <w:t>25</w:t>
            </w:r>
          </w:p>
        </w:tc>
        <w:tc>
          <w:tcPr>
            <w:tcW w:w="7962" w:type="dxa"/>
          </w:tcPr>
          <w:p>
            <w:pPr>
              <w:pStyle w:val="TableParagraph"/>
              <w:spacing w:before="5"/>
              <w:rPr>
                <w:b/>
                <w:sz w:val="15"/>
              </w:rPr>
            </w:pPr>
          </w:p>
          <w:p>
            <w:pPr>
              <w:pStyle w:val="TableParagraph"/>
              <w:ind w:left="64" w:right="43"/>
              <w:rPr>
                <w:sz w:val="18"/>
              </w:rPr>
            </w:pPr>
            <w:r>
              <w:rPr>
                <w:sz w:val="18"/>
              </w:rPr>
              <w:t>Sin pregunta</w:t>
            </w:r>
          </w:p>
        </w:tc>
      </w:tr>
      <w:tr>
        <w:trPr>
          <w:trHeight w:val="276" w:hRule="exact"/>
        </w:trPr>
        <w:tc>
          <w:tcPr>
            <w:tcW w:w="862" w:type="dxa"/>
          </w:tcPr>
          <w:p>
            <w:pPr>
              <w:pStyle w:val="TableParagraph"/>
              <w:spacing w:before="55"/>
              <w:ind w:left="326"/>
              <w:rPr>
                <w:sz w:val="18"/>
              </w:rPr>
            </w:pPr>
            <w:r>
              <w:rPr>
                <w:sz w:val="18"/>
              </w:rPr>
              <w:t>26</w:t>
            </w:r>
          </w:p>
        </w:tc>
        <w:tc>
          <w:tcPr>
            <w:tcW w:w="7962" w:type="dxa"/>
          </w:tcPr>
          <w:p>
            <w:pPr>
              <w:pStyle w:val="TableParagraph"/>
              <w:spacing w:before="55"/>
              <w:ind w:left="64" w:right="43"/>
              <w:rPr>
                <w:sz w:val="18"/>
              </w:rPr>
            </w:pPr>
            <w:r>
              <w:rPr>
                <w:sz w:val="18"/>
              </w:rPr>
              <w:t>Sin pregunta</w:t>
            </w:r>
          </w:p>
        </w:tc>
      </w:tr>
      <w:tr>
        <w:trPr>
          <w:trHeight w:val="252" w:hRule="exact"/>
        </w:trPr>
        <w:tc>
          <w:tcPr>
            <w:tcW w:w="862" w:type="dxa"/>
          </w:tcPr>
          <w:p>
            <w:pPr>
              <w:pStyle w:val="TableParagraph"/>
              <w:spacing w:before="31"/>
              <w:ind w:left="326"/>
              <w:rPr>
                <w:sz w:val="18"/>
              </w:rPr>
            </w:pPr>
            <w:r>
              <w:rPr>
                <w:sz w:val="18"/>
              </w:rPr>
              <w:t>27</w:t>
            </w:r>
          </w:p>
        </w:tc>
        <w:tc>
          <w:tcPr>
            <w:tcW w:w="7962" w:type="dxa"/>
          </w:tcPr>
          <w:p>
            <w:pPr>
              <w:pStyle w:val="TableParagraph"/>
              <w:spacing w:before="31"/>
              <w:ind w:left="64" w:right="43"/>
              <w:rPr>
                <w:sz w:val="18"/>
              </w:rPr>
            </w:pPr>
            <w:r>
              <w:rPr>
                <w:sz w:val="18"/>
              </w:rPr>
              <w:t>Sin pregunta</w:t>
            </w:r>
          </w:p>
        </w:tc>
      </w:tr>
      <w:tr>
        <w:trPr>
          <w:trHeight w:val="972" w:hRule="exact"/>
        </w:trPr>
        <w:tc>
          <w:tcPr>
            <w:tcW w:w="862" w:type="dxa"/>
          </w:tcPr>
          <w:p>
            <w:pPr>
              <w:pStyle w:val="TableParagraph"/>
              <w:rPr>
                <w:b/>
                <w:sz w:val="18"/>
              </w:rPr>
            </w:pPr>
          </w:p>
          <w:p>
            <w:pPr>
              <w:pStyle w:val="TableParagraph"/>
              <w:rPr>
                <w:b/>
                <w:sz w:val="18"/>
              </w:rPr>
            </w:pPr>
          </w:p>
          <w:p>
            <w:pPr>
              <w:pStyle w:val="TableParagraph"/>
              <w:rPr>
                <w:b/>
                <w:sz w:val="18"/>
              </w:rPr>
            </w:pPr>
          </w:p>
          <w:p>
            <w:pPr>
              <w:pStyle w:val="TableParagraph"/>
              <w:spacing w:before="130"/>
              <w:ind w:left="326"/>
              <w:rPr>
                <w:sz w:val="18"/>
              </w:rPr>
            </w:pPr>
            <w:r>
              <w:rPr>
                <w:sz w:val="18"/>
              </w:rPr>
              <w:t>28</w:t>
            </w:r>
          </w:p>
        </w:tc>
        <w:tc>
          <w:tcPr>
            <w:tcW w:w="7962" w:type="dxa"/>
          </w:tcPr>
          <w:p>
            <w:pPr>
              <w:pStyle w:val="TableParagraph"/>
              <w:spacing w:before="129"/>
              <w:ind w:left="64" w:right="134"/>
              <w:rPr>
                <w:sz w:val="18"/>
              </w:rPr>
            </w:pPr>
            <w:r>
              <w:rPr>
                <w:sz w:val="18"/>
              </w:rPr>
              <w:t>Zonificar y evaluar los sectores expuestos a riesgo sísmico, de anegamiento, de inundación fluvial y procesos de remoción en masa de la ciudad de Concepción, con el fin de que esto contribuya a una planificación preventiva y correctiva de los riesgos naturales y al diseño de políticas e instrumentos a favor de un desarrollo urbano sustentable</w:t>
            </w:r>
          </w:p>
        </w:tc>
      </w:tr>
      <w:tr>
        <w:trPr>
          <w:trHeight w:val="329" w:hRule="exact"/>
        </w:trPr>
        <w:tc>
          <w:tcPr>
            <w:tcW w:w="862" w:type="dxa"/>
          </w:tcPr>
          <w:p>
            <w:pPr>
              <w:pStyle w:val="TableParagraph"/>
              <w:spacing w:before="108"/>
              <w:ind w:left="326"/>
              <w:rPr>
                <w:sz w:val="18"/>
              </w:rPr>
            </w:pPr>
            <w:r>
              <w:rPr>
                <w:sz w:val="18"/>
              </w:rPr>
              <w:t>29</w:t>
            </w:r>
          </w:p>
        </w:tc>
        <w:tc>
          <w:tcPr>
            <w:tcW w:w="7962" w:type="dxa"/>
          </w:tcPr>
          <w:p>
            <w:pPr>
              <w:pStyle w:val="TableParagraph"/>
              <w:spacing w:before="108"/>
              <w:ind w:left="64" w:right="43"/>
              <w:rPr>
                <w:sz w:val="18"/>
              </w:rPr>
            </w:pPr>
            <w:r>
              <w:rPr>
                <w:sz w:val="18"/>
              </w:rPr>
              <w:t>Sin pregunta</w:t>
            </w:r>
          </w:p>
        </w:tc>
      </w:tr>
      <w:tr>
        <w:trPr>
          <w:trHeight w:val="290" w:hRule="exact"/>
        </w:trPr>
        <w:tc>
          <w:tcPr>
            <w:tcW w:w="862" w:type="dxa"/>
          </w:tcPr>
          <w:p>
            <w:pPr>
              <w:pStyle w:val="TableParagraph"/>
              <w:spacing w:before="69"/>
              <w:ind w:left="326"/>
              <w:rPr>
                <w:sz w:val="18"/>
              </w:rPr>
            </w:pPr>
            <w:r>
              <w:rPr>
                <w:sz w:val="18"/>
              </w:rPr>
              <w:t>30</w:t>
            </w:r>
          </w:p>
        </w:tc>
        <w:tc>
          <w:tcPr>
            <w:tcW w:w="7962" w:type="dxa"/>
          </w:tcPr>
          <w:p>
            <w:pPr>
              <w:pStyle w:val="TableParagraph"/>
              <w:spacing w:before="69"/>
              <w:ind w:left="64" w:right="43"/>
              <w:rPr>
                <w:sz w:val="18"/>
              </w:rPr>
            </w:pPr>
            <w:r>
              <w:rPr>
                <w:sz w:val="18"/>
              </w:rPr>
              <w:t>Sin pregunta</w:t>
            </w:r>
          </w:p>
        </w:tc>
      </w:tr>
    </w:tbl>
    <w:p>
      <w:pPr>
        <w:spacing w:after="0"/>
        <w:rPr>
          <w:sz w:val="18"/>
        </w:rPr>
        <w:sectPr>
          <w:pgSz w:w="12240" w:h="15840"/>
          <w:pgMar w:header="0" w:footer="629" w:top="1420" w:bottom="820" w:left="1580" w:right="1580"/>
        </w:sectPr>
      </w:pPr>
    </w:p>
    <w:p>
      <w:pPr>
        <w:pStyle w:val="BodyText"/>
        <w:spacing w:before="9"/>
        <w:rPr>
          <w:rFonts w:ascii="Times New Roman"/>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62"/>
        <w:gridCol w:w="7962"/>
      </w:tblGrid>
      <w:tr>
        <w:trPr>
          <w:trHeight w:val="310" w:hRule="exact"/>
        </w:trPr>
        <w:tc>
          <w:tcPr>
            <w:tcW w:w="862" w:type="dxa"/>
          </w:tcPr>
          <w:p>
            <w:pPr/>
          </w:p>
        </w:tc>
        <w:tc>
          <w:tcPr>
            <w:tcW w:w="7962" w:type="dxa"/>
          </w:tcPr>
          <w:p>
            <w:pPr>
              <w:pStyle w:val="TableParagraph"/>
              <w:spacing w:before="19"/>
              <w:ind w:left="1327" w:right="43"/>
              <w:rPr>
                <w:b/>
                <w:sz w:val="24"/>
              </w:rPr>
            </w:pPr>
            <w:r>
              <w:rPr>
                <w:b/>
                <w:sz w:val="24"/>
              </w:rPr>
              <w:t>Sección 2. Objeto de investigación (variable 2)</w:t>
            </w:r>
          </w:p>
        </w:tc>
      </w:tr>
      <w:tr>
        <w:trPr>
          <w:trHeight w:val="312" w:hRule="exact"/>
        </w:trPr>
        <w:tc>
          <w:tcPr>
            <w:tcW w:w="862" w:type="dxa"/>
            <w:vMerge w:val="restart"/>
          </w:tcPr>
          <w:p>
            <w:pPr>
              <w:pStyle w:val="TableParagraph"/>
              <w:spacing w:line="206" w:lineRule="exact" w:before="1"/>
              <w:ind w:left="95" w:right="93" w:hanging="2"/>
              <w:jc w:val="center"/>
              <w:rPr>
                <w:b/>
                <w:sz w:val="18"/>
              </w:rPr>
            </w:pPr>
            <w:r>
              <w:rPr>
                <w:b/>
                <w:sz w:val="18"/>
              </w:rPr>
              <w:t>Unidad de análisis</w:t>
            </w:r>
          </w:p>
        </w:tc>
        <w:tc>
          <w:tcPr>
            <w:tcW w:w="7962" w:type="dxa"/>
          </w:tcPr>
          <w:p>
            <w:pPr>
              <w:pStyle w:val="TableParagraph"/>
              <w:spacing w:before="90"/>
              <w:ind w:left="2836" w:right="2836"/>
              <w:jc w:val="center"/>
              <w:rPr>
                <w:b/>
                <w:sz w:val="18"/>
              </w:rPr>
            </w:pPr>
            <w:r>
              <w:rPr>
                <w:b/>
                <w:sz w:val="18"/>
              </w:rPr>
              <w:t>variable 2</w:t>
            </w:r>
          </w:p>
        </w:tc>
      </w:tr>
      <w:tr>
        <w:trPr>
          <w:trHeight w:val="319" w:hRule="exact"/>
        </w:trPr>
        <w:tc>
          <w:tcPr>
            <w:tcW w:w="862" w:type="dxa"/>
            <w:vMerge/>
          </w:tcPr>
          <w:p>
            <w:pPr/>
          </w:p>
        </w:tc>
        <w:tc>
          <w:tcPr>
            <w:tcW w:w="7962" w:type="dxa"/>
          </w:tcPr>
          <w:p>
            <w:pPr>
              <w:pStyle w:val="TableParagraph"/>
              <w:spacing w:before="97"/>
              <w:ind w:left="2836" w:right="2836"/>
              <w:jc w:val="center"/>
              <w:rPr>
                <w:b/>
                <w:sz w:val="18"/>
              </w:rPr>
            </w:pPr>
            <w:r>
              <w:rPr>
                <w:b/>
                <w:sz w:val="18"/>
              </w:rPr>
              <w:t>Hipótesis</w:t>
            </w:r>
          </w:p>
        </w:tc>
      </w:tr>
      <w:tr>
        <w:trPr>
          <w:trHeight w:val="492" w:hRule="exact"/>
        </w:trPr>
        <w:tc>
          <w:tcPr>
            <w:tcW w:w="862" w:type="dxa"/>
          </w:tcPr>
          <w:p>
            <w:pPr>
              <w:pStyle w:val="TableParagraph"/>
              <w:spacing w:before="10"/>
              <w:rPr>
                <w:rFonts w:ascii="Times New Roman"/>
                <w:sz w:val="23"/>
              </w:rPr>
            </w:pPr>
          </w:p>
          <w:p>
            <w:pPr>
              <w:pStyle w:val="TableParagraph"/>
              <w:ind w:left="374"/>
              <w:rPr>
                <w:sz w:val="18"/>
              </w:rPr>
            </w:pPr>
            <w:r>
              <w:rPr>
                <w:w w:val="99"/>
                <w:sz w:val="18"/>
              </w:rPr>
              <w:t>1</w:t>
            </w:r>
          </w:p>
        </w:tc>
        <w:tc>
          <w:tcPr>
            <w:tcW w:w="7962" w:type="dxa"/>
          </w:tcPr>
          <w:p>
            <w:pPr>
              <w:pStyle w:val="TableParagraph"/>
              <w:spacing w:before="66"/>
              <w:ind w:left="64" w:right="94"/>
              <w:rPr>
                <w:sz w:val="18"/>
              </w:rPr>
            </w:pPr>
            <w:r>
              <w:rPr>
                <w:sz w:val="18"/>
              </w:rPr>
              <w:t>Una débil identidad social, en este caso la identidad pluri-clasista de "ciudad de país desarrollado", ha sido reforzada a través de la segregación social del espacio urbano.</w:t>
            </w:r>
          </w:p>
        </w:tc>
      </w:tr>
      <w:tr>
        <w:trPr>
          <w:trHeight w:val="1212" w:hRule="exact"/>
        </w:trPr>
        <w:tc>
          <w:tcPr>
            <w:tcW w:w="86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6"/>
              <w:rPr>
                <w:rFonts w:ascii="Times New Roman"/>
                <w:sz w:val="14"/>
              </w:rPr>
            </w:pPr>
          </w:p>
          <w:p>
            <w:pPr>
              <w:pStyle w:val="TableParagraph"/>
              <w:ind w:left="374"/>
              <w:rPr>
                <w:sz w:val="18"/>
              </w:rPr>
            </w:pPr>
            <w:r>
              <w:rPr>
                <w:w w:val="99"/>
                <w:sz w:val="18"/>
              </w:rPr>
              <w:t>2</w:t>
            </w:r>
          </w:p>
        </w:tc>
        <w:tc>
          <w:tcPr>
            <w:tcW w:w="7962" w:type="dxa"/>
          </w:tcPr>
          <w:p>
            <w:pPr>
              <w:pStyle w:val="TableParagraph"/>
              <w:spacing w:before="6"/>
              <w:rPr>
                <w:rFonts w:ascii="Times New Roman"/>
                <w:sz w:val="14"/>
              </w:rPr>
            </w:pPr>
          </w:p>
          <w:p>
            <w:pPr>
              <w:pStyle w:val="TableParagraph"/>
              <w:ind w:left="64" w:right="134"/>
              <w:rPr>
                <w:sz w:val="18"/>
              </w:rPr>
            </w:pPr>
            <w:r>
              <w:rPr>
                <w:sz w:val="18"/>
              </w:rPr>
              <w:t>La multiplicación de complejos habitacionales vigilados permite suponer que se trata de una forma de aislamiento que representa una nueva cualidad de segregación, esa nueva cualidad debería reflejarse en un diferente uso del espacio urbano. En caso afirmativo, quedaría evidente que los modelos de la ciudad latinoamericana desarrollados a partir de los ejemplos de Santiago de Chile y otras ciudades del cordón andino por la geografía alemana hace un cuarto de siglo</w:t>
            </w:r>
          </w:p>
        </w:tc>
      </w:tr>
      <w:tr>
        <w:trPr>
          <w:trHeight w:val="416" w:hRule="exact"/>
        </w:trPr>
        <w:tc>
          <w:tcPr>
            <w:tcW w:w="862" w:type="dxa"/>
          </w:tcPr>
          <w:p>
            <w:pPr>
              <w:pStyle w:val="TableParagraph"/>
              <w:spacing w:before="3"/>
              <w:rPr>
                <w:rFonts w:ascii="Times New Roman"/>
                <w:sz w:val="17"/>
              </w:rPr>
            </w:pPr>
          </w:p>
          <w:p>
            <w:pPr>
              <w:pStyle w:val="TableParagraph"/>
              <w:ind w:left="374"/>
              <w:rPr>
                <w:sz w:val="18"/>
              </w:rPr>
            </w:pPr>
            <w:r>
              <w:rPr>
                <w:w w:val="99"/>
                <w:sz w:val="18"/>
              </w:rPr>
              <w:t>3</w:t>
            </w:r>
          </w:p>
        </w:tc>
        <w:tc>
          <w:tcPr>
            <w:tcW w:w="7962" w:type="dxa"/>
          </w:tcPr>
          <w:p>
            <w:pPr>
              <w:pStyle w:val="TableParagraph"/>
              <w:spacing w:before="3"/>
              <w:rPr>
                <w:rFonts w:ascii="Times New Roman"/>
                <w:sz w:val="17"/>
              </w:rPr>
            </w:pPr>
          </w:p>
          <w:p>
            <w:pPr>
              <w:pStyle w:val="TableParagraph"/>
              <w:ind w:left="64" w:right="43"/>
              <w:rPr>
                <w:sz w:val="18"/>
              </w:rPr>
            </w:pPr>
            <w:r>
              <w:rPr>
                <w:sz w:val="18"/>
              </w:rPr>
              <w:t>La ciudad latinoamericana es fragmentada</w:t>
            </w:r>
          </w:p>
        </w:tc>
      </w:tr>
      <w:tr>
        <w:trPr>
          <w:trHeight w:val="250" w:hRule="exact"/>
        </w:trPr>
        <w:tc>
          <w:tcPr>
            <w:tcW w:w="862" w:type="dxa"/>
          </w:tcPr>
          <w:p>
            <w:pPr>
              <w:pStyle w:val="TableParagraph"/>
              <w:spacing w:before="32"/>
              <w:ind w:left="374"/>
              <w:rPr>
                <w:sz w:val="18"/>
              </w:rPr>
            </w:pPr>
            <w:r>
              <w:rPr>
                <w:w w:val="99"/>
                <w:sz w:val="18"/>
              </w:rPr>
              <w:t>4</w:t>
            </w:r>
          </w:p>
        </w:tc>
        <w:tc>
          <w:tcPr>
            <w:tcW w:w="7962" w:type="dxa"/>
          </w:tcPr>
          <w:p>
            <w:pPr>
              <w:pStyle w:val="TableParagraph"/>
              <w:spacing w:before="32"/>
              <w:ind w:left="64" w:right="43"/>
              <w:rPr>
                <w:sz w:val="18"/>
              </w:rPr>
            </w:pPr>
            <w:r>
              <w:rPr>
                <w:sz w:val="18"/>
              </w:rPr>
              <w:t>Sin hipótesis</w:t>
            </w:r>
          </w:p>
        </w:tc>
      </w:tr>
      <w:tr>
        <w:trPr>
          <w:trHeight w:val="972" w:hRule="exact"/>
        </w:trPr>
        <w:tc>
          <w:tcPr>
            <w:tcW w:w="86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34"/>
              <w:ind w:left="374"/>
              <w:rPr>
                <w:sz w:val="18"/>
              </w:rPr>
            </w:pPr>
            <w:r>
              <w:rPr>
                <w:w w:val="99"/>
                <w:sz w:val="18"/>
              </w:rPr>
              <w:t>5</w:t>
            </w:r>
          </w:p>
        </w:tc>
        <w:tc>
          <w:tcPr>
            <w:tcW w:w="7962" w:type="dxa"/>
          </w:tcPr>
          <w:p>
            <w:pPr>
              <w:pStyle w:val="TableParagraph"/>
              <w:spacing w:before="133"/>
              <w:ind w:left="64" w:right="43"/>
              <w:rPr>
                <w:sz w:val="18"/>
              </w:rPr>
            </w:pPr>
            <w:r>
              <w:rPr>
                <w:sz w:val="18"/>
              </w:rPr>
              <w:t>Los efectos socio-espaciales de la edificación de condominios es diferenciada en el área metropolitana de Santiago/en la década de los ‘90 se pasó de proyectos de un número reducido de viviendas, pequeños condominios, ubicados en espacios consolidados de la ciudad, a conjuntos de gran escala, ciudad vallada, en la periferia del área metropolitana de Santiago</w:t>
            </w:r>
          </w:p>
        </w:tc>
      </w:tr>
      <w:tr>
        <w:trPr>
          <w:trHeight w:val="252" w:hRule="exact"/>
        </w:trPr>
        <w:tc>
          <w:tcPr>
            <w:tcW w:w="862" w:type="dxa"/>
          </w:tcPr>
          <w:p>
            <w:pPr>
              <w:pStyle w:val="TableParagraph"/>
              <w:spacing w:before="32"/>
              <w:ind w:left="374"/>
              <w:rPr>
                <w:sz w:val="18"/>
              </w:rPr>
            </w:pPr>
            <w:r>
              <w:rPr>
                <w:w w:val="99"/>
                <w:sz w:val="18"/>
              </w:rPr>
              <w:t>6</w:t>
            </w:r>
          </w:p>
        </w:tc>
        <w:tc>
          <w:tcPr>
            <w:tcW w:w="7962" w:type="dxa"/>
          </w:tcPr>
          <w:p>
            <w:pPr>
              <w:pStyle w:val="TableParagraph"/>
              <w:spacing w:before="32"/>
              <w:ind w:left="64" w:right="43"/>
              <w:rPr>
                <w:sz w:val="18"/>
              </w:rPr>
            </w:pPr>
            <w:r>
              <w:rPr>
                <w:sz w:val="18"/>
              </w:rPr>
              <w:t>Sin hipótesis</w:t>
            </w:r>
          </w:p>
        </w:tc>
      </w:tr>
      <w:tr>
        <w:trPr>
          <w:trHeight w:val="250" w:hRule="exact"/>
        </w:trPr>
        <w:tc>
          <w:tcPr>
            <w:tcW w:w="862" w:type="dxa"/>
          </w:tcPr>
          <w:p>
            <w:pPr>
              <w:pStyle w:val="TableParagraph"/>
              <w:spacing w:before="32"/>
              <w:ind w:left="374"/>
              <w:rPr>
                <w:sz w:val="18"/>
              </w:rPr>
            </w:pPr>
            <w:r>
              <w:rPr>
                <w:w w:val="99"/>
                <w:sz w:val="18"/>
              </w:rPr>
              <w:t>7</w:t>
            </w:r>
          </w:p>
        </w:tc>
        <w:tc>
          <w:tcPr>
            <w:tcW w:w="7962" w:type="dxa"/>
          </w:tcPr>
          <w:p>
            <w:pPr>
              <w:pStyle w:val="TableParagraph"/>
              <w:spacing w:before="32"/>
              <w:ind w:left="64" w:right="43"/>
              <w:rPr>
                <w:sz w:val="18"/>
              </w:rPr>
            </w:pPr>
            <w:r>
              <w:rPr>
                <w:sz w:val="18"/>
              </w:rPr>
              <w:t>Sin hipótesis</w:t>
            </w:r>
          </w:p>
        </w:tc>
      </w:tr>
      <w:tr>
        <w:trPr>
          <w:trHeight w:val="250" w:hRule="exact"/>
        </w:trPr>
        <w:tc>
          <w:tcPr>
            <w:tcW w:w="862" w:type="dxa"/>
          </w:tcPr>
          <w:p>
            <w:pPr>
              <w:pStyle w:val="TableParagraph"/>
              <w:spacing w:before="32"/>
              <w:ind w:left="374"/>
              <w:rPr>
                <w:sz w:val="18"/>
              </w:rPr>
            </w:pPr>
            <w:r>
              <w:rPr>
                <w:w w:val="99"/>
                <w:sz w:val="18"/>
              </w:rPr>
              <w:t>8</w:t>
            </w:r>
          </w:p>
        </w:tc>
        <w:tc>
          <w:tcPr>
            <w:tcW w:w="7962" w:type="dxa"/>
          </w:tcPr>
          <w:p>
            <w:pPr>
              <w:pStyle w:val="TableParagraph"/>
              <w:spacing w:before="32"/>
              <w:ind w:left="64" w:right="43"/>
              <w:rPr>
                <w:sz w:val="18"/>
              </w:rPr>
            </w:pPr>
            <w:r>
              <w:rPr>
                <w:sz w:val="18"/>
              </w:rPr>
              <w:t>Sin hipótesis</w:t>
            </w:r>
          </w:p>
        </w:tc>
      </w:tr>
      <w:tr>
        <w:trPr>
          <w:trHeight w:val="250" w:hRule="exact"/>
        </w:trPr>
        <w:tc>
          <w:tcPr>
            <w:tcW w:w="862" w:type="dxa"/>
          </w:tcPr>
          <w:p>
            <w:pPr>
              <w:pStyle w:val="TableParagraph"/>
              <w:spacing w:before="32"/>
              <w:ind w:left="374"/>
              <w:rPr>
                <w:sz w:val="18"/>
              </w:rPr>
            </w:pPr>
            <w:r>
              <w:rPr>
                <w:w w:val="99"/>
                <w:sz w:val="18"/>
              </w:rPr>
              <w:t>9</w:t>
            </w:r>
          </w:p>
        </w:tc>
        <w:tc>
          <w:tcPr>
            <w:tcW w:w="7962" w:type="dxa"/>
          </w:tcPr>
          <w:p>
            <w:pPr>
              <w:pStyle w:val="TableParagraph"/>
              <w:spacing w:before="32"/>
              <w:ind w:left="64" w:right="43"/>
              <w:rPr>
                <w:sz w:val="18"/>
              </w:rPr>
            </w:pPr>
            <w:r>
              <w:rPr>
                <w:sz w:val="18"/>
              </w:rPr>
              <w:t>Sin hipótesis</w:t>
            </w:r>
          </w:p>
        </w:tc>
      </w:tr>
      <w:tr>
        <w:trPr>
          <w:trHeight w:val="250" w:hRule="exact"/>
        </w:trPr>
        <w:tc>
          <w:tcPr>
            <w:tcW w:w="862" w:type="dxa"/>
          </w:tcPr>
          <w:p>
            <w:pPr>
              <w:pStyle w:val="TableParagraph"/>
              <w:spacing w:before="32"/>
              <w:ind w:left="326"/>
              <w:rPr>
                <w:sz w:val="18"/>
              </w:rPr>
            </w:pPr>
            <w:r>
              <w:rPr>
                <w:sz w:val="18"/>
              </w:rPr>
              <w:t>10</w:t>
            </w:r>
          </w:p>
        </w:tc>
        <w:tc>
          <w:tcPr>
            <w:tcW w:w="7962" w:type="dxa"/>
          </w:tcPr>
          <w:p>
            <w:pPr>
              <w:pStyle w:val="TableParagraph"/>
              <w:spacing w:before="32"/>
              <w:ind w:left="64" w:right="43"/>
              <w:rPr>
                <w:sz w:val="18"/>
              </w:rPr>
            </w:pPr>
            <w:r>
              <w:rPr>
                <w:sz w:val="18"/>
              </w:rPr>
              <w:t>Sin hipótesis</w:t>
            </w:r>
          </w:p>
        </w:tc>
      </w:tr>
      <w:tr>
        <w:trPr>
          <w:trHeight w:val="358" w:hRule="exact"/>
        </w:trPr>
        <w:tc>
          <w:tcPr>
            <w:tcW w:w="862" w:type="dxa"/>
          </w:tcPr>
          <w:p>
            <w:pPr>
              <w:pStyle w:val="TableParagraph"/>
              <w:spacing w:before="138"/>
              <w:ind w:left="326"/>
              <w:rPr>
                <w:sz w:val="18"/>
              </w:rPr>
            </w:pPr>
            <w:r>
              <w:rPr>
                <w:sz w:val="18"/>
              </w:rPr>
              <w:t>11</w:t>
            </w:r>
          </w:p>
        </w:tc>
        <w:tc>
          <w:tcPr>
            <w:tcW w:w="7962" w:type="dxa"/>
          </w:tcPr>
          <w:p>
            <w:pPr>
              <w:pStyle w:val="TableParagraph"/>
              <w:spacing w:before="138"/>
              <w:ind w:left="64" w:right="43"/>
              <w:rPr>
                <w:sz w:val="18"/>
              </w:rPr>
            </w:pPr>
            <w:r>
              <w:rPr>
                <w:sz w:val="18"/>
              </w:rPr>
              <w:t>Sin hipótesis</w:t>
            </w:r>
          </w:p>
        </w:tc>
      </w:tr>
      <w:tr>
        <w:trPr>
          <w:trHeight w:val="250" w:hRule="exact"/>
        </w:trPr>
        <w:tc>
          <w:tcPr>
            <w:tcW w:w="862" w:type="dxa"/>
          </w:tcPr>
          <w:p>
            <w:pPr>
              <w:pStyle w:val="TableParagraph"/>
              <w:spacing w:before="33"/>
              <w:ind w:left="326"/>
              <w:rPr>
                <w:sz w:val="18"/>
              </w:rPr>
            </w:pPr>
            <w:r>
              <w:rPr>
                <w:sz w:val="18"/>
              </w:rPr>
              <w:t>12</w:t>
            </w:r>
          </w:p>
        </w:tc>
        <w:tc>
          <w:tcPr>
            <w:tcW w:w="7962" w:type="dxa"/>
          </w:tcPr>
          <w:p>
            <w:pPr>
              <w:pStyle w:val="TableParagraph"/>
              <w:spacing w:before="33"/>
              <w:ind w:left="64" w:right="43"/>
              <w:rPr>
                <w:sz w:val="18"/>
              </w:rPr>
            </w:pPr>
            <w:r>
              <w:rPr>
                <w:sz w:val="18"/>
              </w:rPr>
              <w:t>Sin hipótesis</w:t>
            </w:r>
          </w:p>
        </w:tc>
      </w:tr>
      <w:tr>
        <w:trPr>
          <w:trHeight w:val="250" w:hRule="exact"/>
        </w:trPr>
        <w:tc>
          <w:tcPr>
            <w:tcW w:w="862" w:type="dxa"/>
          </w:tcPr>
          <w:p>
            <w:pPr>
              <w:pStyle w:val="TableParagraph"/>
              <w:spacing w:before="32"/>
              <w:ind w:left="326"/>
              <w:rPr>
                <w:sz w:val="18"/>
              </w:rPr>
            </w:pPr>
            <w:r>
              <w:rPr>
                <w:sz w:val="18"/>
              </w:rPr>
              <w:t>13</w:t>
            </w:r>
          </w:p>
        </w:tc>
        <w:tc>
          <w:tcPr>
            <w:tcW w:w="7962" w:type="dxa"/>
          </w:tcPr>
          <w:p>
            <w:pPr>
              <w:pStyle w:val="TableParagraph"/>
              <w:spacing w:before="32"/>
              <w:ind w:left="64" w:right="43"/>
              <w:rPr>
                <w:sz w:val="18"/>
              </w:rPr>
            </w:pPr>
            <w:r>
              <w:rPr>
                <w:sz w:val="18"/>
              </w:rPr>
              <w:t>Sin hipótesis</w:t>
            </w:r>
          </w:p>
        </w:tc>
      </w:tr>
      <w:tr>
        <w:trPr>
          <w:trHeight w:val="425" w:hRule="exact"/>
        </w:trPr>
        <w:tc>
          <w:tcPr>
            <w:tcW w:w="862" w:type="dxa"/>
          </w:tcPr>
          <w:p>
            <w:pPr>
              <w:pStyle w:val="TableParagraph"/>
              <w:spacing w:before="10"/>
              <w:rPr>
                <w:rFonts w:ascii="Times New Roman"/>
                <w:sz w:val="17"/>
              </w:rPr>
            </w:pPr>
          </w:p>
          <w:p>
            <w:pPr>
              <w:pStyle w:val="TableParagraph"/>
              <w:ind w:left="326"/>
              <w:rPr>
                <w:sz w:val="18"/>
              </w:rPr>
            </w:pPr>
            <w:r>
              <w:rPr>
                <w:sz w:val="18"/>
              </w:rPr>
              <w:t>14</w:t>
            </w:r>
          </w:p>
        </w:tc>
        <w:tc>
          <w:tcPr>
            <w:tcW w:w="7962" w:type="dxa"/>
          </w:tcPr>
          <w:p>
            <w:pPr>
              <w:pStyle w:val="TableParagraph"/>
              <w:ind w:left="64" w:right="834"/>
              <w:rPr>
                <w:sz w:val="18"/>
              </w:rPr>
            </w:pPr>
            <w:r>
              <w:rPr>
                <w:sz w:val="18"/>
              </w:rPr>
              <w:t>Externalidades positivas urbano-metropolitanas, junto a redes de relaciones -tangibles e intangibles</w:t>
            </w:r>
          </w:p>
        </w:tc>
      </w:tr>
      <w:tr>
        <w:trPr>
          <w:trHeight w:val="490" w:hRule="exact"/>
        </w:trPr>
        <w:tc>
          <w:tcPr>
            <w:tcW w:w="862" w:type="dxa"/>
          </w:tcPr>
          <w:p>
            <w:pPr>
              <w:pStyle w:val="TableParagraph"/>
              <w:spacing w:before="8"/>
              <w:rPr>
                <w:rFonts w:ascii="Times New Roman"/>
                <w:sz w:val="23"/>
              </w:rPr>
            </w:pPr>
          </w:p>
          <w:p>
            <w:pPr>
              <w:pStyle w:val="TableParagraph"/>
              <w:ind w:left="326"/>
              <w:rPr>
                <w:sz w:val="18"/>
              </w:rPr>
            </w:pPr>
            <w:r>
              <w:rPr>
                <w:sz w:val="18"/>
              </w:rPr>
              <w:t>15</w:t>
            </w:r>
          </w:p>
        </w:tc>
        <w:tc>
          <w:tcPr>
            <w:tcW w:w="7962" w:type="dxa"/>
          </w:tcPr>
          <w:p>
            <w:pPr>
              <w:pStyle w:val="TableParagraph"/>
              <w:spacing w:before="66"/>
              <w:ind w:left="64" w:right="134"/>
              <w:rPr>
                <w:sz w:val="18"/>
              </w:rPr>
            </w:pPr>
            <w:r>
              <w:rPr>
                <w:sz w:val="18"/>
              </w:rPr>
              <w:t>Los enclaves turísticos facilitan el control autoritario del espacio urbano, modificando el consumo y reemplazando y suprimiendo la cultura local con "ambientes Disney".</w:t>
            </w:r>
          </w:p>
        </w:tc>
      </w:tr>
      <w:tr>
        <w:trPr>
          <w:trHeight w:val="732" w:hRule="exact"/>
        </w:trPr>
        <w:tc>
          <w:tcPr>
            <w:tcW w:w="862" w:type="dxa"/>
          </w:tcPr>
          <w:p>
            <w:pPr>
              <w:pStyle w:val="TableParagraph"/>
              <w:rPr>
                <w:rFonts w:ascii="Times New Roman"/>
                <w:sz w:val="18"/>
              </w:rPr>
            </w:pPr>
          </w:p>
          <w:p>
            <w:pPr>
              <w:pStyle w:val="TableParagraph"/>
              <w:spacing w:before="9"/>
              <w:rPr>
                <w:rFonts w:ascii="Times New Roman"/>
                <w:sz w:val="26"/>
              </w:rPr>
            </w:pPr>
          </w:p>
          <w:p>
            <w:pPr>
              <w:pStyle w:val="TableParagraph"/>
              <w:ind w:left="326"/>
              <w:rPr>
                <w:sz w:val="18"/>
              </w:rPr>
            </w:pPr>
            <w:r>
              <w:rPr>
                <w:sz w:val="18"/>
              </w:rPr>
              <w:t>16</w:t>
            </w:r>
          </w:p>
        </w:tc>
        <w:tc>
          <w:tcPr>
            <w:tcW w:w="7962" w:type="dxa"/>
          </w:tcPr>
          <w:p>
            <w:pPr>
              <w:pStyle w:val="TableParagraph"/>
              <w:spacing w:before="100"/>
              <w:ind w:left="64" w:right="43"/>
              <w:rPr>
                <w:sz w:val="18"/>
              </w:rPr>
            </w:pPr>
            <w:r>
              <w:rPr>
                <w:sz w:val="18"/>
              </w:rPr>
              <w:t>En términos territoriales, de un espacio metropolitano relativamente compacto, la mega-ciudad contemporánea presenta una expansión más policéntrica, creando un patrón más asociado con redes y con límites y fronteras menos precisas difícilmente definibles.</w:t>
            </w:r>
          </w:p>
        </w:tc>
      </w:tr>
      <w:tr>
        <w:trPr>
          <w:trHeight w:val="838" w:hRule="exact"/>
        </w:trPr>
        <w:tc>
          <w:tcPr>
            <w:tcW w:w="862"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17"/>
              </w:rPr>
            </w:pPr>
          </w:p>
          <w:p>
            <w:pPr>
              <w:pStyle w:val="TableParagraph"/>
              <w:ind w:left="326"/>
              <w:rPr>
                <w:sz w:val="18"/>
              </w:rPr>
            </w:pPr>
            <w:r>
              <w:rPr>
                <w:sz w:val="18"/>
              </w:rPr>
              <w:t>17</w:t>
            </w:r>
          </w:p>
        </w:tc>
        <w:tc>
          <w:tcPr>
            <w:tcW w:w="7962" w:type="dxa"/>
          </w:tcPr>
          <w:p>
            <w:pPr>
              <w:pStyle w:val="TableParagraph"/>
              <w:ind w:left="64" w:right="104"/>
              <w:rPr>
                <w:sz w:val="18"/>
              </w:rPr>
            </w:pPr>
            <w:r>
              <w:rPr>
                <w:sz w:val="18"/>
              </w:rPr>
              <w:t>Los procesos de globalización están teniendo diversos impactos en las principales áreas urbanas y, como resultado, las políticas urbanas tendrán que ir más allá de la preocupación familiar por los "problemas urbanos" de manera de ayudar a las ciudades a beneficiarse y abordar las implicancias de la globalización</w:t>
            </w:r>
          </w:p>
        </w:tc>
      </w:tr>
      <w:tr>
        <w:trPr>
          <w:trHeight w:val="733" w:hRule="exact"/>
        </w:trPr>
        <w:tc>
          <w:tcPr>
            <w:tcW w:w="862" w:type="dxa"/>
          </w:tcPr>
          <w:p>
            <w:pPr>
              <w:pStyle w:val="TableParagraph"/>
              <w:rPr>
                <w:rFonts w:ascii="Times New Roman"/>
                <w:sz w:val="18"/>
              </w:rPr>
            </w:pPr>
          </w:p>
          <w:p>
            <w:pPr>
              <w:pStyle w:val="TableParagraph"/>
              <w:spacing w:before="7"/>
              <w:rPr>
                <w:rFonts w:ascii="Times New Roman"/>
                <w:sz w:val="26"/>
              </w:rPr>
            </w:pPr>
          </w:p>
          <w:p>
            <w:pPr>
              <w:pStyle w:val="TableParagraph"/>
              <w:ind w:left="326"/>
              <w:rPr>
                <w:sz w:val="18"/>
              </w:rPr>
            </w:pPr>
            <w:r>
              <w:rPr>
                <w:sz w:val="18"/>
              </w:rPr>
              <w:t>18</w:t>
            </w:r>
          </w:p>
        </w:tc>
        <w:tc>
          <w:tcPr>
            <w:tcW w:w="7962" w:type="dxa"/>
          </w:tcPr>
          <w:p>
            <w:pPr>
              <w:pStyle w:val="TableParagraph"/>
              <w:spacing w:before="100"/>
              <w:ind w:left="64" w:right="43"/>
              <w:rPr>
                <w:sz w:val="18"/>
              </w:rPr>
            </w:pPr>
            <w:r>
              <w:rPr>
                <w:sz w:val="18"/>
              </w:rPr>
              <w:t>Los estados nacionales han tenido que participar en la creación de los ambientes legales e institucionales que permitan contribuir a la formación de esta geografía transfronteriza de centralidades, en gran parte articulada en la red de ciudades globales</w:t>
            </w:r>
          </w:p>
        </w:tc>
      </w:tr>
      <w:tr>
        <w:trPr>
          <w:trHeight w:val="1044" w:hRule="exact"/>
        </w:trPr>
        <w:tc>
          <w:tcPr>
            <w:tcW w:w="86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7"/>
              </w:rPr>
            </w:pPr>
          </w:p>
          <w:p>
            <w:pPr>
              <w:pStyle w:val="TableParagraph"/>
              <w:ind w:left="326"/>
              <w:rPr>
                <w:sz w:val="18"/>
              </w:rPr>
            </w:pPr>
            <w:r>
              <w:rPr>
                <w:sz w:val="18"/>
              </w:rPr>
              <w:t>19</w:t>
            </w:r>
          </w:p>
        </w:tc>
        <w:tc>
          <w:tcPr>
            <w:tcW w:w="7962" w:type="dxa"/>
          </w:tcPr>
          <w:p>
            <w:pPr>
              <w:pStyle w:val="TableParagraph"/>
              <w:ind w:left="64" w:right="94"/>
              <w:rPr>
                <w:sz w:val="18"/>
              </w:rPr>
            </w:pPr>
            <w:r>
              <w:rPr>
                <w:sz w:val="18"/>
              </w:rPr>
              <w:t>Analizar los impactos que los procesos de modernización capitalista en Chile han tenido sobre su mercado de trabajo y sobre la evolución de la distribución del ingreso, y sobre esta base, observar sus efectos sobre la estructuración socio-territorial del Área Metropolitana de Santiago (AMS) o Gran Santiago, discutiendo especialmente la pertinencia de la tesis de la dualización para este caso particular.</w:t>
            </w:r>
          </w:p>
        </w:tc>
      </w:tr>
      <w:tr>
        <w:trPr>
          <w:trHeight w:val="730" w:hRule="exact"/>
        </w:trPr>
        <w:tc>
          <w:tcPr>
            <w:tcW w:w="862" w:type="dxa"/>
          </w:tcPr>
          <w:p>
            <w:pPr>
              <w:pStyle w:val="TableParagraph"/>
              <w:rPr>
                <w:rFonts w:ascii="Times New Roman"/>
                <w:sz w:val="18"/>
              </w:rPr>
            </w:pPr>
          </w:p>
          <w:p>
            <w:pPr>
              <w:pStyle w:val="TableParagraph"/>
              <w:spacing w:before="6"/>
              <w:rPr>
                <w:rFonts w:ascii="Times New Roman"/>
                <w:sz w:val="26"/>
              </w:rPr>
            </w:pPr>
          </w:p>
          <w:p>
            <w:pPr>
              <w:pStyle w:val="TableParagraph"/>
              <w:spacing w:before="1"/>
              <w:ind w:left="326"/>
              <w:rPr>
                <w:sz w:val="18"/>
              </w:rPr>
            </w:pPr>
            <w:r>
              <w:rPr>
                <w:sz w:val="18"/>
              </w:rPr>
              <w:t>20</w:t>
            </w:r>
          </w:p>
        </w:tc>
        <w:tc>
          <w:tcPr>
            <w:tcW w:w="7962" w:type="dxa"/>
          </w:tcPr>
          <w:p>
            <w:pPr>
              <w:pStyle w:val="TableParagraph"/>
              <w:spacing w:before="100"/>
              <w:ind w:left="64" w:right="184"/>
              <w:rPr>
                <w:sz w:val="18"/>
              </w:rPr>
            </w:pPr>
            <w:r>
              <w:rPr>
                <w:sz w:val="18"/>
              </w:rPr>
              <w:t>Estructura metodológica para la construcción de un sistema de indicadores ambientales a nivel urbano y se propone un modelo para construir el índice de calidad ambiental (ICA) de acuerdo a la división política administrativa en grandes ciudades</w:t>
            </w:r>
          </w:p>
        </w:tc>
      </w:tr>
      <w:tr>
        <w:trPr>
          <w:trHeight w:val="492" w:hRule="exact"/>
        </w:trPr>
        <w:tc>
          <w:tcPr>
            <w:tcW w:w="862" w:type="dxa"/>
          </w:tcPr>
          <w:p>
            <w:pPr>
              <w:pStyle w:val="TableParagraph"/>
              <w:spacing w:before="10"/>
              <w:rPr>
                <w:rFonts w:ascii="Times New Roman"/>
                <w:sz w:val="23"/>
              </w:rPr>
            </w:pPr>
          </w:p>
          <w:p>
            <w:pPr>
              <w:pStyle w:val="TableParagraph"/>
              <w:ind w:left="326"/>
              <w:rPr>
                <w:sz w:val="18"/>
              </w:rPr>
            </w:pPr>
            <w:r>
              <w:rPr>
                <w:sz w:val="18"/>
              </w:rPr>
              <w:t>21</w:t>
            </w:r>
          </w:p>
        </w:tc>
        <w:tc>
          <w:tcPr>
            <w:tcW w:w="7962" w:type="dxa"/>
          </w:tcPr>
          <w:p>
            <w:pPr>
              <w:pStyle w:val="TableParagraph"/>
              <w:spacing w:before="68"/>
              <w:ind w:left="64" w:right="43"/>
              <w:rPr>
                <w:sz w:val="18"/>
              </w:rPr>
            </w:pPr>
            <w:r>
              <w:rPr>
                <w:sz w:val="18"/>
              </w:rPr>
              <w:t>Una política exitosa de financiamiento de vivienda ha terminado creando un nuevo problema de vivienda y urbano: un enorme stock de viviendas sociales inadecuadas que requiere atención.</w:t>
            </w:r>
          </w:p>
        </w:tc>
      </w:tr>
    </w:tbl>
    <w:p>
      <w:pPr>
        <w:spacing w:after="0"/>
        <w:rPr>
          <w:sz w:val="18"/>
        </w:rPr>
        <w:sectPr>
          <w:pgSz w:w="12240" w:h="15840"/>
          <w:pgMar w:header="0" w:footer="629" w:top="150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62"/>
        <w:gridCol w:w="7962"/>
      </w:tblGrid>
      <w:tr>
        <w:trPr>
          <w:trHeight w:val="312" w:hRule="exact"/>
        </w:trPr>
        <w:tc>
          <w:tcPr>
            <w:tcW w:w="862" w:type="dxa"/>
          </w:tcPr>
          <w:p>
            <w:pPr/>
          </w:p>
        </w:tc>
        <w:tc>
          <w:tcPr>
            <w:tcW w:w="7962" w:type="dxa"/>
          </w:tcPr>
          <w:p>
            <w:pPr>
              <w:pStyle w:val="TableParagraph"/>
              <w:spacing w:before="18"/>
              <w:ind w:left="1327" w:right="43"/>
              <w:rPr>
                <w:b/>
                <w:sz w:val="24"/>
              </w:rPr>
            </w:pPr>
            <w:r>
              <w:rPr>
                <w:b/>
                <w:sz w:val="24"/>
              </w:rPr>
              <w:t>Sección 2. Objeto de investigación (variable 2)</w:t>
            </w:r>
          </w:p>
        </w:tc>
      </w:tr>
      <w:tr>
        <w:trPr>
          <w:trHeight w:val="972" w:hRule="exact"/>
        </w:trPr>
        <w:tc>
          <w:tcPr>
            <w:tcW w:w="86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30"/>
              <w:ind w:left="124" w:right="122"/>
              <w:jc w:val="center"/>
              <w:rPr>
                <w:sz w:val="18"/>
              </w:rPr>
            </w:pPr>
            <w:r>
              <w:rPr>
                <w:sz w:val="18"/>
              </w:rPr>
              <w:t>22</w:t>
            </w:r>
          </w:p>
        </w:tc>
        <w:tc>
          <w:tcPr>
            <w:tcW w:w="7962" w:type="dxa"/>
          </w:tcPr>
          <w:p>
            <w:pPr>
              <w:pStyle w:val="TableParagraph"/>
              <w:spacing w:before="129"/>
              <w:ind w:left="64" w:right="184"/>
              <w:rPr>
                <w:sz w:val="18"/>
              </w:rPr>
            </w:pPr>
            <w:r>
              <w:rPr>
                <w:sz w:val="18"/>
              </w:rPr>
              <w:t>El entender la descentralización tanto como una cuestión instrumental así como finalista permite explicar su carácter inasible, su conversión en bandera de gobierno (que privilegia su dimensión instrumental) como de oposición (privilegiando su dimensión finalista), rara vez aceptada en su dualidad (medio y fin al mismo tiempo).</w:t>
            </w:r>
          </w:p>
        </w:tc>
      </w:tr>
      <w:tr>
        <w:trPr>
          <w:trHeight w:val="386" w:hRule="exact"/>
        </w:trPr>
        <w:tc>
          <w:tcPr>
            <w:tcW w:w="862" w:type="dxa"/>
          </w:tcPr>
          <w:p>
            <w:pPr>
              <w:pStyle w:val="TableParagraph"/>
              <w:spacing w:before="4"/>
              <w:rPr>
                <w:rFonts w:ascii="Times New Roman"/>
                <w:sz w:val="14"/>
              </w:rPr>
            </w:pPr>
          </w:p>
          <w:p>
            <w:pPr>
              <w:pStyle w:val="TableParagraph"/>
              <w:ind w:left="124" w:right="122"/>
              <w:jc w:val="center"/>
              <w:rPr>
                <w:sz w:val="18"/>
              </w:rPr>
            </w:pPr>
            <w:r>
              <w:rPr>
                <w:sz w:val="18"/>
              </w:rPr>
              <w:t>23</w:t>
            </w:r>
          </w:p>
        </w:tc>
        <w:tc>
          <w:tcPr>
            <w:tcW w:w="7962" w:type="dxa"/>
          </w:tcPr>
          <w:p>
            <w:pPr>
              <w:pStyle w:val="TableParagraph"/>
              <w:spacing w:before="4"/>
              <w:rPr>
                <w:rFonts w:ascii="Times New Roman"/>
                <w:sz w:val="14"/>
              </w:rPr>
            </w:pPr>
          </w:p>
          <w:p>
            <w:pPr>
              <w:pStyle w:val="TableParagraph"/>
              <w:ind w:left="64" w:right="43"/>
              <w:rPr>
                <w:sz w:val="18"/>
              </w:rPr>
            </w:pPr>
            <w:r>
              <w:rPr>
                <w:sz w:val="18"/>
              </w:rPr>
              <w:t>Sin hipótesis</w:t>
            </w:r>
          </w:p>
        </w:tc>
      </w:tr>
      <w:tr>
        <w:trPr>
          <w:trHeight w:val="250" w:hRule="exact"/>
        </w:trPr>
        <w:tc>
          <w:tcPr>
            <w:tcW w:w="862" w:type="dxa"/>
          </w:tcPr>
          <w:p>
            <w:pPr>
              <w:pStyle w:val="TableParagraph"/>
              <w:spacing w:before="28"/>
              <w:ind w:left="124" w:right="122"/>
              <w:jc w:val="center"/>
              <w:rPr>
                <w:sz w:val="18"/>
              </w:rPr>
            </w:pPr>
            <w:r>
              <w:rPr>
                <w:sz w:val="18"/>
              </w:rPr>
              <w:t>24</w:t>
            </w:r>
          </w:p>
        </w:tc>
        <w:tc>
          <w:tcPr>
            <w:tcW w:w="7962" w:type="dxa"/>
          </w:tcPr>
          <w:p>
            <w:pPr>
              <w:pStyle w:val="TableParagraph"/>
              <w:spacing w:before="28"/>
              <w:ind w:left="64" w:right="43"/>
              <w:rPr>
                <w:sz w:val="18"/>
              </w:rPr>
            </w:pPr>
            <w:r>
              <w:rPr>
                <w:sz w:val="18"/>
              </w:rPr>
              <w:t>Sin hipótesis</w:t>
            </w:r>
          </w:p>
        </w:tc>
      </w:tr>
      <w:tr>
        <w:trPr>
          <w:trHeight w:val="626" w:hRule="exact"/>
        </w:trPr>
        <w:tc>
          <w:tcPr>
            <w:tcW w:w="862" w:type="dxa"/>
          </w:tcPr>
          <w:p>
            <w:pPr>
              <w:pStyle w:val="TableParagraph"/>
              <w:rPr>
                <w:rFonts w:ascii="Times New Roman"/>
                <w:sz w:val="18"/>
              </w:rPr>
            </w:pPr>
          </w:p>
          <w:p>
            <w:pPr>
              <w:pStyle w:val="TableParagraph"/>
              <w:spacing w:before="3"/>
              <w:rPr>
                <w:rFonts w:ascii="Times New Roman"/>
                <w:sz w:val="17"/>
              </w:rPr>
            </w:pPr>
          </w:p>
          <w:p>
            <w:pPr>
              <w:pStyle w:val="TableParagraph"/>
              <w:ind w:left="124" w:right="122"/>
              <w:jc w:val="center"/>
              <w:rPr>
                <w:sz w:val="18"/>
              </w:rPr>
            </w:pPr>
            <w:r>
              <w:rPr>
                <w:sz w:val="18"/>
              </w:rPr>
              <w:t>25</w:t>
            </w:r>
          </w:p>
        </w:tc>
        <w:tc>
          <w:tcPr>
            <w:tcW w:w="7962" w:type="dxa"/>
          </w:tcPr>
          <w:p>
            <w:pPr>
              <w:pStyle w:val="TableParagraph"/>
              <w:spacing w:before="1"/>
              <w:rPr>
                <w:rFonts w:ascii="Times New Roman"/>
                <w:sz w:val="17"/>
              </w:rPr>
            </w:pPr>
          </w:p>
          <w:p>
            <w:pPr>
              <w:pStyle w:val="TableParagraph"/>
              <w:ind w:left="64" w:right="43"/>
              <w:rPr>
                <w:sz w:val="18"/>
              </w:rPr>
            </w:pPr>
            <w:r>
              <w:rPr>
                <w:sz w:val="18"/>
              </w:rPr>
              <w:t>Que procesos de transformación y globalización que tienen lugar en Latinoamérica, y su repercusión sobre el desarrollo de sus grandes metrópolis</w:t>
            </w:r>
          </w:p>
        </w:tc>
      </w:tr>
      <w:tr>
        <w:trPr>
          <w:trHeight w:val="730" w:hRule="exact"/>
        </w:trPr>
        <w:tc>
          <w:tcPr>
            <w:tcW w:w="862" w:type="dxa"/>
          </w:tcPr>
          <w:p>
            <w:pPr>
              <w:pStyle w:val="TableParagraph"/>
              <w:rPr>
                <w:rFonts w:ascii="Times New Roman"/>
                <w:sz w:val="18"/>
              </w:rPr>
            </w:pPr>
          </w:p>
          <w:p>
            <w:pPr>
              <w:pStyle w:val="TableParagraph"/>
              <w:spacing w:before="2"/>
              <w:rPr>
                <w:rFonts w:ascii="Times New Roman"/>
                <w:sz w:val="26"/>
              </w:rPr>
            </w:pPr>
          </w:p>
          <w:p>
            <w:pPr>
              <w:pStyle w:val="TableParagraph"/>
              <w:spacing w:before="1"/>
              <w:ind w:left="124" w:right="122"/>
              <w:jc w:val="center"/>
              <w:rPr>
                <w:sz w:val="18"/>
              </w:rPr>
            </w:pPr>
            <w:r>
              <w:rPr>
                <w:sz w:val="18"/>
              </w:rPr>
              <w:t>26</w:t>
            </w:r>
          </w:p>
        </w:tc>
        <w:tc>
          <w:tcPr>
            <w:tcW w:w="7962" w:type="dxa"/>
          </w:tcPr>
          <w:p>
            <w:pPr>
              <w:pStyle w:val="TableParagraph"/>
              <w:spacing w:before="96"/>
              <w:ind w:left="64"/>
              <w:rPr>
                <w:sz w:val="18"/>
              </w:rPr>
            </w:pPr>
            <w:r>
              <w:rPr>
                <w:sz w:val="18"/>
              </w:rPr>
              <w:t>Analizamos las estrategias de reproducción y modos de vida de los sectores populares y sectores medios empobrecidos y vulnerables asentados en esta área, con base en los resultados de investigaciones adelantadas por el Área Urbano Regional de CENDES</w:t>
            </w:r>
          </w:p>
        </w:tc>
      </w:tr>
      <w:tr>
        <w:trPr>
          <w:trHeight w:val="253" w:hRule="exact"/>
        </w:trPr>
        <w:tc>
          <w:tcPr>
            <w:tcW w:w="862" w:type="dxa"/>
          </w:tcPr>
          <w:p>
            <w:pPr>
              <w:pStyle w:val="TableParagraph"/>
              <w:spacing w:before="29"/>
              <w:ind w:left="124" w:right="122"/>
              <w:jc w:val="center"/>
              <w:rPr>
                <w:sz w:val="18"/>
              </w:rPr>
            </w:pPr>
            <w:r>
              <w:rPr>
                <w:sz w:val="18"/>
              </w:rPr>
              <w:t>27</w:t>
            </w:r>
          </w:p>
        </w:tc>
        <w:tc>
          <w:tcPr>
            <w:tcW w:w="7962" w:type="dxa"/>
          </w:tcPr>
          <w:p>
            <w:pPr>
              <w:pStyle w:val="TableParagraph"/>
              <w:spacing w:before="29"/>
              <w:ind w:left="64" w:right="43"/>
              <w:rPr>
                <w:sz w:val="18"/>
              </w:rPr>
            </w:pPr>
            <w:r>
              <w:rPr>
                <w:sz w:val="18"/>
              </w:rPr>
              <w:t>Sin hipótesis</w:t>
            </w:r>
          </w:p>
        </w:tc>
      </w:tr>
      <w:tr>
        <w:trPr>
          <w:trHeight w:val="250" w:hRule="exact"/>
        </w:trPr>
        <w:tc>
          <w:tcPr>
            <w:tcW w:w="862" w:type="dxa"/>
          </w:tcPr>
          <w:p>
            <w:pPr>
              <w:pStyle w:val="TableParagraph"/>
              <w:spacing w:before="28"/>
              <w:ind w:left="124" w:right="122"/>
              <w:jc w:val="center"/>
              <w:rPr>
                <w:sz w:val="18"/>
              </w:rPr>
            </w:pPr>
            <w:r>
              <w:rPr>
                <w:sz w:val="18"/>
              </w:rPr>
              <w:t>28</w:t>
            </w:r>
          </w:p>
        </w:tc>
        <w:tc>
          <w:tcPr>
            <w:tcW w:w="7962" w:type="dxa"/>
          </w:tcPr>
          <w:p>
            <w:pPr>
              <w:pStyle w:val="TableParagraph"/>
              <w:spacing w:before="28"/>
              <w:ind w:left="64" w:right="43"/>
              <w:rPr>
                <w:sz w:val="18"/>
              </w:rPr>
            </w:pPr>
            <w:r>
              <w:rPr>
                <w:sz w:val="18"/>
              </w:rPr>
              <w:t>Sin hipótesis</w:t>
            </w:r>
          </w:p>
        </w:tc>
      </w:tr>
      <w:tr>
        <w:trPr>
          <w:trHeight w:val="1044" w:hRule="exact"/>
        </w:trPr>
        <w:tc>
          <w:tcPr>
            <w:tcW w:w="86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6"/>
              <w:rPr>
                <w:rFonts w:ascii="Times New Roman"/>
                <w:sz w:val="17"/>
              </w:rPr>
            </w:pPr>
          </w:p>
          <w:p>
            <w:pPr>
              <w:pStyle w:val="TableParagraph"/>
              <w:ind w:left="124" w:right="122"/>
              <w:jc w:val="center"/>
              <w:rPr>
                <w:sz w:val="18"/>
              </w:rPr>
            </w:pPr>
            <w:r>
              <w:rPr>
                <w:sz w:val="18"/>
              </w:rPr>
              <w:t>29</w:t>
            </w:r>
          </w:p>
        </w:tc>
        <w:tc>
          <w:tcPr>
            <w:tcW w:w="7962" w:type="dxa"/>
          </w:tcPr>
          <w:p>
            <w:pPr>
              <w:pStyle w:val="TableParagraph"/>
              <w:ind w:left="64" w:right="94"/>
              <w:rPr>
                <w:sz w:val="18"/>
              </w:rPr>
            </w:pPr>
            <w:r>
              <w:rPr>
                <w:sz w:val="18"/>
              </w:rPr>
              <w:t>El enfoque sobre los impactos territoriales de la reestructuración y la globalización, muy en boga actualmente, parece demasiado esquemático para dar cuenta del rol que la configuración del espacio tiene en la sustentabilidad social de las ciudades, y demasiado general para dar cuenta de la especificidad de cada ciudad y de los desafíos que las políticas urbanas están enfrentando allí</w:t>
            </w:r>
          </w:p>
        </w:tc>
      </w:tr>
      <w:tr>
        <w:trPr>
          <w:trHeight w:val="492" w:hRule="exact"/>
        </w:trPr>
        <w:tc>
          <w:tcPr>
            <w:tcW w:w="862" w:type="dxa"/>
          </w:tcPr>
          <w:p>
            <w:pPr>
              <w:pStyle w:val="TableParagraph"/>
              <w:spacing w:before="4"/>
              <w:rPr>
                <w:rFonts w:ascii="Times New Roman"/>
                <w:sz w:val="23"/>
              </w:rPr>
            </w:pPr>
          </w:p>
          <w:p>
            <w:pPr>
              <w:pStyle w:val="TableParagraph"/>
              <w:ind w:left="124" w:right="122"/>
              <w:jc w:val="center"/>
              <w:rPr>
                <w:sz w:val="18"/>
              </w:rPr>
            </w:pPr>
            <w:r>
              <w:rPr>
                <w:sz w:val="18"/>
              </w:rPr>
              <w:t>30</w:t>
            </w:r>
          </w:p>
        </w:tc>
        <w:tc>
          <w:tcPr>
            <w:tcW w:w="7962" w:type="dxa"/>
          </w:tcPr>
          <w:p>
            <w:pPr>
              <w:pStyle w:val="TableParagraph"/>
              <w:spacing w:before="62"/>
              <w:ind w:left="64" w:right="43"/>
              <w:rPr>
                <w:sz w:val="18"/>
              </w:rPr>
            </w:pPr>
            <w:r>
              <w:rPr>
                <w:sz w:val="18"/>
              </w:rPr>
              <w:t>Es frecuente la utilización de diversas denominaciones para aludir al mismo tipo de fenómeno, mientras en otras ocasiones un mismo término se utiliza con significados diversos según autores.</w:t>
            </w:r>
          </w:p>
        </w:tc>
      </w:tr>
    </w:tbl>
    <w:p>
      <w:pPr>
        <w:pStyle w:val="BodyText"/>
        <w:rPr>
          <w:rFonts w:ascii="Times New Roman"/>
          <w:sz w:val="20"/>
        </w:rPr>
      </w:pPr>
    </w:p>
    <w:p>
      <w:pPr>
        <w:pStyle w:val="BodyText"/>
        <w:spacing w:before="6"/>
        <w:rPr>
          <w:rFonts w:ascii="Times New Roman"/>
          <w:sz w:val="15"/>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66"/>
        <w:gridCol w:w="7989"/>
      </w:tblGrid>
      <w:tr>
        <w:trPr>
          <w:trHeight w:val="312" w:hRule="exact"/>
        </w:trPr>
        <w:tc>
          <w:tcPr>
            <w:tcW w:w="866" w:type="dxa"/>
          </w:tcPr>
          <w:p>
            <w:pPr/>
          </w:p>
        </w:tc>
        <w:tc>
          <w:tcPr>
            <w:tcW w:w="7989" w:type="dxa"/>
          </w:tcPr>
          <w:p>
            <w:pPr>
              <w:pStyle w:val="TableParagraph"/>
              <w:spacing w:before="22"/>
              <w:ind w:left="1341" w:right="31"/>
              <w:rPr>
                <w:b/>
                <w:sz w:val="24"/>
              </w:rPr>
            </w:pPr>
            <w:r>
              <w:rPr>
                <w:b/>
                <w:sz w:val="24"/>
              </w:rPr>
              <w:t>Sección 2. Objeto de investigación (variable 3)</w:t>
            </w:r>
          </w:p>
        </w:tc>
      </w:tr>
      <w:tr>
        <w:trPr>
          <w:trHeight w:val="310" w:hRule="exact"/>
        </w:trPr>
        <w:tc>
          <w:tcPr>
            <w:tcW w:w="866" w:type="dxa"/>
            <w:vMerge w:val="restart"/>
          </w:tcPr>
          <w:p>
            <w:pPr>
              <w:pStyle w:val="TableParagraph"/>
              <w:ind w:left="127" w:right="127"/>
              <w:jc w:val="center"/>
              <w:rPr>
                <w:sz w:val="18"/>
              </w:rPr>
            </w:pPr>
            <w:r>
              <w:rPr>
                <w:sz w:val="18"/>
              </w:rPr>
              <w:t>Unidad de análisis</w:t>
            </w:r>
          </w:p>
        </w:tc>
        <w:tc>
          <w:tcPr>
            <w:tcW w:w="7989" w:type="dxa"/>
          </w:tcPr>
          <w:p>
            <w:pPr>
              <w:pStyle w:val="TableParagraph"/>
              <w:spacing w:before="85"/>
              <w:ind w:left="3229" w:right="3229"/>
              <w:jc w:val="center"/>
              <w:rPr>
                <w:b/>
                <w:sz w:val="18"/>
              </w:rPr>
            </w:pPr>
            <w:r>
              <w:rPr>
                <w:b/>
                <w:sz w:val="18"/>
              </w:rPr>
              <w:t>variable 3</w:t>
            </w:r>
          </w:p>
        </w:tc>
      </w:tr>
      <w:tr>
        <w:trPr>
          <w:trHeight w:val="320" w:hRule="exact"/>
        </w:trPr>
        <w:tc>
          <w:tcPr>
            <w:tcW w:w="866" w:type="dxa"/>
            <w:vMerge/>
          </w:tcPr>
          <w:p>
            <w:pPr/>
          </w:p>
        </w:tc>
        <w:tc>
          <w:tcPr>
            <w:tcW w:w="7989" w:type="dxa"/>
          </w:tcPr>
          <w:p>
            <w:pPr>
              <w:pStyle w:val="TableParagraph"/>
              <w:spacing w:before="98"/>
              <w:ind w:left="3229" w:right="3229"/>
              <w:jc w:val="center"/>
              <w:rPr>
                <w:b/>
                <w:sz w:val="18"/>
              </w:rPr>
            </w:pPr>
            <w:r>
              <w:rPr>
                <w:b/>
                <w:sz w:val="18"/>
              </w:rPr>
              <w:t>Teoría a rechazar</w:t>
            </w:r>
          </w:p>
        </w:tc>
      </w:tr>
      <w:tr>
        <w:trPr>
          <w:trHeight w:val="252" w:hRule="exact"/>
        </w:trPr>
        <w:tc>
          <w:tcPr>
            <w:tcW w:w="866" w:type="dxa"/>
          </w:tcPr>
          <w:p>
            <w:pPr>
              <w:pStyle w:val="TableParagraph"/>
              <w:spacing w:before="32"/>
              <w:ind w:left="376"/>
              <w:rPr>
                <w:sz w:val="18"/>
              </w:rPr>
            </w:pPr>
            <w:r>
              <w:rPr>
                <w:w w:val="99"/>
                <w:sz w:val="18"/>
              </w:rPr>
              <w:t>1</w:t>
            </w:r>
          </w:p>
        </w:tc>
        <w:tc>
          <w:tcPr>
            <w:tcW w:w="7989" w:type="dxa"/>
          </w:tcPr>
          <w:p>
            <w:pPr>
              <w:pStyle w:val="TableParagraph"/>
              <w:spacing w:before="32"/>
              <w:ind w:left="64" w:right="31"/>
              <w:rPr>
                <w:sz w:val="18"/>
              </w:rPr>
            </w:pPr>
            <w:r>
              <w:rPr>
                <w:sz w:val="18"/>
              </w:rPr>
              <w:t>Teoría del espejo (desigualdad-segregación) e índice de disimilaridad</w:t>
            </w:r>
          </w:p>
        </w:tc>
      </w:tr>
      <w:tr>
        <w:trPr>
          <w:trHeight w:val="250" w:hRule="exact"/>
        </w:trPr>
        <w:tc>
          <w:tcPr>
            <w:tcW w:w="866" w:type="dxa"/>
          </w:tcPr>
          <w:p>
            <w:pPr>
              <w:pStyle w:val="TableParagraph"/>
              <w:spacing w:before="32"/>
              <w:ind w:left="376"/>
              <w:rPr>
                <w:sz w:val="18"/>
              </w:rPr>
            </w:pPr>
            <w:r>
              <w:rPr>
                <w:w w:val="99"/>
                <w:sz w:val="18"/>
              </w:rPr>
              <w:t>2</w:t>
            </w:r>
          </w:p>
        </w:tc>
        <w:tc>
          <w:tcPr>
            <w:tcW w:w="7989" w:type="dxa"/>
          </w:tcPr>
          <w:p>
            <w:pPr>
              <w:pStyle w:val="TableParagraph"/>
              <w:spacing w:before="32"/>
              <w:ind w:left="64" w:right="31"/>
              <w:rPr>
                <w:sz w:val="18"/>
              </w:rPr>
            </w:pPr>
            <w:r>
              <w:rPr>
                <w:sz w:val="18"/>
              </w:rPr>
              <w:t>Fragmentación socioespacial y modelo de ciudad latinoamericana</w:t>
            </w:r>
          </w:p>
        </w:tc>
      </w:tr>
      <w:tr>
        <w:trPr>
          <w:trHeight w:val="415" w:hRule="exact"/>
        </w:trPr>
        <w:tc>
          <w:tcPr>
            <w:tcW w:w="866" w:type="dxa"/>
          </w:tcPr>
          <w:p>
            <w:pPr>
              <w:pStyle w:val="TableParagraph"/>
              <w:rPr>
                <w:rFonts w:ascii="Times New Roman"/>
                <w:sz w:val="17"/>
              </w:rPr>
            </w:pPr>
          </w:p>
          <w:p>
            <w:pPr>
              <w:pStyle w:val="TableParagraph"/>
              <w:ind w:left="376"/>
              <w:rPr>
                <w:sz w:val="18"/>
              </w:rPr>
            </w:pPr>
            <w:r>
              <w:rPr>
                <w:w w:val="99"/>
                <w:sz w:val="18"/>
              </w:rPr>
              <w:t>3</w:t>
            </w:r>
          </w:p>
        </w:tc>
        <w:tc>
          <w:tcPr>
            <w:tcW w:w="7989" w:type="dxa"/>
          </w:tcPr>
          <w:p>
            <w:pPr/>
          </w:p>
        </w:tc>
      </w:tr>
      <w:tr>
        <w:trPr>
          <w:trHeight w:val="250" w:hRule="exact"/>
        </w:trPr>
        <w:tc>
          <w:tcPr>
            <w:tcW w:w="866" w:type="dxa"/>
          </w:tcPr>
          <w:p>
            <w:pPr>
              <w:pStyle w:val="TableParagraph"/>
              <w:spacing w:before="32"/>
              <w:ind w:left="376"/>
              <w:rPr>
                <w:sz w:val="18"/>
              </w:rPr>
            </w:pPr>
            <w:r>
              <w:rPr>
                <w:w w:val="99"/>
                <w:sz w:val="18"/>
              </w:rPr>
              <w:t>4</w:t>
            </w:r>
          </w:p>
        </w:tc>
        <w:tc>
          <w:tcPr>
            <w:tcW w:w="7989" w:type="dxa"/>
          </w:tcPr>
          <w:p>
            <w:pPr/>
          </w:p>
        </w:tc>
      </w:tr>
      <w:tr>
        <w:trPr>
          <w:trHeight w:val="250" w:hRule="exact"/>
        </w:trPr>
        <w:tc>
          <w:tcPr>
            <w:tcW w:w="866" w:type="dxa"/>
          </w:tcPr>
          <w:p>
            <w:pPr>
              <w:pStyle w:val="TableParagraph"/>
              <w:spacing w:before="32"/>
              <w:ind w:left="376"/>
              <w:rPr>
                <w:sz w:val="18"/>
              </w:rPr>
            </w:pPr>
            <w:r>
              <w:rPr>
                <w:w w:val="99"/>
                <w:sz w:val="18"/>
              </w:rPr>
              <w:t>5</w:t>
            </w:r>
          </w:p>
        </w:tc>
        <w:tc>
          <w:tcPr>
            <w:tcW w:w="7989" w:type="dxa"/>
          </w:tcPr>
          <w:p>
            <w:pPr/>
          </w:p>
        </w:tc>
      </w:tr>
      <w:tr>
        <w:trPr>
          <w:trHeight w:val="250" w:hRule="exact"/>
        </w:trPr>
        <w:tc>
          <w:tcPr>
            <w:tcW w:w="866" w:type="dxa"/>
          </w:tcPr>
          <w:p>
            <w:pPr>
              <w:pStyle w:val="TableParagraph"/>
              <w:spacing w:before="32"/>
              <w:ind w:left="376"/>
              <w:rPr>
                <w:sz w:val="18"/>
              </w:rPr>
            </w:pPr>
            <w:r>
              <w:rPr>
                <w:w w:val="99"/>
                <w:sz w:val="18"/>
              </w:rPr>
              <w:t>6</w:t>
            </w:r>
          </w:p>
        </w:tc>
        <w:tc>
          <w:tcPr>
            <w:tcW w:w="7989" w:type="dxa"/>
          </w:tcPr>
          <w:p>
            <w:pPr/>
          </w:p>
        </w:tc>
      </w:tr>
      <w:tr>
        <w:trPr>
          <w:trHeight w:val="250" w:hRule="exact"/>
        </w:trPr>
        <w:tc>
          <w:tcPr>
            <w:tcW w:w="866" w:type="dxa"/>
          </w:tcPr>
          <w:p>
            <w:pPr>
              <w:pStyle w:val="TableParagraph"/>
              <w:spacing w:before="32"/>
              <w:ind w:left="376"/>
              <w:rPr>
                <w:sz w:val="18"/>
              </w:rPr>
            </w:pPr>
            <w:r>
              <w:rPr>
                <w:w w:val="99"/>
                <w:sz w:val="18"/>
              </w:rPr>
              <w:t>7</w:t>
            </w:r>
          </w:p>
        </w:tc>
        <w:tc>
          <w:tcPr>
            <w:tcW w:w="7989" w:type="dxa"/>
          </w:tcPr>
          <w:p>
            <w:pPr/>
          </w:p>
        </w:tc>
      </w:tr>
      <w:tr>
        <w:trPr>
          <w:trHeight w:val="252" w:hRule="exact"/>
        </w:trPr>
        <w:tc>
          <w:tcPr>
            <w:tcW w:w="866" w:type="dxa"/>
          </w:tcPr>
          <w:p>
            <w:pPr>
              <w:pStyle w:val="TableParagraph"/>
              <w:spacing w:before="32"/>
              <w:ind w:left="376"/>
              <w:rPr>
                <w:sz w:val="18"/>
              </w:rPr>
            </w:pPr>
            <w:r>
              <w:rPr>
                <w:w w:val="99"/>
                <w:sz w:val="18"/>
              </w:rPr>
              <w:t>8</w:t>
            </w:r>
          </w:p>
        </w:tc>
        <w:tc>
          <w:tcPr>
            <w:tcW w:w="7989" w:type="dxa"/>
          </w:tcPr>
          <w:p>
            <w:pPr/>
          </w:p>
        </w:tc>
      </w:tr>
      <w:tr>
        <w:trPr>
          <w:trHeight w:val="250" w:hRule="exact"/>
        </w:trPr>
        <w:tc>
          <w:tcPr>
            <w:tcW w:w="866" w:type="dxa"/>
          </w:tcPr>
          <w:p>
            <w:pPr>
              <w:pStyle w:val="TableParagraph"/>
              <w:spacing w:before="30"/>
              <w:ind w:left="376"/>
              <w:rPr>
                <w:sz w:val="18"/>
              </w:rPr>
            </w:pPr>
            <w:r>
              <w:rPr>
                <w:w w:val="99"/>
                <w:sz w:val="18"/>
              </w:rPr>
              <w:t>9</w:t>
            </w:r>
          </w:p>
        </w:tc>
        <w:tc>
          <w:tcPr>
            <w:tcW w:w="7989" w:type="dxa"/>
          </w:tcPr>
          <w:p>
            <w:pPr/>
          </w:p>
        </w:tc>
      </w:tr>
      <w:tr>
        <w:trPr>
          <w:trHeight w:val="250" w:hRule="exact"/>
        </w:trPr>
        <w:tc>
          <w:tcPr>
            <w:tcW w:w="866" w:type="dxa"/>
          </w:tcPr>
          <w:p>
            <w:pPr>
              <w:pStyle w:val="TableParagraph"/>
              <w:spacing w:before="32"/>
              <w:ind w:left="328"/>
              <w:rPr>
                <w:sz w:val="18"/>
              </w:rPr>
            </w:pPr>
            <w:r>
              <w:rPr>
                <w:sz w:val="18"/>
              </w:rPr>
              <w:t>10</w:t>
            </w:r>
          </w:p>
        </w:tc>
        <w:tc>
          <w:tcPr>
            <w:tcW w:w="7989" w:type="dxa"/>
          </w:tcPr>
          <w:p>
            <w:pPr/>
          </w:p>
        </w:tc>
      </w:tr>
      <w:tr>
        <w:trPr>
          <w:trHeight w:val="550" w:hRule="exact"/>
        </w:trPr>
        <w:tc>
          <w:tcPr>
            <w:tcW w:w="866" w:type="dxa"/>
          </w:tcPr>
          <w:p>
            <w:pPr>
              <w:pStyle w:val="TableParagraph"/>
              <w:rPr>
                <w:rFonts w:ascii="Times New Roman"/>
                <w:sz w:val="18"/>
              </w:rPr>
            </w:pPr>
          </w:p>
          <w:p>
            <w:pPr>
              <w:pStyle w:val="TableParagraph"/>
              <w:spacing w:before="126"/>
              <w:ind w:left="328"/>
              <w:rPr>
                <w:sz w:val="18"/>
              </w:rPr>
            </w:pPr>
            <w:r>
              <w:rPr>
                <w:sz w:val="18"/>
              </w:rPr>
              <w:t>11</w:t>
            </w:r>
          </w:p>
        </w:tc>
        <w:tc>
          <w:tcPr>
            <w:tcW w:w="7989" w:type="dxa"/>
          </w:tcPr>
          <w:p>
            <w:pPr>
              <w:pStyle w:val="TableParagraph"/>
              <w:spacing w:before="127"/>
              <w:ind w:left="64" w:right="31"/>
              <w:rPr>
                <w:sz w:val="18"/>
              </w:rPr>
            </w:pPr>
            <w:r>
              <w:rPr>
                <w:sz w:val="18"/>
              </w:rPr>
              <w:t>Que los impactos de la economía de mercado, a nivel local y regional, el comercio y la movilidad de la población son las fuerzas que guían los procesos de expansión urbana,</w:t>
            </w:r>
          </w:p>
        </w:tc>
      </w:tr>
      <w:tr>
        <w:trPr>
          <w:trHeight w:val="250" w:hRule="exact"/>
        </w:trPr>
        <w:tc>
          <w:tcPr>
            <w:tcW w:w="866" w:type="dxa"/>
          </w:tcPr>
          <w:p>
            <w:pPr>
              <w:pStyle w:val="TableParagraph"/>
              <w:spacing w:before="32"/>
              <w:ind w:left="328"/>
              <w:rPr>
                <w:sz w:val="18"/>
              </w:rPr>
            </w:pPr>
            <w:r>
              <w:rPr>
                <w:sz w:val="18"/>
              </w:rPr>
              <w:t>12</w:t>
            </w:r>
          </w:p>
        </w:tc>
        <w:tc>
          <w:tcPr>
            <w:tcW w:w="7989" w:type="dxa"/>
          </w:tcPr>
          <w:p>
            <w:pPr>
              <w:pStyle w:val="TableParagraph"/>
              <w:spacing w:before="32"/>
              <w:ind w:left="64" w:right="31"/>
              <w:rPr>
                <w:sz w:val="18"/>
              </w:rPr>
            </w:pPr>
            <w:r>
              <w:rPr>
                <w:sz w:val="18"/>
              </w:rPr>
              <w:t>Segregación residencial</w:t>
            </w:r>
          </w:p>
        </w:tc>
      </w:tr>
      <w:tr>
        <w:trPr>
          <w:trHeight w:val="250" w:hRule="exact"/>
        </w:trPr>
        <w:tc>
          <w:tcPr>
            <w:tcW w:w="866" w:type="dxa"/>
          </w:tcPr>
          <w:p>
            <w:pPr>
              <w:pStyle w:val="TableParagraph"/>
              <w:spacing w:before="32"/>
              <w:ind w:left="328"/>
              <w:rPr>
                <w:sz w:val="18"/>
              </w:rPr>
            </w:pPr>
            <w:r>
              <w:rPr>
                <w:sz w:val="18"/>
              </w:rPr>
              <w:t>13</w:t>
            </w:r>
          </w:p>
        </w:tc>
        <w:tc>
          <w:tcPr>
            <w:tcW w:w="7989" w:type="dxa"/>
          </w:tcPr>
          <w:p>
            <w:pPr/>
          </w:p>
        </w:tc>
      </w:tr>
      <w:tr>
        <w:trPr>
          <w:trHeight w:val="252" w:hRule="exact"/>
        </w:trPr>
        <w:tc>
          <w:tcPr>
            <w:tcW w:w="866" w:type="dxa"/>
          </w:tcPr>
          <w:p>
            <w:pPr>
              <w:pStyle w:val="TableParagraph"/>
              <w:spacing w:before="32"/>
              <w:ind w:left="328"/>
              <w:rPr>
                <w:sz w:val="18"/>
              </w:rPr>
            </w:pPr>
            <w:r>
              <w:rPr>
                <w:sz w:val="18"/>
              </w:rPr>
              <w:t>14</w:t>
            </w:r>
          </w:p>
        </w:tc>
        <w:tc>
          <w:tcPr>
            <w:tcW w:w="7989" w:type="dxa"/>
          </w:tcPr>
          <w:p>
            <w:pPr/>
          </w:p>
        </w:tc>
      </w:tr>
      <w:tr>
        <w:trPr>
          <w:trHeight w:val="250" w:hRule="exact"/>
        </w:trPr>
        <w:tc>
          <w:tcPr>
            <w:tcW w:w="866" w:type="dxa"/>
          </w:tcPr>
          <w:p>
            <w:pPr>
              <w:pStyle w:val="TableParagraph"/>
              <w:spacing w:before="30"/>
              <w:ind w:left="328"/>
              <w:rPr>
                <w:sz w:val="18"/>
              </w:rPr>
            </w:pPr>
            <w:r>
              <w:rPr>
                <w:sz w:val="18"/>
              </w:rPr>
              <w:t>15</w:t>
            </w:r>
          </w:p>
        </w:tc>
        <w:tc>
          <w:tcPr>
            <w:tcW w:w="7989" w:type="dxa"/>
          </w:tcPr>
          <w:p>
            <w:pPr/>
          </w:p>
        </w:tc>
      </w:tr>
      <w:tr>
        <w:trPr>
          <w:trHeight w:val="250" w:hRule="exact"/>
        </w:trPr>
        <w:tc>
          <w:tcPr>
            <w:tcW w:w="866" w:type="dxa"/>
          </w:tcPr>
          <w:p>
            <w:pPr>
              <w:pStyle w:val="TableParagraph"/>
              <w:spacing w:before="32"/>
              <w:ind w:left="328"/>
              <w:rPr>
                <w:sz w:val="18"/>
              </w:rPr>
            </w:pPr>
            <w:r>
              <w:rPr>
                <w:sz w:val="18"/>
              </w:rPr>
              <w:t>16</w:t>
            </w:r>
          </w:p>
        </w:tc>
        <w:tc>
          <w:tcPr>
            <w:tcW w:w="7989" w:type="dxa"/>
          </w:tcPr>
          <w:p>
            <w:pPr/>
          </w:p>
        </w:tc>
      </w:tr>
      <w:tr>
        <w:trPr>
          <w:trHeight w:val="250" w:hRule="exact"/>
        </w:trPr>
        <w:tc>
          <w:tcPr>
            <w:tcW w:w="866" w:type="dxa"/>
          </w:tcPr>
          <w:p>
            <w:pPr>
              <w:pStyle w:val="TableParagraph"/>
              <w:spacing w:before="32"/>
              <w:ind w:left="328"/>
              <w:rPr>
                <w:sz w:val="18"/>
              </w:rPr>
            </w:pPr>
            <w:r>
              <w:rPr>
                <w:sz w:val="18"/>
              </w:rPr>
              <w:t>17</w:t>
            </w:r>
          </w:p>
        </w:tc>
        <w:tc>
          <w:tcPr>
            <w:tcW w:w="7989" w:type="dxa"/>
          </w:tcPr>
          <w:p>
            <w:pPr/>
          </w:p>
        </w:tc>
      </w:tr>
      <w:tr>
        <w:trPr>
          <w:trHeight w:val="250" w:hRule="exact"/>
        </w:trPr>
        <w:tc>
          <w:tcPr>
            <w:tcW w:w="866" w:type="dxa"/>
          </w:tcPr>
          <w:p>
            <w:pPr>
              <w:pStyle w:val="TableParagraph"/>
              <w:spacing w:before="32"/>
              <w:ind w:left="328"/>
              <w:rPr>
                <w:sz w:val="18"/>
              </w:rPr>
            </w:pPr>
            <w:r>
              <w:rPr>
                <w:sz w:val="18"/>
              </w:rPr>
              <w:t>18</w:t>
            </w:r>
          </w:p>
        </w:tc>
        <w:tc>
          <w:tcPr>
            <w:tcW w:w="7989" w:type="dxa"/>
          </w:tcPr>
          <w:p>
            <w:pPr/>
          </w:p>
        </w:tc>
      </w:tr>
      <w:tr>
        <w:trPr>
          <w:trHeight w:val="250" w:hRule="exact"/>
        </w:trPr>
        <w:tc>
          <w:tcPr>
            <w:tcW w:w="866" w:type="dxa"/>
          </w:tcPr>
          <w:p>
            <w:pPr>
              <w:pStyle w:val="TableParagraph"/>
              <w:spacing w:before="32"/>
              <w:ind w:left="328"/>
              <w:rPr>
                <w:sz w:val="18"/>
              </w:rPr>
            </w:pPr>
            <w:r>
              <w:rPr>
                <w:sz w:val="18"/>
              </w:rPr>
              <w:t>19</w:t>
            </w:r>
          </w:p>
        </w:tc>
        <w:tc>
          <w:tcPr>
            <w:tcW w:w="7989" w:type="dxa"/>
          </w:tcPr>
          <w:p>
            <w:pPr/>
          </w:p>
        </w:tc>
      </w:tr>
      <w:tr>
        <w:trPr>
          <w:trHeight w:val="252" w:hRule="exact"/>
        </w:trPr>
        <w:tc>
          <w:tcPr>
            <w:tcW w:w="866" w:type="dxa"/>
          </w:tcPr>
          <w:p>
            <w:pPr>
              <w:pStyle w:val="TableParagraph"/>
              <w:spacing w:before="32"/>
              <w:ind w:left="328"/>
              <w:rPr>
                <w:sz w:val="18"/>
              </w:rPr>
            </w:pPr>
            <w:r>
              <w:rPr>
                <w:sz w:val="18"/>
              </w:rPr>
              <w:t>20</w:t>
            </w:r>
          </w:p>
        </w:tc>
        <w:tc>
          <w:tcPr>
            <w:tcW w:w="7989" w:type="dxa"/>
          </w:tcPr>
          <w:p>
            <w:pPr/>
          </w:p>
        </w:tc>
      </w:tr>
      <w:tr>
        <w:trPr>
          <w:trHeight w:val="250" w:hRule="exact"/>
        </w:trPr>
        <w:tc>
          <w:tcPr>
            <w:tcW w:w="866" w:type="dxa"/>
          </w:tcPr>
          <w:p>
            <w:pPr>
              <w:pStyle w:val="TableParagraph"/>
              <w:spacing w:before="30"/>
              <w:ind w:left="328"/>
              <w:rPr>
                <w:sz w:val="18"/>
              </w:rPr>
            </w:pPr>
            <w:r>
              <w:rPr>
                <w:sz w:val="18"/>
              </w:rPr>
              <w:t>21</w:t>
            </w:r>
          </w:p>
        </w:tc>
        <w:tc>
          <w:tcPr>
            <w:tcW w:w="7989" w:type="dxa"/>
          </w:tcPr>
          <w:p>
            <w:pPr/>
          </w:p>
        </w:tc>
      </w:tr>
      <w:tr>
        <w:trPr>
          <w:trHeight w:val="250" w:hRule="exact"/>
        </w:trPr>
        <w:tc>
          <w:tcPr>
            <w:tcW w:w="866" w:type="dxa"/>
          </w:tcPr>
          <w:p>
            <w:pPr>
              <w:pStyle w:val="TableParagraph"/>
              <w:spacing w:before="32"/>
              <w:ind w:left="328"/>
              <w:rPr>
                <w:sz w:val="18"/>
              </w:rPr>
            </w:pPr>
            <w:r>
              <w:rPr>
                <w:sz w:val="18"/>
              </w:rPr>
              <w:t>22</w:t>
            </w:r>
          </w:p>
        </w:tc>
        <w:tc>
          <w:tcPr>
            <w:tcW w:w="7989" w:type="dxa"/>
          </w:tcPr>
          <w:p>
            <w:pPr/>
          </w:p>
        </w:tc>
      </w:tr>
    </w:tbl>
    <w:p>
      <w:pPr>
        <w:spacing w:after="0"/>
        <w:sectPr>
          <w:pgSz w:w="12240" w:h="15840"/>
          <w:pgMar w:header="0" w:footer="629" w:top="1420" w:bottom="820" w:left="1580" w:right="15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66"/>
        <w:gridCol w:w="7989"/>
      </w:tblGrid>
      <w:tr>
        <w:trPr>
          <w:trHeight w:val="382" w:hRule="exact"/>
        </w:trPr>
        <w:tc>
          <w:tcPr>
            <w:tcW w:w="866" w:type="dxa"/>
            <w:tcBorders>
              <w:left w:val="single" w:sz="4" w:space="0" w:color="000000"/>
              <w:bottom w:val="single" w:sz="4" w:space="0" w:color="000000"/>
              <w:right w:val="single" w:sz="4" w:space="0" w:color="000000"/>
            </w:tcBorders>
          </w:tcPr>
          <w:p>
            <w:pPr>
              <w:pStyle w:val="TableParagraph"/>
              <w:spacing w:before="158"/>
              <w:ind w:left="127" w:right="125"/>
              <w:jc w:val="center"/>
              <w:rPr>
                <w:sz w:val="18"/>
              </w:rPr>
            </w:pPr>
            <w:r>
              <w:rPr>
                <w:sz w:val="18"/>
              </w:rPr>
              <w:t>23</w:t>
            </w:r>
          </w:p>
        </w:tc>
        <w:tc>
          <w:tcPr>
            <w:tcW w:w="7989" w:type="dxa"/>
            <w:tcBorders>
              <w:left w:val="single" w:sz="4" w:space="0" w:color="000000"/>
              <w:bottom w:val="single" w:sz="4" w:space="0" w:color="000000"/>
              <w:right w:val="single" w:sz="4" w:space="0" w:color="000000"/>
            </w:tcBorders>
          </w:tcPr>
          <w:p>
            <w:pPr/>
          </w:p>
        </w:tc>
      </w:tr>
      <w:tr>
        <w:trPr>
          <w:trHeight w:val="250" w:hRule="exact"/>
        </w:trPr>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4"/>
              <w:ind w:left="127" w:right="125"/>
              <w:jc w:val="center"/>
              <w:rPr>
                <w:sz w:val="18"/>
              </w:rPr>
            </w:pPr>
            <w:r>
              <w:rPr>
                <w:sz w:val="18"/>
              </w:rPr>
              <w:t>24</w:t>
            </w:r>
          </w:p>
        </w:tc>
        <w:tc>
          <w:tcPr>
            <w:tcW w:w="7989" w:type="dxa"/>
            <w:tcBorders>
              <w:top w:val="single" w:sz="4" w:space="0" w:color="000000"/>
              <w:left w:val="single" w:sz="4" w:space="0" w:color="000000"/>
              <w:bottom w:val="single" w:sz="4" w:space="0" w:color="000000"/>
              <w:right w:val="single" w:sz="4" w:space="0" w:color="000000"/>
            </w:tcBorders>
          </w:tcPr>
          <w:p>
            <w:pPr/>
          </w:p>
        </w:tc>
      </w:tr>
      <w:tr>
        <w:trPr>
          <w:trHeight w:val="295" w:hRule="exact"/>
        </w:trPr>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69"/>
              <w:ind w:left="127" w:right="125"/>
              <w:jc w:val="center"/>
              <w:rPr>
                <w:sz w:val="18"/>
              </w:rPr>
            </w:pPr>
            <w:r>
              <w:rPr>
                <w:sz w:val="18"/>
              </w:rPr>
              <w:t>25</w:t>
            </w:r>
          </w:p>
        </w:tc>
        <w:tc>
          <w:tcPr>
            <w:tcW w:w="7989" w:type="dxa"/>
            <w:tcBorders>
              <w:top w:val="single" w:sz="4" w:space="0" w:color="000000"/>
              <w:left w:val="single" w:sz="4" w:space="0" w:color="000000"/>
              <w:bottom w:val="single" w:sz="4" w:space="0" w:color="000000"/>
              <w:right w:val="single" w:sz="4" w:space="0" w:color="000000"/>
            </w:tcBorders>
          </w:tcPr>
          <w:p>
            <w:pPr/>
          </w:p>
        </w:tc>
      </w:tr>
      <w:tr>
        <w:trPr>
          <w:trHeight w:val="250" w:hRule="exact"/>
        </w:trPr>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4"/>
              <w:ind w:left="127" w:right="125"/>
              <w:jc w:val="center"/>
              <w:rPr>
                <w:sz w:val="18"/>
              </w:rPr>
            </w:pPr>
            <w:r>
              <w:rPr>
                <w:sz w:val="18"/>
              </w:rPr>
              <w:t>26</w:t>
            </w:r>
          </w:p>
        </w:tc>
        <w:tc>
          <w:tcPr>
            <w:tcW w:w="7989" w:type="dxa"/>
            <w:tcBorders>
              <w:top w:val="single" w:sz="4" w:space="0" w:color="000000"/>
              <w:left w:val="single" w:sz="4" w:space="0" w:color="000000"/>
              <w:bottom w:val="single" w:sz="4" w:space="0" w:color="000000"/>
              <w:right w:val="single" w:sz="4" w:space="0" w:color="000000"/>
            </w:tcBorders>
          </w:tcPr>
          <w:p>
            <w:pPr/>
          </w:p>
        </w:tc>
      </w:tr>
      <w:tr>
        <w:trPr>
          <w:trHeight w:val="252" w:hRule="exact"/>
        </w:trPr>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4"/>
              <w:ind w:left="127" w:right="125"/>
              <w:jc w:val="center"/>
              <w:rPr>
                <w:sz w:val="18"/>
              </w:rPr>
            </w:pPr>
            <w:r>
              <w:rPr>
                <w:sz w:val="18"/>
              </w:rPr>
              <w:t>27</w:t>
            </w:r>
          </w:p>
        </w:tc>
        <w:tc>
          <w:tcPr>
            <w:tcW w:w="7989" w:type="dxa"/>
            <w:tcBorders>
              <w:top w:val="single" w:sz="4" w:space="0" w:color="000000"/>
              <w:left w:val="single" w:sz="4" w:space="0" w:color="000000"/>
              <w:bottom w:val="single" w:sz="4" w:space="0" w:color="000000"/>
              <w:right w:val="single" w:sz="4" w:space="0" w:color="000000"/>
            </w:tcBorders>
          </w:tcPr>
          <w:p>
            <w:pPr/>
          </w:p>
        </w:tc>
      </w:tr>
      <w:tr>
        <w:trPr>
          <w:trHeight w:val="250" w:hRule="exact"/>
        </w:trPr>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1"/>
              <w:ind w:left="127" w:right="125"/>
              <w:jc w:val="center"/>
              <w:rPr>
                <w:sz w:val="18"/>
              </w:rPr>
            </w:pPr>
            <w:r>
              <w:rPr>
                <w:sz w:val="18"/>
              </w:rPr>
              <w:t>28</w:t>
            </w:r>
          </w:p>
        </w:tc>
        <w:tc>
          <w:tcPr>
            <w:tcW w:w="7989" w:type="dxa"/>
            <w:tcBorders>
              <w:top w:val="single" w:sz="4" w:space="0" w:color="000000"/>
              <w:left w:val="single" w:sz="4" w:space="0" w:color="000000"/>
              <w:bottom w:val="single" w:sz="4" w:space="0" w:color="000000"/>
              <w:right w:val="single" w:sz="4" w:space="0" w:color="000000"/>
            </w:tcBorders>
          </w:tcPr>
          <w:p>
            <w:pPr/>
          </w:p>
        </w:tc>
      </w:tr>
      <w:tr>
        <w:trPr>
          <w:trHeight w:val="250" w:hRule="exact"/>
        </w:trPr>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4"/>
              <w:ind w:left="127" w:right="125"/>
              <w:jc w:val="center"/>
              <w:rPr>
                <w:sz w:val="18"/>
              </w:rPr>
            </w:pPr>
            <w:r>
              <w:rPr>
                <w:sz w:val="18"/>
              </w:rPr>
              <w:t>29</w:t>
            </w:r>
          </w:p>
        </w:tc>
        <w:tc>
          <w:tcPr>
            <w:tcW w:w="7989" w:type="dxa"/>
            <w:tcBorders>
              <w:top w:val="single" w:sz="4" w:space="0" w:color="000000"/>
              <w:left w:val="single" w:sz="4" w:space="0" w:color="000000"/>
              <w:bottom w:val="single" w:sz="4" w:space="0" w:color="000000"/>
              <w:right w:val="single" w:sz="4" w:space="0" w:color="000000"/>
            </w:tcBorders>
          </w:tcPr>
          <w:p>
            <w:pPr>
              <w:pStyle w:val="TableParagraph"/>
              <w:spacing w:before="24"/>
              <w:ind w:left="64" w:right="31"/>
              <w:rPr>
                <w:sz w:val="18"/>
              </w:rPr>
            </w:pPr>
            <w:r>
              <w:rPr>
                <w:sz w:val="18"/>
              </w:rPr>
              <w:t>Impactos territoriales de la reestructuración y la globalización,</w:t>
            </w:r>
          </w:p>
        </w:tc>
      </w:tr>
      <w:tr>
        <w:trPr>
          <w:trHeight w:val="250" w:hRule="exact"/>
        </w:trPr>
        <w:tc>
          <w:tcPr>
            <w:tcW w:w="866" w:type="dxa"/>
            <w:tcBorders>
              <w:top w:val="single" w:sz="4" w:space="0" w:color="000000"/>
              <w:left w:val="single" w:sz="4" w:space="0" w:color="000000"/>
              <w:bottom w:val="single" w:sz="4" w:space="0" w:color="000000"/>
              <w:right w:val="single" w:sz="4" w:space="0" w:color="000000"/>
            </w:tcBorders>
          </w:tcPr>
          <w:p>
            <w:pPr>
              <w:pStyle w:val="TableParagraph"/>
              <w:spacing w:before="24"/>
              <w:ind w:left="127" w:right="125"/>
              <w:jc w:val="center"/>
              <w:rPr>
                <w:sz w:val="18"/>
              </w:rPr>
            </w:pPr>
            <w:r>
              <w:rPr>
                <w:sz w:val="18"/>
              </w:rPr>
              <w:t>30</w:t>
            </w:r>
          </w:p>
        </w:tc>
        <w:tc>
          <w:tcPr>
            <w:tcW w:w="7989" w:type="dxa"/>
            <w:tcBorders>
              <w:top w:val="single" w:sz="4" w:space="0" w:color="000000"/>
              <w:left w:val="single" w:sz="4" w:space="0" w:color="000000"/>
              <w:bottom w:val="single" w:sz="4" w:space="0" w:color="000000"/>
              <w:right w:val="single" w:sz="4" w:space="0" w:color="000000"/>
            </w:tcBorders>
          </w:tcPr>
          <w:p>
            <w:pPr>
              <w:pStyle w:val="TableParagraph"/>
              <w:spacing w:before="24"/>
              <w:ind w:left="64" w:right="31"/>
              <w:rPr>
                <w:sz w:val="18"/>
              </w:rPr>
            </w:pPr>
            <w:r>
              <w:rPr>
                <w:sz w:val="18"/>
              </w:rPr>
              <w:t>Metrópoli postindustrial</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5"/>
        <w:gridCol w:w="7720"/>
      </w:tblGrid>
      <w:tr>
        <w:trPr>
          <w:trHeight w:val="298" w:hRule="exact"/>
        </w:trPr>
        <w:tc>
          <w:tcPr>
            <w:tcW w:w="1135" w:type="dxa"/>
            <w:tcBorders>
              <w:bottom w:val="single" w:sz="4" w:space="0" w:color="000000"/>
            </w:tcBorders>
          </w:tcPr>
          <w:p>
            <w:pPr/>
          </w:p>
        </w:tc>
        <w:tc>
          <w:tcPr>
            <w:tcW w:w="7720" w:type="dxa"/>
            <w:tcBorders>
              <w:bottom w:val="single" w:sz="4" w:space="0" w:color="000000"/>
            </w:tcBorders>
          </w:tcPr>
          <w:p>
            <w:pPr>
              <w:pStyle w:val="TableParagraph"/>
              <w:spacing w:before="7"/>
              <w:ind w:left="1081" w:right="1079"/>
              <w:jc w:val="center"/>
              <w:rPr>
                <w:b/>
                <w:sz w:val="24"/>
              </w:rPr>
            </w:pPr>
            <w:r>
              <w:rPr>
                <w:b/>
                <w:sz w:val="24"/>
              </w:rPr>
              <w:t>Sección 2. Objeto de investigación (variable 4)</w:t>
            </w:r>
          </w:p>
        </w:tc>
      </w:tr>
      <w:tr>
        <w:trPr>
          <w:trHeight w:val="298" w:hRule="exact"/>
        </w:trPr>
        <w:tc>
          <w:tcPr>
            <w:tcW w:w="1135" w:type="dxa"/>
            <w:tcBorders>
              <w:top w:val="single" w:sz="4" w:space="0" w:color="000000"/>
            </w:tcBorders>
          </w:tcPr>
          <w:p>
            <w:pPr/>
          </w:p>
        </w:tc>
        <w:tc>
          <w:tcPr>
            <w:tcW w:w="7720" w:type="dxa"/>
            <w:tcBorders>
              <w:top w:val="single" w:sz="4" w:space="0" w:color="000000"/>
            </w:tcBorders>
          </w:tcPr>
          <w:p>
            <w:pPr>
              <w:pStyle w:val="TableParagraph"/>
              <w:spacing w:before="73"/>
              <w:ind w:left="1081" w:right="1081"/>
              <w:jc w:val="center"/>
              <w:rPr>
                <w:b/>
                <w:sz w:val="18"/>
              </w:rPr>
            </w:pPr>
            <w:r>
              <w:rPr>
                <w:b/>
                <w:sz w:val="18"/>
              </w:rPr>
              <w:t>Variable 4</w:t>
            </w:r>
          </w:p>
        </w:tc>
      </w:tr>
      <w:tr>
        <w:trPr>
          <w:trHeight w:val="547" w:hRule="exact"/>
        </w:trPr>
        <w:tc>
          <w:tcPr>
            <w:tcW w:w="1135" w:type="dxa"/>
          </w:tcPr>
          <w:p>
            <w:pPr>
              <w:pStyle w:val="TableParagraph"/>
              <w:spacing w:before="119"/>
              <w:ind w:left="232" w:right="109" w:hanging="106"/>
              <w:rPr>
                <w:b/>
                <w:sz w:val="18"/>
              </w:rPr>
            </w:pPr>
            <w:r>
              <w:rPr>
                <w:b/>
                <w:sz w:val="18"/>
              </w:rPr>
              <w:t>Unidad de análisis</w:t>
            </w:r>
          </w:p>
        </w:tc>
        <w:tc>
          <w:tcPr>
            <w:tcW w:w="7720" w:type="dxa"/>
          </w:tcPr>
          <w:p>
            <w:pPr>
              <w:pStyle w:val="TableParagraph"/>
              <w:rPr>
                <w:rFonts w:ascii="Times New Roman"/>
                <w:sz w:val="18"/>
              </w:rPr>
            </w:pPr>
          </w:p>
          <w:p>
            <w:pPr>
              <w:pStyle w:val="TableParagraph"/>
              <w:spacing w:before="118"/>
              <w:ind w:left="1081" w:right="1081"/>
              <w:jc w:val="center"/>
              <w:rPr>
                <w:b/>
                <w:sz w:val="18"/>
              </w:rPr>
            </w:pPr>
            <w:r>
              <w:rPr>
                <w:b/>
                <w:sz w:val="18"/>
              </w:rPr>
              <w:t>Teoría de referencia</w:t>
            </w:r>
          </w:p>
        </w:tc>
      </w:tr>
      <w:tr>
        <w:trPr>
          <w:trHeight w:val="298" w:hRule="exact"/>
        </w:trPr>
        <w:tc>
          <w:tcPr>
            <w:tcW w:w="1135" w:type="dxa"/>
          </w:tcPr>
          <w:p>
            <w:pPr>
              <w:pStyle w:val="TableParagraph"/>
              <w:spacing w:before="80"/>
              <w:ind w:right="1"/>
              <w:jc w:val="center"/>
              <w:rPr>
                <w:sz w:val="18"/>
              </w:rPr>
            </w:pPr>
            <w:r>
              <w:rPr>
                <w:w w:val="99"/>
                <w:sz w:val="18"/>
              </w:rPr>
              <w:t>1</w:t>
            </w:r>
          </w:p>
        </w:tc>
        <w:tc>
          <w:tcPr>
            <w:tcW w:w="7720" w:type="dxa"/>
          </w:tcPr>
          <w:p>
            <w:pPr>
              <w:pStyle w:val="TableParagraph"/>
              <w:spacing w:before="80"/>
              <w:ind w:left="1081" w:right="1081"/>
              <w:jc w:val="center"/>
              <w:rPr>
                <w:sz w:val="18"/>
              </w:rPr>
            </w:pPr>
            <w:r>
              <w:rPr>
                <w:sz w:val="18"/>
              </w:rPr>
              <w:t>Nueva pobreza de Wacquant</w:t>
            </w:r>
          </w:p>
        </w:tc>
      </w:tr>
      <w:tr>
        <w:trPr>
          <w:trHeight w:val="298" w:hRule="exact"/>
        </w:trPr>
        <w:tc>
          <w:tcPr>
            <w:tcW w:w="1135" w:type="dxa"/>
          </w:tcPr>
          <w:p>
            <w:pPr>
              <w:pStyle w:val="TableParagraph"/>
              <w:spacing w:before="80"/>
              <w:ind w:right="1"/>
              <w:jc w:val="center"/>
              <w:rPr>
                <w:sz w:val="18"/>
              </w:rPr>
            </w:pPr>
            <w:r>
              <w:rPr>
                <w:w w:val="99"/>
                <w:sz w:val="18"/>
              </w:rPr>
              <w:t>2</w:t>
            </w:r>
          </w:p>
        </w:tc>
        <w:tc>
          <w:tcPr>
            <w:tcW w:w="7720" w:type="dxa"/>
          </w:tcPr>
          <w:p>
            <w:pPr/>
          </w:p>
        </w:tc>
      </w:tr>
      <w:tr>
        <w:trPr>
          <w:trHeight w:val="298" w:hRule="exact"/>
        </w:trPr>
        <w:tc>
          <w:tcPr>
            <w:tcW w:w="1135" w:type="dxa"/>
          </w:tcPr>
          <w:p>
            <w:pPr>
              <w:pStyle w:val="TableParagraph"/>
              <w:spacing w:before="78"/>
              <w:ind w:right="1"/>
              <w:jc w:val="center"/>
              <w:rPr>
                <w:sz w:val="18"/>
              </w:rPr>
            </w:pPr>
            <w:r>
              <w:rPr>
                <w:w w:val="99"/>
                <w:sz w:val="18"/>
              </w:rPr>
              <w:t>3</w:t>
            </w:r>
          </w:p>
        </w:tc>
        <w:tc>
          <w:tcPr>
            <w:tcW w:w="7720" w:type="dxa"/>
          </w:tcPr>
          <w:p>
            <w:pPr/>
          </w:p>
        </w:tc>
      </w:tr>
      <w:tr>
        <w:trPr>
          <w:trHeight w:val="295" w:hRule="exact"/>
        </w:trPr>
        <w:tc>
          <w:tcPr>
            <w:tcW w:w="1135" w:type="dxa"/>
          </w:tcPr>
          <w:p>
            <w:pPr>
              <w:pStyle w:val="TableParagraph"/>
              <w:spacing w:before="78"/>
              <w:ind w:right="1"/>
              <w:jc w:val="center"/>
              <w:rPr>
                <w:sz w:val="18"/>
              </w:rPr>
            </w:pPr>
            <w:r>
              <w:rPr>
                <w:w w:val="99"/>
                <w:sz w:val="18"/>
              </w:rPr>
              <w:t>4</w:t>
            </w:r>
          </w:p>
        </w:tc>
        <w:tc>
          <w:tcPr>
            <w:tcW w:w="7720" w:type="dxa"/>
          </w:tcPr>
          <w:p>
            <w:pPr>
              <w:pStyle w:val="TableParagraph"/>
              <w:spacing w:before="78"/>
              <w:ind w:left="1081" w:right="1084"/>
              <w:jc w:val="center"/>
              <w:rPr>
                <w:sz w:val="18"/>
              </w:rPr>
            </w:pPr>
            <w:r>
              <w:rPr>
                <w:sz w:val="18"/>
              </w:rPr>
              <w:t>Precios promedio de suelo/segregación residencial</w:t>
            </w:r>
          </w:p>
        </w:tc>
      </w:tr>
      <w:tr>
        <w:trPr>
          <w:trHeight w:val="948" w:hRule="exact"/>
        </w:trPr>
        <w:tc>
          <w:tcPr>
            <w:tcW w:w="1135"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8"/>
              <w:ind w:right="1"/>
              <w:jc w:val="center"/>
              <w:rPr>
                <w:sz w:val="18"/>
              </w:rPr>
            </w:pPr>
            <w:r>
              <w:rPr>
                <w:w w:val="99"/>
                <w:sz w:val="18"/>
              </w:rPr>
              <w:t>5</w:t>
            </w:r>
          </w:p>
        </w:tc>
        <w:tc>
          <w:tcPr>
            <w:tcW w:w="7720" w:type="dxa"/>
          </w:tcPr>
          <w:p>
            <w:pPr>
              <w:pStyle w:val="TableParagraph"/>
              <w:spacing w:before="109"/>
              <w:ind w:left="64" w:right="73" w:firstLine="21"/>
              <w:jc w:val="both"/>
              <w:rPr>
                <w:sz w:val="18"/>
              </w:rPr>
            </w:pPr>
            <w:r>
              <w:rPr>
                <w:sz w:val="18"/>
              </w:rPr>
              <w:t>(a) El paradigma de la globalización; (b) La creciente criminalidad y seguridad asociada; (c) La imposición de un producto inmobiliario por parte del mercado de la vivienda; (d) Búsqueda de distinción</w:t>
            </w:r>
            <w:r>
              <w:rPr>
                <w:spacing w:val="-4"/>
                <w:sz w:val="18"/>
              </w:rPr>
              <w:t> </w:t>
            </w:r>
            <w:r>
              <w:rPr>
                <w:sz w:val="18"/>
              </w:rPr>
              <w:t>por</w:t>
            </w:r>
            <w:r>
              <w:rPr>
                <w:spacing w:val="-4"/>
                <w:sz w:val="18"/>
              </w:rPr>
              <w:t> </w:t>
            </w:r>
            <w:r>
              <w:rPr>
                <w:sz w:val="18"/>
              </w:rPr>
              <w:t>parte</w:t>
            </w:r>
            <w:r>
              <w:rPr>
                <w:spacing w:val="-4"/>
                <w:sz w:val="18"/>
              </w:rPr>
              <w:t> </w:t>
            </w:r>
            <w:r>
              <w:rPr>
                <w:sz w:val="18"/>
              </w:rPr>
              <w:t>de</w:t>
            </w:r>
            <w:r>
              <w:rPr>
                <w:spacing w:val="-2"/>
                <w:sz w:val="18"/>
              </w:rPr>
              <w:t> </w:t>
            </w:r>
            <w:r>
              <w:rPr>
                <w:sz w:val="18"/>
              </w:rPr>
              <w:t>los</w:t>
            </w:r>
            <w:r>
              <w:rPr>
                <w:spacing w:val="-3"/>
                <w:sz w:val="18"/>
              </w:rPr>
              <w:t> </w:t>
            </w:r>
            <w:r>
              <w:rPr>
                <w:sz w:val="18"/>
              </w:rPr>
              <w:t>grupos</w:t>
            </w:r>
            <w:r>
              <w:rPr>
                <w:spacing w:val="-3"/>
                <w:sz w:val="18"/>
              </w:rPr>
              <w:t> </w:t>
            </w:r>
            <w:r>
              <w:rPr>
                <w:sz w:val="18"/>
              </w:rPr>
              <w:t>que</w:t>
            </w:r>
            <w:r>
              <w:rPr>
                <w:spacing w:val="-4"/>
                <w:sz w:val="18"/>
              </w:rPr>
              <w:t> </w:t>
            </w:r>
            <w:r>
              <w:rPr>
                <w:sz w:val="18"/>
              </w:rPr>
              <w:t>acceden</w:t>
            </w:r>
            <w:r>
              <w:rPr>
                <w:spacing w:val="-2"/>
                <w:sz w:val="18"/>
              </w:rPr>
              <w:t> </w:t>
            </w:r>
            <w:r>
              <w:rPr>
                <w:sz w:val="18"/>
              </w:rPr>
              <w:t>a</w:t>
            </w:r>
            <w:r>
              <w:rPr>
                <w:spacing w:val="-4"/>
                <w:sz w:val="18"/>
              </w:rPr>
              <w:t> </w:t>
            </w:r>
            <w:r>
              <w:rPr>
                <w:sz w:val="18"/>
              </w:rPr>
              <w:t>ellos;</w:t>
            </w:r>
            <w:r>
              <w:rPr>
                <w:spacing w:val="-2"/>
                <w:sz w:val="18"/>
              </w:rPr>
              <w:t> </w:t>
            </w:r>
            <w:r>
              <w:rPr>
                <w:sz w:val="18"/>
              </w:rPr>
              <w:t>y</w:t>
            </w:r>
            <w:r>
              <w:rPr>
                <w:spacing w:val="-4"/>
                <w:sz w:val="18"/>
              </w:rPr>
              <w:t> </w:t>
            </w:r>
            <w:r>
              <w:rPr>
                <w:sz w:val="18"/>
              </w:rPr>
              <w:t>(e)</w:t>
            </w:r>
            <w:r>
              <w:rPr>
                <w:spacing w:val="-4"/>
                <w:sz w:val="18"/>
              </w:rPr>
              <w:t> </w:t>
            </w:r>
            <w:r>
              <w:rPr>
                <w:sz w:val="18"/>
              </w:rPr>
              <w:t>Flexibilidad</w:t>
            </w:r>
            <w:r>
              <w:rPr>
                <w:spacing w:val="-2"/>
                <w:sz w:val="18"/>
              </w:rPr>
              <w:t> </w:t>
            </w:r>
            <w:r>
              <w:rPr>
                <w:sz w:val="18"/>
              </w:rPr>
              <w:t>de</w:t>
            </w:r>
            <w:r>
              <w:rPr>
                <w:spacing w:val="-2"/>
                <w:sz w:val="18"/>
              </w:rPr>
              <w:t> </w:t>
            </w:r>
            <w:r>
              <w:rPr>
                <w:sz w:val="18"/>
              </w:rPr>
              <w:t>los</w:t>
            </w:r>
            <w:r>
              <w:rPr>
                <w:spacing w:val="-1"/>
                <w:sz w:val="18"/>
              </w:rPr>
              <w:t> </w:t>
            </w:r>
            <w:r>
              <w:rPr>
                <w:sz w:val="18"/>
              </w:rPr>
              <w:t>instrumentos</w:t>
            </w:r>
            <w:r>
              <w:rPr>
                <w:spacing w:val="-1"/>
                <w:sz w:val="18"/>
              </w:rPr>
              <w:t> </w:t>
            </w:r>
            <w:r>
              <w:rPr>
                <w:sz w:val="18"/>
              </w:rPr>
              <w:t>de</w:t>
            </w:r>
          </w:p>
          <w:p>
            <w:pPr>
              <w:pStyle w:val="TableParagraph"/>
              <w:spacing w:line="206" w:lineRule="exact"/>
              <w:ind w:left="1081" w:right="1082"/>
              <w:jc w:val="center"/>
              <w:rPr>
                <w:sz w:val="18"/>
              </w:rPr>
            </w:pPr>
            <w:r>
              <w:rPr>
                <w:sz w:val="18"/>
              </w:rPr>
              <w:t>planificación territorial</w:t>
            </w:r>
          </w:p>
        </w:tc>
      </w:tr>
      <w:tr>
        <w:trPr>
          <w:trHeight w:val="296" w:hRule="exact"/>
        </w:trPr>
        <w:tc>
          <w:tcPr>
            <w:tcW w:w="1135" w:type="dxa"/>
          </w:tcPr>
          <w:p>
            <w:pPr>
              <w:pStyle w:val="TableParagraph"/>
              <w:spacing w:before="78"/>
              <w:ind w:right="1"/>
              <w:jc w:val="center"/>
              <w:rPr>
                <w:sz w:val="18"/>
              </w:rPr>
            </w:pPr>
            <w:r>
              <w:rPr>
                <w:w w:val="99"/>
                <w:sz w:val="18"/>
              </w:rPr>
              <w:t>6</w:t>
            </w:r>
          </w:p>
        </w:tc>
        <w:tc>
          <w:tcPr>
            <w:tcW w:w="7720" w:type="dxa"/>
          </w:tcPr>
          <w:p>
            <w:pPr/>
          </w:p>
        </w:tc>
      </w:tr>
      <w:tr>
        <w:trPr>
          <w:trHeight w:val="298" w:hRule="exact"/>
        </w:trPr>
        <w:tc>
          <w:tcPr>
            <w:tcW w:w="1135" w:type="dxa"/>
          </w:tcPr>
          <w:p>
            <w:pPr>
              <w:pStyle w:val="TableParagraph"/>
              <w:spacing w:before="80"/>
              <w:ind w:right="1"/>
              <w:jc w:val="center"/>
              <w:rPr>
                <w:sz w:val="18"/>
              </w:rPr>
            </w:pPr>
            <w:r>
              <w:rPr>
                <w:w w:val="99"/>
                <w:sz w:val="18"/>
              </w:rPr>
              <w:t>7</w:t>
            </w:r>
          </w:p>
        </w:tc>
        <w:tc>
          <w:tcPr>
            <w:tcW w:w="7720" w:type="dxa"/>
          </w:tcPr>
          <w:p>
            <w:pPr>
              <w:pStyle w:val="TableParagraph"/>
              <w:spacing w:before="80"/>
              <w:ind w:left="1081" w:right="1081"/>
              <w:jc w:val="center"/>
              <w:rPr>
                <w:sz w:val="18"/>
              </w:rPr>
            </w:pPr>
            <w:r>
              <w:rPr>
                <w:sz w:val="18"/>
              </w:rPr>
              <w:t>Metropolización</w:t>
            </w:r>
          </w:p>
        </w:tc>
      </w:tr>
      <w:tr>
        <w:trPr>
          <w:trHeight w:val="298" w:hRule="exact"/>
        </w:trPr>
        <w:tc>
          <w:tcPr>
            <w:tcW w:w="1135" w:type="dxa"/>
          </w:tcPr>
          <w:p>
            <w:pPr>
              <w:pStyle w:val="TableParagraph"/>
              <w:spacing w:before="80"/>
              <w:ind w:right="1"/>
              <w:jc w:val="center"/>
              <w:rPr>
                <w:sz w:val="18"/>
              </w:rPr>
            </w:pPr>
            <w:r>
              <w:rPr>
                <w:w w:val="99"/>
                <w:sz w:val="18"/>
              </w:rPr>
              <w:t>8</w:t>
            </w:r>
          </w:p>
        </w:tc>
        <w:tc>
          <w:tcPr>
            <w:tcW w:w="7720" w:type="dxa"/>
          </w:tcPr>
          <w:p>
            <w:pPr>
              <w:pStyle w:val="TableParagraph"/>
              <w:spacing w:before="80"/>
              <w:ind w:left="1081" w:right="1081"/>
              <w:jc w:val="center"/>
              <w:rPr>
                <w:sz w:val="18"/>
              </w:rPr>
            </w:pPr>
            <w:r>
              <w:rPr>
                <w:sz w:val="18"/>
              </w:rPr>
              <w:t>Segregación espacial</w:t>
            </w:r>
          </w:p>
        </w:tc>
      </w:tr>
      <w:tr>
        <w:trPr>
          <w:trHeight w:val="298" w:hRule="exact"/>
        </w:trPr>
        <w:tc>
          <w:tcPr>
            <w:tcW w:w="1135" w:type="dxa"/>
          </w:tcPr>
          <w:p>
            <w:pPr>
              <w:pStyle w:val="TableParagraph"/>
              <w:spacing w:before="78"/>
              <w:ind w:right="1"/>
              <w:jc w:val="center"/>
              <w:rPr>
                <w:sz w:val="18"/>
              </w:rPr>
            </w:pPr>
            <w:r>
              <w:rPr>
                <w:w w:val="99"/>
                <w:sz w:val="18"/>
              </w:rPr>
              <w:t>9</w:t>
            </w:r>
          </w:p>
        </w:tc>
        <w:tc>
          <w:tcPr>
            <w:tcW w:w="7720" w:type="dxa"/>
          </w:tcPr>
          <w:p>
            <w:pPr>
              <w:pStyle w:val="TableParagraph"/>
              <w:spacing w:before="78"/>
              <w:ind w:left="1081" w:right="1083"/>
              <w:jc w:val="center"/>
              <w:rPr>
                <w:sz w:val="18"/>
              </w:rPr>
            </w:pPr>
            <w:r>
              <w:rPr>
                <w:sz w:val="18"/>
              </w:rPr>
              <w:t>Conmutación</w:t>
            </w:r>
          </w:p>
        </w:tc>
      </w:tr>
      <w:tr>
        <w:trPr>
          <w:trHeight w:val="295" w:hRule="exact"/>
        </w:trPr>
        <w:tc>
          <w:tcPr>
            <w:tcW w:w="1135" w:type="dxa"/>
          </w:tcPr>
          <w:p>
            <w:pPr>
              <w:pStyle w:val="TableParagraph"/>
              <w:spacing w:before="78"/>
              <w:ind w:left="443" w:right="441"/>
              <w:jc w:val="center"/>
              <w:rPr>
                <w:sz w:val="18"/>
              </w:rPr>
            </w:pPr>
            <w:r>
              <w:rPr>
                <w:sz w:val="18"/>
              </w:rPr>
              <w:t>10</w:t>
            </w:r>
          </w:p>
        </w:tc>
        <w:tc>
          <w:tcPr>
            <w:tcW w:w="7720" w:type="dxa"/>
          </w:tcPr>
          <w:p>
            <w:pPr>
              <w:pStyle w:val="TableParagraph"/>
              <w:spacing w:before="78"/>
              <w:ind w:left="1081" w:right="1082"/>
              <w:jc w:val="center"/>
              <w:rPr>
                <w:sz w:val="18"/>
              </w:rPr>
            </w:pPr>
            <w:r>
              <w:rPr>
                <w:sz w:val="18"/>
              </w:rPr>
              <w:t>Territorios innovadores</w:t>
            </w:r>
          </w:p>
        </w:tc>
      </w:tr>
      <w:tr>
        <w:trPr>
          <w:trHeight w:val="298" w:hRule="exact"/>
        </w:trPr>
        <w:tc>
          <w:tcPr>
            <w:tcW w:w="1135" w:type="dxa"/>
          </w:tcPr>
          <w:p>
            <w:pPr>
              <w:pStyle w:val="TableParagraph"/>
              <w:spacing w:before="80"/>
              <w:ind w:left="443" w:right="441"/>
              <w:jc w:val="center"/>
              <w:rPr>
                <w:sz w:val="18"/>
              </w:rPr>
            </w:pPr>
            <w:r>
              <w:rPr>
                <w:sz w:val="18"/>
              </w:rPr>
              <w:t>11</w:t>
            </w:r>
          </w:p>
        </w:tc>
        <w:tc>
          <w:tcPr>
            <w:tcW w:w="7720" w:type="dxa"/>
          </w:tcPr>
          <w:p>
            <w:pPr>
              <w:pStyle w:val="TableParagraph"/>
              <w:spacing w:before="80"/>
              <w:ind w:left="1081" w:right="1081"/>
              <w:jc w:val="center"/>
              <w:rPr>
                <w:sz w:val="18"/>
              </w:rPr>
            </w:pPr>
            <w:r>
              <w:rPr>
                <w:sz w:val="18"/>
              </w:rPr>
              <w:t>Procesos de urbanización</w:t>
            </w:r>
          </w:p>
        </w:tc>
      </w:tr>
      <w:tr>
        <w:trPr>
          <w:trHeight w:val="298" w:hRule="exact"/>
        </w:trPr>
        <w:tc>
          <w:tcPr>
            <w:tcW w:w="1135" w:type="dxa"/>
          </w:tcPr>
          <w:p>
            <w:pPr>
              <w:pStyle w:val="TableParagraph"/>
              <w:spacing w:before="80"/>
              <w:ind w:left="443" w:right="441"/>
              <w:jc w:val="center"/>
              <w:rPr>
                <w:sz w:val="18"/>
              </w:rPr>
            </w:pPr>
            <w:r>
              <w:rPr>
                <w:sz w:val="18"/>
              </w:rPr>
              <w:t>12</w:t>
            </w:r>
          </w:p>
        </w:tc>
        <w:tc>
          <w:tcPr>
            <w:tcW w:w="7720" w:type="dxa"/>
          </w:tcPr>
          <w:p>
            <w:pPr/>
          </w:p>
        </w:tc>
      </w:tr>
      <w:tr>
        <w:trPr>
          <w:trHeight w:val="298" w:hRule="exact"/>
        </w:trPr>
        <w:tc>
          <w:tcPr>
            <w:tcW w:w="1135" w:type="dxa"/>
          </w:tcPr>
          <w:p>
            <w:pPr>
              <w:pStyle w:val="TableParagraph"/>
              <w:spacing w:before="78"/>
              <w:ind w:left="443" w:right="441"/>
              <w:jc w:val="center"/>
              <w:rPr>
                <w:sz w:val="18"/>
              </w:rPr>
            </w:pPr>
            <w:r>
              <w:rPr>
                <w:sz w:val="18"/>
              </w:rPr>
              <w:t>13</w:t>
            </w:r>
          </w:p>
        </w:tc>
        <w:tc>
          <w:tcPr>
            <w:tcW w:w="7720" w:type="dxa"/>
          </w:tcPr>
          <w:p>
            <w:pPr/>
          </w:p>
        </w:tc>
      </w:tr>
      <w:tr>
        <w:trPr>
          <w:trHeight w:val="295" w:hRule="exact"/>
        </w:trPr>
        <w:tc>
          <w:tcPr>
            <w:tcW w:w="1135" w:type="dxa"/>
          </w:tcPr>
          <w:p>
            <w:pPr>
              <w:pStyle w:val="TableParagraph"/>
              <w:spacing w:before="78"/>
              <w:ind w:left="443" w:right="441"/>
              <w:jc w:val="center"/>
              <w:rPr>
                <w:sz w:val="18"/>
              </w:rPr>
            </w:pPr>
            <w:r>
              <w:rPr>
                <w:sz w:val="18"/>
              </w:rPr>
              <w:t>14</w:t>
            </w:r>
          </w:p>
        </w:tc>
        <w:tc>
          <w:tcPr>
            <w:tcW w:w="7720" w:type="dxa"/>
          </w:tcPr>
          <w:p>
            <w:pPr>
              <w:pStyle w:val="TableParagraph"/>
              <w:spacing w:before="78"/>
              <w:ind w:left="1081" w:right="1082"/>
              <w:jc w:val="center"/>
              <w:rPr>
                <w:sz w:val="18"/>
              </w:rPr>
            </w:pPr>
            <w:r>
              <w:rPr>
                <w:sz w:val="18"/>
              </w:rPr>
              <w:t>Terciarización industrial</w:t>
            </w:r>
          </w:p>
        </w:tc>
      </w:tr>
      <w:tr>
        <w:trPr>
          <w:trHeight w:val="298" w:hRule="exact"/>
        </w:trPr>
        <w:tc>
          <w:tcPr>
            <w:tcW w:w="1135" w:type="dxa"/>
          </w:tcPr>
          <w:p>
            <w:pPr>
              <w:pStyle w:val="TableParagraph"/>
              <w:spacing w:before="80"/>
              <w:ind w:left="443" w:right="441"/>
              <w:jc w:val="center"/>
              <w:rPr>
                <w:sz w:val="18"/>
              </w:rPr>
            </w:pPr>
            <w:r>
              <w:rPr>
                <w:sz w:val="18"/>
              </w:rPr>
              <w:t>15</w:t>
            </w:r>
          </w:p>
        </w:tc>
        <w:tc>
          <w:tcPr>
            <w:tcW w:w="7720" w:type="dxa"/>
          </w:tcPr>
          <w:p>
            <w:pPr>
              <w:pStyle w:val="TableParagraph"/>
              <w:spacing w:before="80"/>
              <w:ind w:left="1081" w:right="1081"/>
              <w:jc w:val="center"/>
              <w:rPr>
                <w:sz w:val="18"/>
              </w:rPr>
            </w:pPr>
            <w:r>
              <w:rPr>
                <w:sz w:val="18"/>
              </w:rPr>
              <w:t>Urbanismo postmoderno/Escuela de los Ángeles</w:t>
            </w:r>
          </w:p>
        </w:tc>
      </w:tr>
      <w:tr>
        <w:trPr>
          <w:trHeight w:val="298" w:hRule="exact"/>
        </w:trPr>
        <w:tc>
          <w:tcPr>
            <w:tcW w:w="1135" w:type="dxa"/>
          </w:tcPr>
          <w:p>
            <w:pPr>
              <w:pStyle w:val="TableParagraph"/>
              <w:spacing w:before="80"/>
              <w:ind w:left="443" w:right="441"/>
              <w:jc w:val="center"/>
              <w:rPr>
                <w:sz w:val="18"/>
              </w:rPr>
            </w:pPr>
            <w:r>
              <w:rPr>
                <w:sz w:val="18"/>
              </w:rPr>
              <w:t>16</w:t>
            </w:r>
          </w:p>
        </w:tc>
        <w:tc>
          <w:tcPr>
            <w:tcW w:w="7720" w:type="dxa"/>
          </w:tcPr>
          <w:p>
            <w:pPr>
              <w:pStyle w:val="TableParagraph"/>
              <w:spacing w:before="80"/>
              <w:ind w:left="1081" w:right="1082"/>
              <w:jc w:val="center"/>
              <w:rPr>
                <w:sz w:val="18"/>
              </w:rPr>
            </w:pPr>
            <w:r>
              <w:rPr>
                <w:sz w:val="18"/>
              </w:rPr>
              <w:t>Urbanización de base regional</w:t>
            </w:r>
          </w:p>
        </w:tc>
      </w:tr>
      <w:tr>
        <w:trPr>
          <w:trHeight w:val="298" w:hRule="exact"/>
        </w:trPr>
        <w:tc>
          <w:tcPr>
            <w:tcW w:w="1135" w:type="dxa"/>
          </w:tcPr>
          <w:p>
            <w:pPr>
              <w:pStyle w:val="TableParagraph"/>
              <w:spacing w:before="79"/>
              <w:ind w:left="443" w:right="441"/>
              <w:jc w:val="center"/>
              <w:rPr>
                <w:sz w:val="18"/>
              </w:rPr>
            </w:pPr>
            <w:r>
              <w:rPr>
                <w:sz w:val="18"/>
              </w:rPr>
              <w:t>17</w:t>
            </w:r>
          </w:p>
        </w:tc>
        <w:tc>
          <w:tcPr>
            <w:tcW w:w="7720" w:type="dxa"/>
          </w:tcPr>
          <w:p>
            <w:pPr>
              <w:pStyle w:val="TableParagraph"/>
              <w:spacing w:before="79"/>
              <w:ind w:left="1081" w:right="1086"/>
              <w:jc w:val="center"/>
              <w:rPr>
                <w:sz w:val="18"/>
              </w:rPr>
            </w:pPr>
            <w:r>
              <w:rPr>
                <w:sz w:val="18"/>
              </w:rPr>
              <w:t>Dispersión geográfica y nuevos tipos de economías de aglomeración</w:t>
            </w:r>
          </w:p>
        </w:tc>
      </w:tr>
      <w:tr>
        <w:trPr>
          <w:trHeight w:val="295" w:hRule="exact"/>
        </w:trPr>
        <w:tc>
          <w:tcPr>
            <w:tcW w:w="1135" w:type="dxa"/>
          </w:tcPr>
          <w:p>
            <w:pPr>
              <w:pStyle w:val="TableParagraph"/>
              <w:spacing w:before="78"/>
              <w:ind w:left="443" w:right="441"/>
              <w:jc w:val="center"/>
              <w:rPr>
                <w:sz w:val="18"/>
              </w:rPr>
            </w:pPr>
            <w:r>
              <w:rPr>
                <w:sz w:val="18"/>
              </w:rPr>
              <w:t>18</w:t>
            </w:r>
          </w:p>
        </w:tc>
        <w:tc>
          <w:tcPr>
            <w:tcW w:w="7720" w:type="dxa"/>
          </w:tcPr>
          <w:p>
            <w:pPr>
              <w:pStyle w:val="TableParagraph"/>
              <w:spacing w:before="78"/>
              <w:ind w:left="1081" w:right="1081"/>
              <w:jc w:val="center"/>
              <w:rPr>
                <w:sz w:val="18"/>
              </w:rPr>
            </w:pPr>
            <w:r>
              <w:rPr>
                <w:sz w:val="18"/>
              </w:rPr>
              <w:t>Globalización</w:t>
            </w:r>
          </w:p>
        </w:tc>
      </w:tr>
      <w:tr>
        <w:trPr>
          <w:trHeight w:val="298" w:hRule="exact"/>
        </w:trPr>
        <w:tc>
          <w:tcPr>
            <w:tcW w:w="1135" w:type="dxa"/>
          </w:tcPr>
          <w:p>
            <w:pPr>
              <w:pStyle w:val="TableParagraph"/>
              <w:spacing w:before="80"/>
              <w:ind w:left="443" w:right="441"/>
              <w:jc w:val="center"/>
              <w:rPr>
                <w:sz w:val="18"/>
              </w:rPr>
            </w:pPr>
            <w:r>
              <w:rPr>
                <w:sz w:val="18"/>
              </w:rPr>
              <w:t>19</w:t>
            </w:r>
          </w:p>
        </w:tc>
        <w:tc>
          <w:tcPr>
            <w:tcW w:w="7720" w:type="dxa"/>
          </w:tcPr>
          <w:p>
            <w:pPr>
              <w:pStyle w:val="TableParagraph"/>
              <w:spacing w:before="80"/>
              <w:ind w:left="1081" w:right="1081"/>
              <w:jc w:val="center"/>
              <w:rPr>
                <w:sz w:val="18"/>
              </w:rPr>
            </w:pPr>
            <w:r>
              <w:rPr>
                <w:sz w:val="18"/>
              </w:rPr>
              <w:t>Desigualdad y dualización urbana</w:t>
            </w:r>
          </w:p>
        </w:tc>
      </w:tr>
      <w:tr>
        <w:trPr>
          <w:trHeight w:val="298" w:hRule="exact"/>
        </w:trPr>
        <w:tc>
          <w:tcPr>
            <w:tcW w:w="1135" w:type="dxa"/>
          </w:tcPr>
          <w:p>
            <w:pPr>
              <w:pStyle w:val="TableParagraph"/>
              <w:spacing w:before="80"/>
              <w:ind w:left="443" w:right="441"/>
              <w:jc w:val="center"/>
              <w:rPr>
                <w:sz w:val="18"/>
              </w:rPr>
            </w:pPr>
            <w:r>
              <w:rPr>
                <w:sz w:val="18"/>
              </w:rPr>
              <w:t>20</w:t>
            </w:r>
          </w:p>
        </w:tc>
        <w:tc>
          <w:tcPr>
            <w:tcW w:w="7720" w:type="dxa"/>
          </w:tcPr>
          <w:p>
            <w:pPr>
              <w:pStyle w:val="TableParagraph"/>
              <w:spacing w:before="80"/>
              <w:ind w:left="1081" w:right="1081"/>
              <w:jc w:val="center"/>
              <w:rPr>
                <w:sz w:val="18"/>
              </w:rPr>
            </w:pPr>
            <w:r>
              <w:rPr>
                <w:sz w:val="18"/>
              </w:rPr>
              <w:t>Calidad ambiental</w:t>
            </w:r>
          </w:p>
        </w:tc>
      </w:tr>
      <w:tr>
        <w:trPr>
          <w:trHeight w:val="298" w:hRule="exact"/>
        </w:trPr>
        <w:tc>
          <w:tcPr>
            <w:tcW w:w="1135" w:type="dxa"/>
          </w:tcPr>
          <w:p>
            <w:pPr>
              <w:pStyle w:val="TableParagraph"/>
              <w:spacing w:before="78"/>
              <w:ind w:left="443" w:right="441"/>
              <w:jc w:val="center"/>
              <w:rPr>
                <w:sz w:val="18"/>
              </w:rPr>
            </w:pPr>
            <w:r>
              <w:rPr>
                <w:sz w:val="18"/>
              </w:rPr>
              <w:t>21</w:t>
            </w:r>
          </w:p>
        </w:tc>
        <w:tc>
          <w:tcPr>
            <w:tcW w:w="7720" w:type="dxa"/>
          </w:tcPr>
          <w:p>
            <w:pPr/>
          </w:p>
        </w:tc>
      </w:tr>
      <w:tr>
        <w:trPr>
          <w:trHeight w:val="295" w:hRule="exact"/>
        </w:trPr>
        <w:tc>
          <w:tcPr>
            <w:tcW w:w="1135" w:type="dxa"/>
          </w:tcPr>
          <w:p>
            <w:pPr>
              <w:pStyle w:val="TableParagraph"/>
              <w:spacing w:before="78"/>
              <w:ind w:left="443" w:right="441"/>
              <w:jc w:val="center"/>
              <w:rPr>
                <w:sz w:val="18"/>
              </w:rPr>
            </w:pPr>
            <w:r>
              <w:rPr>
                <w:sz w:val="18"/>
              </w:rPr>
              <w:t>22</w:t>
            </w:r>
          </w:p>
        </w:tc>
        <w:tc>
          <w:tcPr>
            <w:tcW w:w="7720" w:type="dxa"/>
          </w:tcPr>
          <w:p>
            <w:pPr/>
          </w:p>
        </w:tc>
      </w:tr>
      <w:tr>
        <w:trPr>
          <w:trHeight w:val="298" w:hRule="exact"/>
        </w:trPr>
        <w:tc>
          <w:tcPr>
            <w:tcW w:w="1135" w:type="dxa"/>
          </w:tcPr>
          <w:p>
            <w:pPr>
              <w:pStyle w:val="TableParagraph"/>
              <w:spacing w:before="80"/>
              <w:ind w:left="443" w:right="441"/>
              <w:jc w:val="center"/>
              <w:rPr>
                <w:sz w:val="18"/>
              </w:rPr>
            </w:pPr>
            <w:r>
              <w:rPr>
                <w:sz w:val="18"/>
              </w:rPr>
              <w:t>23</w:t>
            </w:r>
          </w:p>
        </w:tc>
        <w:tc>
          <w:tcPr>
            <w:tcW w:w="7720" w:type="dxa"/>
          </w:tcPr>
          <w:p>
            <w:pPr>
              <w:pStyle w:val="TableParagraph"/>
              <w:spacing w:before="80"/>
              <w:ind w:left="1081" w:right="1082"/>
              <w:jc w:val="center"/>
              <w:rPr>
                <w:sz w:val="18"/>
              </w:rPr>
            </w:pPr>
            <w:r>
              <w:rPr>
                <w:sz w:val="18"/>
              </w:rPr>
              <w:t>Imaginarios urbanos</w:t>
            </w:r>
          </w:p>
        </w:tc>
      </w:tr>
      <w:tr>
        <w:trPr>
          <w:trHeight w:val="298" w:hRule="exact"/>
        </w:trPr>
        <w:tc>
          <w:tcPr>
            <w:tcW w:w="1135" w:type="dxa"/>
          </w:tcPr>
          <w:p>
            <w:pPr>
              <w:pStyle w:val="TableParagraph"/>
              <w:spacing w:before="80"/>
              <w:ind w:left="443" w:right="441"/>
              <w:jc w:val="center"/>
              <w:rPr>
                <w:sz w:val="18"/>
              </w:rPr>
            </w:pPr>
            <w:r>
              <w:rPr>
                <w:sz w:val="18"/>
              </w:rPr>
              <w:t>24</w:t>
            </w:r>
          </w:p>
        </w:tc>
        <w:tc>
          <w:tcPr>
            <w:tcW w:w="7720" w:type="dxa"/>
          </w:tcPr>
          <w:p>
            <w:pPr>
              <w:pStyle w:val="TableParagraph"/>
              <w:spacing w:before="80"/>
              <w:ind w:left="1081" w:right="1082"/>
              <w:jc w:val="center"/>
              <w:rPr>
                <w:sz w:val="18"/>
              </w:rPr>
            </w:pPr>
            <w:r>
              <w:rPr>
                <w:sz w:val="18"/>
              </w:rPr>
              <w:t>Ciudad-modelo</w:t>
            </w:r>
          </w:p>
        </w:tc>
      </w:tr>
      <w:tr>
        <w:trPr>
          <w:trHeight w:val="298" w:hRule="exact"/>
        </w:trPr>
        <w:tc>
          <w:tcPr>
            <w:tcW w:w="1135" w:type="dxa"/>
          </w:tcPr>
          <w:p>
            <w:pPr>
              <w:pStyle w:val="TableParagraph"/>
              <w:spacing w:before="78"/>
              <w:ind w:left="443" w:right="441"/>
              <w:jc w:val="center"/>
              <w:rPr>
                <w:sz w:val="18"/>
              </w:rPr>
            </w:pPr>
            <w:r>
              <w:rPr>
                <w:sz w:val="18"/>
              </w:rPr>
              <w:t>25</w:t>
            </w:r>
          </w:p>
        </w:tc>
        <w:tc>
          <w:tcPr>
            <w:tcW w:w="7720" w:type="dxa"/>
          </w:tcPr>
          <w:p>
            <w:pPr>
              <w:pStyle w:val="TableParagraph"/>
              <w:spacing w:before="78"/>
              <w:ind w:left="1081" w:right="1082"/>
              <w:jc w:val="center"/>
              <w:rPr>
                <w:sz w:val="18"/>
              </w:rPr>
            </w:pPr>
            <w:r>
              <w:rPr>
                <w:sz w:val="18"/>
              </w:rPr>
              <w:t>Globalización y segregación</w:t>
            </w:r>
          </w:p>
        </w:tc>
      </w:tr>
      <w:tr>
        <w:trPr>
          <w:trHeight w:val="295" w:hRule="exact"/>
        </w:trPr>
        <w:tc>
          <w:tcPr>
            <w:tcW w:w="1135" w:type="dxa"/>
          </w:tcPr>
          <w:p>
            <w:pPr>
              <w:pStyle w:val="TableParagraph"/>
              <w:spacing w:before="78"/>
              <w:ind w:left="443" w:right="441"/>
              <w:jc w:val="center"/>
              <w:rPr>
                <w:sz w:val="18"/>
              </w:rPr>
            </w:pPr>
            <w:r>
              <w:rPr>
                <w:sz w:val="18"/>
              </w:rPr>
              <w:t>26</w:t>
            </w:r>
          </w:p>
        </w:tc>
        <w:tc>
          <w:tcPr>
            <w:tcW w:w="7720" w:type="dxa"/>
          </w:tcPr>
          <w:p>
            <w:pPr>
              <w:pStyle w:val="TableParagraph"/>
              <w:spacing w:before="78"/>
              <w:ind w:left="1081" w:right="1082"/>
              <w:jc w:val="center"/>
              <w:rPr>
                <w:sz w:val="18"/>
              </w:rPr>
            </w:pPr>
            <w:r>
              <w:rPr>
                <w:sz w:val="18"/>
              </w:rPr>
              <w:t>Globalización y segregación</w:t>
            </w:r>
          </w:p>
        </w:tc>
      </w:tr>
      <w:tr>
        <w:trPr>
          <w:trHeight w:val="298" w:hRule="exact"/>
        </w:trPr>
        <w:tc>
          <w:tcPr>
            <w:tcW w:w="1135" w:type="dxa"/>
          </w:tcPr>
          <w:p>
            <w:pPr>
              <w:pStyle w:val="TableParagraph"/>
              <w:spacing w:before="81"/>
              <w:ind w:left="443" w:right="441"/>
              <w:jc w:val="center"/>
              <w:rPr>
                <w:sz w:val="18"/>
              </w:rPr>
            </w:pPr>
            <w:r>
              <w:rPr>
                <w:sz w:val="18"/>
              </w:rPr>
              <w:t>27</w:t>
            </w:r>
          </w:p>
        </w:tc>
        <w:tc>
          <w:tcPr>
            <w:tcW w:w="7720" w:type="dxa"/>
          </w:tcPr>
          <w:p>
            <w:pPr>
              <w:pStyle w:val="TableParagraph"/>
              <w:spacing w:before="81"/>
              <w:ind w:left="1081" w:right="1082"/>
              <w:jc w:val="center"/>
              <w:rPr>
                <w:sz w:val="18"/>
              </w:rPr>
            </w:pPr>
            <w:r>
              <w:rPr>
                <w:sz w:val="18"/>
              </w:rPr>
              <w:t>Teoría de la ciudad mundial</w:t>
            </w:r>
          </w:p>
        </w:tc>
      </w:tr>
    </w:tbl>
    <w:p>
      <w:pPr>
        <w:spacing w:after="0"/>
        <w:jc w:val="center"/>
        <w:rPr>
          <w:sz w:val="18"/>
        </w:rPr>
        <w:sectPr>
          <w:pgSz w:w="12240" w:h="15840"/>
          <w:pgMar w:header="0" w:footer="629" w:top="1420" w:bottom="820" w:left="1580" w:right="15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35"/>
        <w:gridCol w:w="7720"/>
      </w:tblGrid>
      <w:tr>
        <w:trPr>
          <w:trHeight w:val="293" w:hRule="exact"/>
        </w:trPr>
        <w:tc>
          <w:tcPr>
            <w:tcW w:w="1135" w:type="dxa"/>
            <w:tcBorders>
              <w:left w:val="single" w:sz="4" w:space="0" w:color="000000"/>
              <w:bottom w:val="single" w:sz="4" w:space="0" w:color="000000"/>
              <w:right w:val="single" w:sz="4" w:space="0" w:color="000000"/>
            </w:tcBorders>
          </w:tcPr>
          <w:p>
            <w:pPr>
              <w:pStyle w:val="TableParagraph"/>
              <w:spacing w:before="72"/>
              <w:ind w:left="443" w:right="441"/>
              <w:jc w:val="center"/>
              <w:rPr>
                <w:sz w:val="18"/>
              </w:rPr>
            </w:pPr>
            <w:r>
              <w:rPr>
                <w:sz w:val="18"/>
              </w:rPr>
              <w:t>28</w:t>
            </w:r>
          </w:p>
        </w:tc>
        <w:tc>
          <w:tcPr>
            <w:tcW w:w="7720" w:type="dxa"/>
            <w:tcBorders>
              <w:left w:val="single" w:sz="4" w:space="0" w:color="000000"/>
              <w:bottom w:val="single" w:sz="4" w:space="0" w:color="000000"/>
              <w:right w:val="single" w:sz="4" w:space="0" w:color="000000"/>
            </w:tcBorders>
          </w:tcPr>
          <w:p>
            <w:pPr>
              <w:pStyle w:val="TableParagraph"/>
              <w:spacing w:before="72"/>
              <w:ind w:left="1081" w:right="1084"/>
              <w:jc w:val="center"/>
              <w:rPr>
                <w:sz w:val="18"/>
              </w:rPr>
            </w:pPr>
            <w:r>
              <w:rPr>
                <w:sz w:val="18"/>
              </w:rPr>
              <w:t>Peligrosidad, vulnerabilidad y exposición</w:t>
            </w:r>
          </w:p>
        </w:tc>
      </w:tr>
      <w:tr>
        <w:trPr>
          <w:trHeight w:val="298" w:hRule="exact"/>
        </w:trPr>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72"/>
              <w:ind w:left="443" w:right="441"/>
              <w:jc w:val="center"/>
              <w:rPr>
                <w:sz w:val="18"/>
              </w:rPr>
            </w:pPr>
            <w:r>
              <w:rPr>
                <w:sz w:val="18"/>
              </w:rPr>
              <w:t>29</w:t>
            </w:r>
          </w:p>
        </w:tc>
        <w:tc>
          <w:tcPr>
            <w:tcW w:w="7720" w:type="dxa"/>
            <w:tcBorders>
              <w:top w:val="single" w:sz="4" w:space="0" w:color="000000"/>
              <w:left w:val="single" w:sz="4" w:space="0" w:color="000000"/>
              <w:bottom w:val="single" w:sz="4" w:space="0" w:color="000000"/>
              <w:right w:val="single" w:sz="4" w:space="0" w:color="000000"/>
            </w:tcBorders>
          </w:tcPr>
          <w:p>
            <w:pPr>
              <w:pStyle w:val="TableParagraph"/>
              <w:spacing w:before="72"/>
              <w:ind w:left="1081" w:right="1081"/>
              <w:jc w:val="center"/>
              <w:rPr>
                <w:sz w:val="18"/>
              </w:rPr>
            </w:pPr>
            <w:r>
              <w:rPr>
                <w:sz w:val="18"/>
              </w:rPr>
              <w:t>Resonancia geográfica</w:t>
            </w:r>
          </w:p>
        </w:tc>
      </w:tr>
      <w:tr>
        <w:trPr>
          <w:trHeight w:val="298" w:hRule="exact"/>
        </w:trPr>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69"/>
              <w:ind w:left="443" w:right="441"/>
              <w:jc w:val="center"/>
              <w:rPr>
                <w:sz w:val="18"/>
              </w:rPr>
            </w:pPr>
            <w:r>
              <w:rPr>
                <w:sz w:val="18"/>
              </w:rPr>
              <w:t>30</w:t>
            </w:r>
          </w:p>
        </w:tc>
        <w:tc>
          <w:tcPr>
            <w:tcW w:w="7720" w:type="dxa"/>
            <w:tcBorders>
              <w:top w:val="single" w:sz="4" w:space="0" w:color="000000"/>
              <w:left w:val="single" w:sz="4" w:space="0" w:color="000000"/>
              <w:bottom w:val="single" w:sz="4" w:space="0" w:color="000000"/>
              <w:right w:val="single" w:sz="4" w:space="0" w:color="000000"/>
            </w:tcBorders>
          </w:tcPr>
          <w:p>
            <w:pPr>
              <w:pStyle w:val="TableParagraph"/>
              <w:spacing w:before="67"/>
              <w:ind w:left="1081" w:right="1081"/>
              <w:jc w:val="center"/>
              <w:rPr>
                <w:i/>
                <w:sz w:val="18"/>
              </w:rPr>
            </w:pPr>
            <w:r>
              <w:rPr>
                <w:i/>
                <w:sz w:val="18"/>
              </w:rPr>
              <w:t>Neoindustriales</w:t>
            </w:r>
          </w:p>
        </w:tc>
      </w:tr>
    </w:tbl>
    <w:p>
      <w:pPr>
        <w:pStyle w:val="BodyText"/>
        <w:rPr>
          <w:rFonts w:ascii="Times New Roman"/>
          <w:sz w:val="20"/>
        </w:rPr>
      </w:pPr>
    </w:p>
    <w:p>
      <w:pPr>
        <w:pStyle w:val="BodyText"/>
        <w:spacing w:before="1"/>
        <w:rPr>
          <w:rFonts w:ascii="Times New Roman"/>
          <w:sz w:val="15"/>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2"/>
        <w:gridCol w:w="1570"/>
        <w:gridCol w:w="1642"/>
        <w:gridCol w:w="1635"/>
        <w:gridCol w:w="1877"/>
        <w:gridCol w:w="1049"/>
      </w:tblGrid>
      <w:tr>
        <w:trPr>
          <w:trHeight w:val="286" w:hRule="exact"/>
        </w:trPr>
        <w:tc>
          <w:tcPr>
            <w:tcW w:w="1032" w:type="dxa"/>
            <w:vMerge w:val="restart"/>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3"/>
              </w:rPr>
            </w:pPr>
          </w:p>
          <w:p>
            <w:pPr>
              <w:pStyle w:val="TableParagraph"/>
              <w:ind w:left="179" w:right="59" w:hanging="106"/>
              <w:rPr>
                <w:b/>
                <w:sz w:val="18"/>
              </w:rPr>
            </w:pPr>
            <w:r>
              <w:rPr>
                <w:b/>
                <w:sz w:val="18"/>
              </w:rPr>
              <w:t>Unidad de análisis</w:t>
            </w:r>
          </w:p>
        </w:tc>
        <w:tc>
          <w:tcPr>
            <w:tcW w:w="7773" w:type="dxa"/>
            <w:gridSpan w:val="5"/>
          </w:tcPr>
          <w:p>
            <w:pPr>
              <w:pStyle w:val="TableParagraph"/>
              <w:spacing w:line="272" w:lineRule="exact"/>
              <w:ind w:left="899"/>
              <w:rPr>
                <w:b/>
                <w:sz w:val="24"/>
              </w:rPr>
            </w:pPr>
            <w:r>
              <w:rPr>
                <w:b/>
                <w:sz w:val="24"/>
              </w:rPr>
              <w:t>Sección 2. Objeto de investigación (variable 5 a la 9)</w:t>
            </w:r>
          </w:p>
        </w:tc>
      </w:tr>
      <w:tr>
        <w:trPr>
          <w:trHeight w:val="310" w:hRule="exact"/>
        </w:trPr>
        <w:tc>
          <w:tcPr>
            <w:tcW w:w="1032" w:type="dxa"/>
            <w:vMerge/>
          </w:tcPr>
          <w:p>
            <w:pPr/>
          </w:p>
        </w:tc>
        <w:tc>
          <w:tcPr>
            <w:tcW w:w="1570" w:type="dxa"/>
          </w:tcPr>
          <w:p>
            <w:pPr>
              <w:pStyle w:val="TableParagraph"/>
              <w:spacing w:before="88"/>
              <w:ind w:left="49" w:right="48"/>
              <w:jc w:val="center"/>
              <w:rPr>
                <w:b/>
                <w:sz w:val="18"/>
              </w:rPr>
            </w:pPr>
            <w:r>
              <w:rPr>
                <w:b/>
                <w:sz w:val="18"/>
              </w:rPr>
              <w:t>variable 5</w:t>
            </w:r>
          </w:p>
        </w:tc>
        <w:tc>
          <w:tcPr>
            <w:tcW w:w="1642" w:type="dxa"/>
          </w:tcPr>
          <w:p>
            <w:pPr>
              <w:pStyle w:val="TableParagraph"/>
              <w:spacing w:before="88"/>
              <w:ind w:left="103" w:right="104"/>
              <w:jc w:val="center"/>
              <w:rPr>
                <w:b/>
                <w:sz w:val="18"/>
              </w:rPr>
            </w:pPr>
            <w:r>
              <w:rPr>
                <w:b/>
                <w:sz w:val="18"/>
              </w:rPr>
              <w:t>variable 6</w:t>
            </w:r>
          </w:p>
        </w:tc>
        <w:tc>
          <w:tcPr>
            <w:tcW w:w="1635" w:type="dxa"/>
          </w:tcPr>
          <w:p>
            <w:pPr>
              <w:pStyle w:val="TableParagraph"/>
              <w:spacing w:before="88"/>
              <w:ind w:left="87" w:right="86"/>
              <w:jc w:val="center"/>
              <w:rPr>
                <w:b/>
                <w:sz w:val="18"/>
              </w:rPr>
            </w:pPr>
            <w:r>
              <w:rPr>
                <w:b/>
                <w:sz w:val="18"/>
              </w:rPr>
              <w:t>variable 7</w:t>
            </w:r>
          </w:p>
        </w:tc>
        <w:tc>
          <w:tcPr>
            <w:tcW w:w="1877" w:type="dxa"/>
          </w:tcPr>
          <w:p>
            <w:pPr>
              <w:pStyle w:val="TableParagraph"/>
              <w:spacing w:before="88"/>
              <w:ind w:left="122" w:right="123"/>
              <w:jc w:val="center"/>
              <w:rPr>
                <w:b/>
                <w:sz w:val="18"/>
              </w:rPr>
            </w:pPr>
            <w:r>
              <w:rPr>
                <w:b/>
                <w:sz w:val="18"/>
              </w:rPr>
              <w:t>variable 8</w:t>
            </w:r>
          </w:p>
        </w:tc>
        <w:tc>
          <w:tcPr>
            <w:tcW w:w="1049" w:type="dxa"/>
          </w:tcPr>
          <w:p>
            <w:pPr>
              <w:pStyle w:val="TableParagraph"/>
              <w:spacing w:before="88"/>
              <w:ind w:left="69" w:right="68"/>
              <w:jc w:val="center"/>
              <w:rPr>
                <w:b/>
                <w:sz w:val="18"/>
              </w:rPr>
            </w:pPr>
            <w:r>
              <w:rPr>
                <w:b/>
                <w:sz w:val="18"/>
              </w:rPr>
              <w:t>variable 9</w:t>
            </w:r>
          </w:p>
        </w:tc>
      </w:tr>
      <w:tr>
        <w:trPr>
          <w:trHeight w:val="732" w:hRule="exact"/>
        </w:trPr>
        <w:tc>
          <w:tcPr>
            <w:tcW w:w="1032" w:type="dxa"/>
            <w:vMerge/>
          </w:tcPr>
          <w:p>
            <w:pPr/>
          </w:p>
        </w:tc>
        <w:tc>
          <w:tcPr>
            <w:tcW w:w="1570" w:type="dxa"/>
          </w:tcPr>
          <w:p>
            <w:pPr>
              <w:pStyle w:val="TableParagraph"/>
              <w:spacing w:before="95"/>
              <w:ind w:left="249" w:right="223" w:hanging="27"/>
              <w:jc w:val="both"/>
              <w:rPr>
                <w:b/>
                <w:sz w:val="18"/>
              </w:rPr>
            </w:pPr>
            <w:r>
              <w:rPr>
                <w:b/>
                <w:sz w:val="18"/>
              </w:rPr>
              <w:t>Disciplina de origen de la teoría usada</w:t>
            </w:r>
          </w:p>
        </w:tc>
        <w:tc>
          <w:tcPr>
            <w:tcW w:w="1642" w:type="dxa"/>
          </w:tcPr>
          <w:p>
            <w:pPr>
              <w:pStyle w:val="TableParagraph"/>
              <w:spacing w:before="2"/>
              <w:rPr>
                <w:rFonts w:ascii="Times New Roman"/>
                <w:sz w:val="26"/>
              </w:rPr>
            </w:pPr>
          </w:p>
          <w:p>
            <w:pPr>
              <w:pStyle w:val="TableParagraph"/>
              <w:ind w:left="494" w:right="383" w:hanging="96"/>
              <w:rPr>
                <w:b/>
                <w:sz w:val="18"/>
              </w:rPr>
            </w:pPr>
            <w:r>
              <w:rPr>
                <w:b/>
                <w:sz w:val="18"/>
              </w:rPr>
              <w:t>Objeto de estudio</w:t>
            </w:r>
          </w:p>
        </w:tc>
        <w:tc>
          <w:tcPr>
            <w:tcW w:w="1635" w:type="dxa"/>
          </w:tcPr>
          <w:p>
            <w:pPr>
              <w:pStyle w:val="TableParagraph"/>
              <w:rPr>
                <w:rFonts w:ascii="Times New Roman"/>
                <w:sz w:val="18"/>
              </w:rPr>
            </w:pPr>
          </w:p>
          <w:p>
            <w:pPr>
              <w:pStyle w:val="TableParagraph"/>
              <w:spacing w:before="2"/>
              <w:rPr>
                <w:rFonts w:ascii="Times New Roman"/>
                <w:sz w:val="26"/>
              </w:rPr>
            </w:pPr>
          </w:p>
          <w:p>
            <w:pPr>
              <w:pStyle w:val="TableParagraph"/>
              <w:ind w:left="87" w:right="87"/>
              <w:jc w:val="center"/>
              <w:rPr>
                <w:b/>
                <w:sz w:val="18"/>
              </w:rPr>
            </w:pPr>
            <w:r>
              <w:rPr>
                <w:b/>
                <w:sz w:val="18"/>
              </w:rPr>
              <w:t>Sujetos sociales</w:t>
            </w:r>
          </w:p>
        </w:tc>
        <w:tc>
          <w:tcPr>
            <w:tcW w:w="1877" w:type="dxa"/>
          </w:tcPr>
          <w:p>
            <w:pPr>
              <w:pStyle w:val="TableParagraph"/>
              <w:spacing w:before="2"/>
              <w:rPr>
                <w:rFonts w:ascii="Times New Roman"/>
                <w:sz w:val="26"/>
              </w:rPr>
            </w:pPr>
          </w:p>
          <w:p>
            <w:pPr>
              <w:pStyle w:val="TableParagraph"/>
              <w:ind w:left="187" w:right="121" w:hanging="51"/>
              <w:rPr>
                <w:b/>
                <w:sz w:val="18"/>
              </w:rPr>
            </w:pPr>
            <w:r>
              <w:rPr>
                <w:b/>
                <w:sz w:val="18"/>
              </w:rPr>
              <w:t>Ámbito geográfico objeto de estudio</w:t>
            </w:r>
          </w:p>
        </w:tc>
        <w:tc>
          <w:tcPr>
            <w:tcW w:w="1049" w:type="dxa"/>
          </w:tcPr>
          <w:p>
            <w:pPr>
              <w:pStyle w:val="TableParagraph"/>
              <w:spacing w:before="2"/>
              <w:rPr>
                <w:rFonts w:ascii="Times New Roman"/>
                <w:sz w:val="26"/>
              </w:rPr>
            </w:pPr>
          </w:p>
          <w:p>
            <w:pPr>
              <w:pStyle w:val="TableParagraph"/>
              <w:ind w:left="69" w:right="50" w:firstLine="112"/>
              <w:rPr>
                <w:b/>
                <w:sz w:val="18"/>
              </w:rPr>
            </w:pPr>
            <w:r>
              <w:rPr>
                <w:b/>
                <w:sz w:val="18"/>
              </w:rPr>
              <w:t>Periodo de estudio</w:t>
            </w:r>
          </w:p>
        </w:tc>
      </w:tr>
      <w:tr>
        <w:trPr>
          <w:trHeight w:val="490" w:hRule="exact"/>
        </w:trPr>
        <w:tc>
          <w:tcPr>
            <w:tcW w:w="1032" w:type="dxa"/>
          </w:tcPr>
          <w:p>
            <w:pPr>
              <w:pStyle w:val="TableParagraph"/>
              <w:spacing w:before="8"/>
              <w:rPr>
                <w:rFonts w:ascii="Times New Roman"/>
                <w:sz w:val="23"/>
              </w:rPr>
            </w:pPr>
          </w:p>
          <w:p>
            <w:pPr>
              <w:pStyle w:val="TableParagraph"/>
              <w:ind w:left="460"/>
              <w:rPr>
                <w:sz w:val="18"/>
              </w:rPr>
            </w:pPr>
            <w:r>
              <w:rPr>
                <w:w w:val="99"/>
                <w:sz w:val="18"/>
              </w:rPr>
              <w:t>1</w:t>
            </w:r>
          </w:p>
        </w:tc>
        <w:tc>
          <w:tcPr>
            <w:tcW w:w="1570" w:type="dxa"/>
          </w:tcPr>
          <w:p>
            <w:pPr>
              <w:pStyle w:val="TableParagraph"/>
              <w:spacing w:before="8"/>
              <w:rPr>
                <w:rFonts w:ascii="Times New Roman"/>
                <w:sz w:val="23"/>
              </w:rPr>
            </w:pPr>
          </w:p>
          <w:p>
            <w:pPr>
              <w:pStyle w:val="TableParagraph"/>
              <w:ind w:left="49" w:right="49"/>
              <w:jc w:val="center"/>
              <w:rPr>
                <w:sz w:val="18"/>
              </w:rPr>
            </w:pPr>
            <w:r>
              <w:rPr>
                <w:sz w:val="18"/>
              </w:rPr>
              <w:t>Sociología</w:t>
            </w:r>
          </w:p>
        </w:tc>
        <w:tc>
          <w:tcPr>
            <w:tcW w:w="1642" w:type="dxa"/>
          </w:tcPr>
          <w:p>
            <w:pPr>
              <w:pStyle w:val="TableParagraph"/>
              <w:spacing w:before="64"/>
              <w:ind w:left="383" w:right="308" w:hanging="60"/>
              <w:rPr>
                <w:sz w:val="18"/>
              </w:rPr>
            </w:pPr>
            <w:r>
              <w:rPr>
                <w:sz w:val="18"/>
              </w:rPr>
              <w:t>segregación residencial</w:t>
            </w:r>
          </w:p>
        </w:tc>
        <w:tc>
          <w:tcPr>
            <w:tcW w:w="1635" w:type="dxa"/>
          </w:tcPr>
          <w:p>
            <w:pPr>
              <w:pStyle w:val="TableParagraph"/>
              <w:spacing w:before="8"/>
              <w:rPr>
                <w:rFonts w:ascii="Times New Roman"/>
                <w:sz w:val="23"/>
              </w:rPr>
            </w:pPr>
          </w:p>
          <w:p>
            <w:pPr>
              <w:pStyle w:val="TableParagraph"/>
              <w:ind w:left="87" w:right="87"/>
              <w:jc w:val="center"/>
              <w:rPr>
                <w:sz w:val="18"/>
              </w:rPr>
            </w:pPr>
            <w:r>
              <w:rPr>
                <w:sz w:val="18"/>
              </w:rPr>
              <w:t>grupos pobres</w:t>
            </w:r>
          </w:p>
        </w:tc>
        <w:tc>
          <w:tcPr>
            <w:tcW w:w="1877" w:type="dxa"/>
          </w:tcPr>
          <w:p>
            <w:pPr>
              <w:pStyle w:val="TableParagraph"/>
              <w:spacing w:before="64"/>
              <w:ind w:left="386" w:right="86" w:hanging="286"/>
              <w:rPr>
                <w:sz w:val="18"/>
              </w:rPr>
            </w:pPr>
            <w:r>
              <w:rPr>
                <w:sz w:val="18"/>
              </w:rPr>
              <w:t>Santiago, Valparaiso y Concepción</w:t>
            </w:r>
          </w:p>
        </w:tc>
        <w:tc>
          <w:tcPr>
            <w:tcW w:w="1049" w:type="dxa"/>
          </w:tcPr>
          <w:p>
            <w:pPr>
              <w:pStyle w:val="TableParagraph"/>
              <w:spacing w:before="8"/>
              <w:rPr>
                <w:rFonts w:ascii="Times New Roman"/>
                <w:sz w:val="23"/>
              </w:rPr>
            </w:pPr>
          </w:p>
          <w:p>
            <w:pPr>
              <w:pStyle w:val="TableParagraph"/>
              <w:ind w:left="69" w:right="68"/>
              <w:jc w:val="center"/>
              <w:rPr>
                <w:sz w:val="18"/>
              </w:rPr>
            </w:pPr>
            <w:r>
              <w:rPr>
                <w:sz w:val="18"/>
              </w:rPr>
              <w:t>1990-2000</w:t>
            </w:r>
          </w:p>
        </w:tc>
      </w:tr>
      <w:tr>
        <w:trPr>
          <w:trHeight w:val="490" w:hRule="exact"/>
        </w:trPr>
        <w:tc>
          <w:tcPr>
            <w:tcW w:w="1032" w:type="dxa"/>
          </w:tcPr>
          <w:p>
            <w:pPr>
              <w:pStyle w:val="TableParagraph"/>
              <w:spacing w:before="8"/>
              <w:rPr>
                <w:rFonts w:ascii="Times New Roman"/>
                <w:sz w:val="23"/>
              </w:rPr>
            </w:pPr>
          </w:p>
          <w:p>
            <w:pPr>
              <w:pStyle w:val="TableParagraph"/>
              <w:spacing w:before="1"/>
              <w:ind w:left="460"/>
              <w:rPr>
                <w:sz w:val="18"/>
              </w:rPr>
            </w:pPr>
            <w:r>
              <w:rPr>
                <w:w w:val="99"/>
                <w:sz w:val="18"/>
              </w:rPr>
              <w:t>2</w:t>
            </w:r>
          </w:p>
        </w:tc>
        <w:tc>
          <w:tcPr>
            <w:tcW w:w="1570" w:type="dxa"/>
          </w:tcPr>
          <w:p>
            <w:pPr>
              <w:pStyle w:val="TableParagraph"/>
              <w:spacing w:before="8"/>
              <w:rPr>
                <w:rFonts w:ascii="Times New Roman"/>
                <w:sz w:val="23"/>
              </w:rPr>
            </w:pPr>
          </w:p>
          <w:p>
            <w:pPr>
              <w:pStyle w:val="TableParagraph"/>
              <w:spacing w:before="1"/>
              <w:ind w:left="49" w:right="49"/>
              <w:jc w:val="center"/>
              <w:rPr>
                <w:sz w:val="18"/>
              </w:rPr>
            </w:pPr>
            <w:r>
              <w:rPr>
                <w:sz w:val="18"/>
              </w:rPr>
              <w:t>Sociología</w:t>
            </w:r>
          </w:p>
        </w:tc>
        <w:tc>
          <w:tcPr>
            <w:tcW w:w="1642" w:type="dxa"/>
          </w:tcPr>
          <w:p>
            <w:pPr>
              <w:pStyle w:val="TableParagraph"/>
              <w:spacing w:before="64"/>
              <w:ind w:left="383" w:right="308" w:hanging="60"/>
              <w:rPr>
                <w:sz w:val="18"/>
              </w:rPr>
            </w:pPr>
            <w:r>
              <w:rPr>
                <w:sz w:val="18"/>
              </w:rPr>
              <w:t>segregación residencial</w:t>
            </w:r>
          </w:p>
        </w:tc>
        <w:tc>
          <w:tcPr>
            <w:tcW w:w="1635" w:type="dxa"/>
          </w:tcPr>
          <w:p>
            <w:pPr>
              <w:pStyle w:val="TableParagraph"/>
              <w:spacing w:before="64"/>
              <w:ind w:left="470" w:right="379" w:hanging="75"/>
              <w:rPr>
                <w:sz w:val="18"/>
              </w:rPr>
            </w:pPr>
            <w:r>
              <w:rPr>
                <w:sz w:val="18"/>
              </w:rPr>
              <w:t>residentes Nordelta</w:t>
            </w:r>
          </w:p>
        </w:tc>
        <w:tc>
          <w:tcPr>
            <w:tcW w:w="1877" w:type="dxa"/>
          </w:tcPr>
          <w:p>
            <w:pPr>
              <w:pStyle w:val="TableParagraph"/>
              <w:spacing w:before="64"/>
              <w:ind w:left="727" w:right="221" w:hanging="492"/>
              <w:rPr>
                <w:sz w:val="18"/>
              </w:rPr>
            </w:pPr>
            <w:r>
              <w:rPr>
                <w:sz w:val="18"/>
              </w:rPr>
              <w:t>Nordelta, Buenos Aires</w:t>
            </w:r>
          </w:p>
        </w:tc>
        <w:tc>
          <w:tcPr>
            <w:tcW w:w="1049" w:type="dxa"/>
          </w:tcPr>
          <w:p>
            <w:pPr>
              <w:pStyle w:val="TableParagraph"/>
              <w:spacing w:before="8"/>
              <w:rPr>
                <w:rFonts w:ascii="Times New Roman"/>
                <w:sz w:val="23"/>
              </w:rPr>
            </w:pPr>
          </w:p>
          <w:p>
            <w:pPr>
              <w:pStyle w:val="TableParagraph"/>
              <w:spacing w:before="1"/>
              <w:ind w:left="69" w:right="67"/>
              <w:jc w:val="center"/>
              <w:rPr>
                <w:sz w:val="18"/>
              </w:rPr>
            </w:pPr>
            <w:r>
              <w:rPr>
                <w:sz w:val="18"/>
              </w:rPr>
              <w:t>2000</w:t>
            </w:r>
          </w:p>
        </w:tc>
      </w:tr>
      <w:tr>
        <w:trPr>
          <w:trHeight w:val="490" w:hRule="exact"/>
        </w:trPr>
        <w:tc>
          <w:tcPr>
            <w:tcW w:w="1032" w:type="dxa"/>
          </w:tcPr>
          <w:p>
            <w:pPr>
              <w:pStyle w:val="TableParagraph"/>
              <w:spacing w:before="8"/>
              <w:rPr>
                <w:rFonts w:ascii="Times New Roman"/>
                <w:sz w:val="23"/>
              </w:rPr>
            </w:pPr>
          </w:p>
          <w:p>
            <w:pPr>
              <w:pStyle w:val="TableParagraph"/>
              <w:ind w:left="460"/>
              <w:rPr>
                <w:sz w:val="18"/>
              </w:rPr>
            </w:pPr>
            <w:r>
              <w:rPr>
                <w:w w:val="99"/>
                <w:sz w:val="18"/>
              </w:rPr>
              <w:t>3</w:t>
            </w:r>
          </w:p>
        </w:tc>
        <w:tc>
          <w:tcPr>
            <w:tcW w:w="1570" w:type="dxa"/>
          </w:tcPr>
          <w:p>
            <w:pPr/>
          </w:p>
        </w:tc>
        <w:tc>
          <w:tcPr>
            <w:tcW w:w="1642" w:type="dxa"/>
          </w:tcPr>
          <w:p>
            <w:pPr>
              <w:pStyle w:val="TableParagraph"/>
              <w:spacing w:before="66"/>
              <w:ind w:left="177" w:right="164" w:firstLine="369"/>
              <w:rPr>
                <w:sz w:val="18"/>
              </w:rPr>
            </w:pPr>
            <w:r>
              <w:rPr>
                <w:sz w:val="18"/>
              </w:rPr>
              <w:t>ciudad latinoamericana</w:t>
            </w:r>
          </w:p>
        </w:tc>
        <w:tc>
          <w:tcPr>
            <w:tcW w:w="1635" w:type="dxa"/>
          </w:tcPr>
          <w:p>
            <w:pPr/>
          </w:p>
        </w:tc>
        <w:tc>
          <w:tcPr>
            <w:tcW w:w="1877" w:type="dxa"/>
          </w:tcPr>
          <w:p>
            <w:pPr/>
          </w:p>
        </w:tc>
        <w:tc>
          <w:tcPr>
            <w:tcW w:w="1049" w:type="dxa"/>
          </w:tcPr>
          <w:p>
            <w:pPr/>
          </w:p>
        </w:tc>
      </w:tr>
      <w:tr>
        <w:trPr>
          <w:trHeight w:val="490" w:hRule="exact"/>
        </w:trPr>
        <w:tc>
          <w:tcPr>
            <w:tcW w:w="1032" w:type="dxa"/>
          </w:tcPr>
          <w:p>
            <w:pPr>
              <w:pStyle w:val="TableParagraph"/>
              <w:spacing w:before="8"/>
              <w:rPr>
                <w:rFonts w:ascii="Times New Roman"/>
                <w:sz w:val="23"/>
              </w:rPr>
            </w:pPr>
          </w:p>
          <w:p>
            <w:pPr>
              <w:pStyle w:val="TableParagraph"/>
              <w:ind w:left="460"/>
              <w:rPr>
                <w:sz w:val="18"/>
              </w:rPr>
            </w:pPr>
            <w:r>
              <w:rPr>
                <w:w w:val="99"/>
                <w:sz w:val="18"/>
              </w:rPr>
              <w:t>4</w:t>
            </w:r>
          </w:p>
        </w:tc>
        <w:tc>
          <w:tcPr>
            <w:tcW w:w="1570" w:type="dxa"/>
          </w:tcPr>
          <w:p>
            <w:pPr>
              <w:pStyle w:val="TableParagraph"/>
              <w:spacing w:before="8"/>
              <w:rPr>
                <w:rFonts w:ascii="Times New Roman"/>
                <w:sz w:val="23"/>
              </w:rPr>
            </w:pPr>
          </w:p>
          <w:p>
            <w:pPr>
              <w:pStyle w:val="TableParagraph"/>
              <w:ind w:left="49" w:right="49"/>
              <w:jc w:val="center"/>
              <w:rPr>
                <w:sz w:val="18"/>
              </w:rPr>
            </w:pPr>
            <w:r>
              <w:rPr>
                <w:sz w:val="18"/>
              </w:rPr>
              <w:t>economía</w:t>
            </w:r>
          </w:p>
        </w:tc>
        <w:tc>
          <w:tcPr>
            <w:tcW w:w="1642" w:type="dxa"/>
          </w:tcPr>
          <w:p>
            <w:pPr>
              <w:pStyle w:val="TableParagraph"/>
              <w:spacing w:before="66"/>
              <w:ind w:left="484" w:right="308" w:hanging="161"/>
              <w:rPr>
                <w:sz w:val="18"/>
              </w:rPr>
            </w:pPr>
            <w:r>
              <w:rPr>
                <w:sz w:val="18"/>
              </w:rPr>
              <w:t>segregación espacial</w:t>
            </w:r>
          </w:p>
        </w:tc>
        <w:tc>
          <w:tcPr>
            <w:tcW w:w="1635" w:type="dxa"/>
          </w:tcPr>
          <w:p>
            <w:pPr/>
          </w:p>
        </w:tc>
        <w:tc>
          <w:tcPr>
            <w:tcW w:w="1877" w:type="dxa"/>
          </w:tcPr>
          <w:p>
            <w:pPr>
              <w:pStyle w:val="TableParagraph"/>
              <w:spacing w:before="8"/>
              <w:rPr>
                <w:rFonts w:ascii="Times New Roman"/>
                <w:sz w:val="23"/>
              </w:rPr>
            </w:pPr>
          </w:p>
          <w:p>
            <w:pPr>
              <w:pStyle w:val="TableParagraph"/>
              <w:ind w:left="121" w:right="123"/>
              <w:jc w:val="center"/>
              <w:rPr>
                <w:sz w:val="18"/>
              </w:rPr>
            </w:pPr>
            <w:r>
              <w:rPr>
                <w:sz w:val="18"/>
              </w:rPr>
              <w:t>Santiago de Chile</w:t>
            </w:r>
          </w:p>
        </w:tc>
        <w:tc>
          <w:tcPr>
            <w:tcW w:w="1049" w:type="dxa"/>
          </w:tcPr>
          <w:p>
            <w:pPr>
              <w:pStyle w:val="TableParagraph"/>
              <w:spacing w:before="8"/>
              <w:rPr>
                <w:rFonts w:ascii="Times New Roman"/>
                <w:sz w:val="23"/>
              </w:rPr>
            </w:pPr>
          </w:p>
          <w:p>
            <w:pPr>
              <w:pStyle w:val="TableParagraph"/>
              <w:ind w:left="69" w:right="67"/>
              <w:jc w:val="center"/>
              <w:rPr>
                <w:sz w:val="18"/>
              </w:rPr>
            </w:pPr>
            <w:r>
              <w:rPr>
                <w:sz w:val="18"/>
              </w:rPr>
              <w:t>2000</w:t>
            </w:r>
          </w:p>
        </w:tc>
      </w:tr>
      <w:tr>
        <w:trPr>
          <w:trHeight w:val="730" w:hRule="exact"/>
        </w:trPr>
        <w:tc>
          <w:tcPr>
            <w:tcW w:w="1032" w:type="dxa"/>
          </w:tcPr>
          <w:p>
            <w:pPr>
              <w:pStyle w:val="TableParagraph"/>
              <w:rPr>
                <w:rFonts w:ascii="Times New Roman"/>
                <w:sz w:val="18"/>
              </w:rPr>
            </w:pPr>
          </w:p>
          <w:p>
            <w:pPr>
              <w:pStyle w:val="TableParagraph"/>
              <w:spacing w:before="6"/>
              <w:rPr>
                <w:rFonts w:ascii="Times New Roman"/>
                <w:sz w:val="26"/>
              </w:rPr>
            </w:pPr>
          </w:p>
          <w:p>
            <w:pPr>
              <w:pStyle w:val="TableParagraph"/>
              <w:spacing w:before="1"/>
              <w:ind w:left="460"/>
              <w:rPr>
                <w:sz w:val="18"/>
              </w:rPr>
            </w:pPr>
            <w:r>
              <w:rPr>
                <w:w w:val="99"/>
                <w:sz w:val="18"/>
              </w:rPr>
              <w:t>5</w:t>
            </w:r>
          </w:p>
        </w:tc>
        <w:tc>
          <w:tcPr>
            <w:tcW w:w="1570" w:type="dxa"/>
          </w:tcPr>
          <w:p>
            <w:pPr>
              <w:pStyle w:val="TableParagraph"/>
              <w:spacing w:before="100"/>
              <w:ind w:left="278" w:right="279" w:hanging="1"/>
              <w:jc w:val="center"/>
              <w:rPr>
                <w:sz w:val="18"/>
              </w:rPr>
            </w:pPr>
            <w:r>
              <w:rPr>
                <w:sz w:val="18"/>
              </w:rPr>
              <w:t>economía, sociología y planeación</w:t>
            </w:r>
          </w:p>
        </w:tc>
        <w:tc>
          <w:tcPr>
            <w:tcW w:w="1642" w:type="dxa"/>
          </w:tcPr>
          <w:p>
            <w:pPr>
              <w:pStyle w:val="TableParagraph"/>
              <w:spacing w:before="100"/>
              <w:ind w:left="153" w:right="156" w:firstLine="2"/>
              <w:jc w:val="center"/>
              <w:rPr>
                <w:sz w:val="18"/>
              </w:rPr>
            </w:pPr>
            <w:r>
              <w:rPr>
                <w:sz w:val="18"/>
              </w:rPr>
              <w:t>segregación espacial (barrios cerrados)</w:t>
            </w:r>
          </w:p>
        </w:tc>
        <w:tc>
          <w:tcPr>
            <w:tcW w:w="1635" w:type="dxa"/>
          </w:tcPr>
          <w:p>
            <w:pPr/>
          </w:p>
        </w:tc>
        <w:tc>
          <w:tcPr>
            <w:tcW w:w="1877" w:type="dxa"/>
          </w:tcPr>
          <w:p>
            <w:pPr>
              <w:pStyle w:val="TableParagraph"/>
              <w:spacing w:before="7"/>
              <w:rPr>
                <w:rFonts w:ascii="Times New Roman"/>
                <w:sz w:val="26"/>
              </w:rPr>
            </w:pPr>
          </w:p>
          <w:p>
            <w:pPr>
              <w:pStyle w:val="TableParagraph"/>
              <w:ind w:left="95" w:right="81" w:firstLine="74"/>
              <w:rPr>
                <w:sz w:val="18"/>
              </w:rPr>
            </w:pPr>
            <w:r>
              <w:rPr>
                <w:sz w:val="18"/>
              </w:rPr>
              <w:t>Área metropolitana de Santiago de Chile</w:t>
            </w:r>
          </w:p>
        </w:tc>
        <w:tc>
          <w:tcPr>
            <w:tcW w:w="1049" w:type="dxa"/>
          </w:tcPr>
          <w:p>
            <w:pPr>
              <w:pStyle w:val="TableParagraph"/>
              <w:rPr>
                <w:rFonts w:ascii="Times New Roman"/>
                <w:sz w:val="18"/>
              </w:rPr>
            </w:pPr>
          </w:p>
          <w:p>
            <w:pPr>
              <w:pStyle w:val="TableParagraph"/>
              <w:spacing w:before="6"/>
              <w:rPr>
                <w:rFonts w:ascii="Times New Roman"/>
                <w:sz w:val="26"/>
              </w:rPr>
            </w:pPr>
          </w:p>
          <w:p>
            <w:pPr>
              <w:pStyle w:val="TableParagraph"/>
              <w:spacing w:before="1"/>
              <w:ind w:left="69" w:right="67"/>
              <w:jc w:val="center"/>
              <w:rPr>
                <w:sz w:val="18"/>
              </w:rPr>
            </w:pPr>
            <w:r>
              <w:rPr>
                <w:sz w:val="18"/>
              </w:rPr>
              <w:t>2004</w:t>
            </w:r>
          </w:p>
        </w:tc>
      </w:tr>
      <w:tr>
        <w:trPr>
          <w:trHeight w:val="631" w:hRule="exact"/>
        </w:trPr>
        <w:tc>
          <w:tcPr>
            <w:tcW w:w="1032" w:type="dxa"/>
          </w:tcPr>
          <w:p>
            <w:pPr>
              <w:pStyle w:val="TableParagraph"/>
              <w:rPr>
                <w:rFonts w:ascii="Times New Roman"/>
                <w:sz w:val="18"/>
              </w:rPr>
            </w:pPr>
          </w:p>
          <w:p>
            <w:pPr>
              <w:pStyle w:val="TableParagraph"/>
              <w:rPr>
                <w:rFonts w:ascii="Times New Roman"/>
                <w:sz w:val="18"/>
              </w:rPr>
            </w:pPr>
          </w:p>
          <w:p>
            <w:pPr>
              <w:pStyle w:val="TableParagraph"/>
              <w:ind w:left="460"/>
              <w:rPr>
                <w:sz w:val="18"/>
              </w:rPr>
            </w:pPr>
            <w:r>
              <w:rPr>
                <w:w w:val="99"/>
                <w:sz w:val="18"/>
              </w:rPr>
              <w:t>6</w:t>
            </w:r>
          </w:p>
        </w:tc>
        <w:tc>
          <w:tcPr>
            <w:tcW w:w="1570" w:type="dxa"/>
          </w:tcPr>
          <w:p>
            <w:pPr>
              <w:pStyle w:val="TableParagraph"/>
              <w:rPr>
                <w:rFonts w:ascii="Times New Roman"/>
                <w:sz w:val="18"/>
              </w:rPr>
            </w:pPr>
          </w:p>
          <w:p>
            <w:pPr>
              <w:pStyle w:val="TableParagraph"/>
              <w:rPr>
                <w:rFonts w:ascii="Times New Roman"/>
                <w:sz w:val="18"/>
              </w:rPr>
            </w:pPr>
          </w:p>
          <w:p>
            <w:pPr>
              <w:pStyle w:val="TableParagraph"/>
              <w:ind w:left="49" w:right="49"/>
              <w:jc w:val="center"/>
              <w:rPr>
                <w:sz w:val="18"/>
              </w:rPr>
            </w:pPr>
            <w:r>
              <w:rPr>
                <w:sz w:val="18"/>
              </w:rPr>
              <w:t>economía</w:t>
            </w:r>
          </w:p>
        </w:tc>
        <w:tc>
          <w:tcPr>
            <w:tcW w:w="1642" w:type="dxa"/>
          </w:tcPr>
          <w:p>
            <w:pPr>
              <w:pStyle w:val="TableParagraph"/>
              <w:spacing w:before="1"/>
              <w:ind w:left="103" w:right="106"/>
              <w:jc w:val="center"/>
              <w:rPr>
                <w:sz w:val="18"/>
              </w:rPr>
            </w:pPr>
            <w:r>
              <w:rPr>
                <w:sz w:val="18"/>
              </w:rPr>
              <w:t>Innovación y desarrollo territorial</w:t>
            </w:r>
          </w:p>
        </w:tc>
        <w:tc>
          <w:tcPr>
            <w:tcW w:w="1635" w:type="dxa"/>
          </w:tcPr>
          <w:p>
            <w:pPr/>
          </w:p>
        </w:tc>
        <w:tc>
          <w:tcPr>
            <w:tcW w:w="1877" w:type="dxa"/>
          </w:tcPr>
          <w:p>
            <w:pPr/>
          </w:p>
        </w:tc>
        <w:tc>
          <w:tcPr>
            <w:tcW w:w="1049" w:type="dxa"/>
          </w:tcPr>
          <w:p>
            <w:pPr/>
          </w:p>
        </w:tc>
      </w:tr>
      <w:tr>
        <w:trPr>
          <w:trHeight w:val="252" w:hRule="exact"/>
        </w:trPr>
        <w:tc>
          <w:tcPr>
            <w:tcW w:w="1032" w:type="dxa"/>
          </w:tcPr>
          <w:p>
            <w:pPr>
              <w:pStyle w:val="TableParagraph"/>
              <w:spacing w:before="32"/>
              <w:ind w:left="460"/>
              <w:rPr>
                <w:sz w:val="18"/>
              </w:rPr>
            </w:pPr>
            <w:r>
              <w:rPr>
                <w:w w:val="99"/>
                <w:sz w:val="18"/>
              </w:rPr>
              <w:t>7</w:t>
            </w:r>
          </w:p>
        </w:tc>
        <w:tc>
          <w:tcPr>
            <w:tcW w:w="1570" w:type="dxa"/>
          </w:tcPr>
          <w:p>
            <w:pPr>
              <w:pStyle w:val="TableParagraph"/>
              <w:spacing w:before="32"/>
              <w:ind w:left="49" w:right="49"/>
              <w:jc w:val="center"/>
              <w:rPr>
                <w:sz w:val="18"/>
              </w:rPr>
            </w:pPr>
            <w:r>
              <w:rPr>
                <w:sz w:val="18"/>
              </w:rPr>
              <w:t>sociología</w:t>
            </w:r>
          </w:p>
        </w:tc>
        <w:tc>
          <w:tcPr>
            <w:tcW w:w="1642" w:type="dxa"/>
          </w:tcPr>
          <w:p>
            <w:pPr>
              <w:pStyle w:val="TableParagraph"/>
              <w:spacing w:before="32"/>
              <w:ind w:left="103" w:right="103"/>
              <w:jc w:val="center"/>
              <w:rPr>
                <w:sz w:val="18"/>
              </w:rPr>
            </w:pPr>
            <w:r>
              <w:rPr>
                <w:sz w:val="18"/>
              </w:rPr>
              <w:t>metropolización</w:t>
            </w:r>
          </w:p>
        </w:tc>
        <w:tc>
          <w:tcPr>
            <w:tcW w:w="1635" w:type="dxa"/>
          </w:tcPr>
          <w:p>
            <w:pPr/>
          </w:p>
        </w:tc>
        <w:tc>
          <w:tcPr>
            <w:tcW w:w="1877" w:type="dxa"/>
          </w:tcPr>
          <w:p>
            <w:pPr/>
          </w:p>
        </w:tc>
        <w:tc>
          <w:tcPr>
            <w:tcW w:w="1049" w:type="dxa"/>
          </w:tcPr>
          <w:p>
            <w:pPr/>
          </w:p>
        </w:tc>
      </w:tr>
      <w:tr>
        <w:trPr>
          <w:trHeight w:val="490" w:hRule="exact"/>
        </w:trPr>
        <w:tc>
          <w:tcPr>
            <w:tcW w:w="1032" w:type="dxa"/>
          </w:tcPr>
          <w:p>
            <w:pPr>
              <w:pStyle w:val="TableParagraph"/>
              <w:spacing w:before="6"/>
              <w:rPr>
                <w:rFonts w:ascii="Times New Roman"/>
                <w:sz w:val="23"/>
              </w:rPr>
            </w:pPr>
          </w:p>
          <w:p>
            <w:pPr>
              <w:pStyle w:val="TableParagraph"/>
              <w:ind w:left="460"/>
              <w:rPr>
                <w:sz w:val="18"/>
              </w:rPr>
            </w:pPr>
            <w:r>
              <w:rPr>
                <w:w w:val="99"/>
                <w:sz w:val="18"/>
              </w:rPr>
              <w:t>8</w:t>
            </w:r>
          </w:p>
        </w:tc>
        <w:tc>
          <w:tcPr>
            <w:tcW w:w="1570" w:type="dxa"/>
          </w:tcPr>
          <w:p>
            <w:pPr>
              <w:pStyle w:val="TableParagraph"/>
              <w:spacing w:before="6"/>
              <w:rPr>
                <w:rFonts w:ascii="Times New Roman"/>
                <w:sz w:val="23"/>
              </w:rPr>
            </w:pPr>
          </w:p>
          <w:p>
            <w:pPr>
              <w:pStyle w:val="TableParagraph"/>
              <w:ind w:left="49" w:right="49"/>
              <w:jc w:val="center"/>
              <w:rPr>
                <w:sz w:val="18"/>
              </w:rPr>
            </w:pPr>
            <w:r>
              <w:rPr>
                <w:sz w:val="18"/>
              </w:rPr>
              <w:t>sociología</w:t>
            </w:r>
          </w:p>
        </w:tc>
        <w:tc>
          <w:tcPr>
            <w:tcW w:w="1642" w:type="dxa"/>
          </w:tcPr>
          <w:p>
            <w:pPr>
              <w:pStyle w:val="TableParagraph"/>
              <w:spacing w:before="64"/>
              <w:ind w:left="383" w:right="308" w:hanging="60"/>
              <w:rPr>
                <w:sz w:val="18"/>
              </w:rPr>
            </w:pPr>
            <w:r>
              <w:rPr>
                <w:sz w:val="18"/>
              </w:rPr>
              <w:t>segregación residencial</w:t>
            </w:r>
          </w:p>
        </w:tc>
        <w:tc>
          <w:tcPr>
            <w:tcW w:w="1635" w:type="dxa"/>
          </w:tcPr>
          <w:p>
            <w:pPr/>
          </w:p>
        </w:tc>
        <w:tc>
          <w:tcPr>
            <w:tcW w:w="1877" w:type="dxa"/>
          </w:tcPr>
          <w:p>
            <w:pPr>
              <w:pStyle w:val="TableParagraph"/>
              <w:spacing w:before="6"/>
              <w:rPr>
                <w:rFonts w:ascii="Times New Roman"/>
                <w:sz w:val="23"/>
              </w:rPr>
            </w:pPr>
          </w:p>
          <w:p>
            <w:pPr>
              <w:pStyle w:val="TableParagraph"/>
              <w:ind w:left="120" w:right="123"/>
              <w:jc w:val="center"/>
              <w:rPr>
                <w:sz w:val="18"/>
              </w:rPr>
            </w:pPr>
            <w:r>
              <w:rPr>
                <w:sz w:val="18"/>
              </w:rPr>
              <w:t>Gran Buenos Aires</w:t>
            </w:r>
          </w:p>
        </w:tc>
        <w:tc>
          <w:tcPr>
            <w:tcW w:w="1049" w:type="dxa"/>
          </w:tcPr>
          <w:p>
            <w:pPr>
              <w:pStyle w:val="TableParagraph"/>
              <w:spacing w:before="6"/>
              <w:rPr>
                <w:rFonts w:ascii="Times New Roman"/>
                <w:sz w:val="23"/>
              </w:rPr>
            </w:pPr>
          </w:p>
          <w:p>
            <w:pPr>
              <w:pStyle w:val="TableParagraph"/>
              <w:ind w:left="69" w:right="67"/>
              <w:jc w:val="center"/>
              <w:rPr>
                <w:sz w:val="18"/>
              </w:rPr>
            </w:pPr>
            <w:r>
              <w:rPr>
                <w:sz w:val="18"/>
              </w:rPr>
              <w:t>2000</w:t>
            </w:r>
          </w:p>
        </w:tc>
      </w:tr>
      <w:tr>
        <w:trPr>
          <w:trHeight w:val="490" w:hRule="exact"/>
        </w:trPr>
        <w:tc>
          <w:tcPr>
            <w:tcW w:w="1032" w:type="dxa"/>
          </w:tcPr>
          <w:p>
            <w:pPr>
              <w:pStyle w:val="TableParagraph"/>
              <w:spacing w:before="8"/>
              <w:rPr>
                <w:rFonts w:ascii="Times New Roman"/>
                <w:sz w:val="23"/>
              </w:rPr>
            </w:pPr>
          </w:p>
          <w:p>
            <w:pPr>
              <w:pStyle w:val="TableParagraph"/>
              <w:ind w:left="460"/>
              <w:rPr>
                <w:sz w:val="18"/>
              </w:rPr>
            </w:pPr>
            <w:r>
              <w:rPr>
                <w:w w:val="99"/>
                <w:sz w:val="18"/>
              </w:rPr>
              <w:t>9</w:t>
            </w:r>
          </w:p>
        </w:tc>
        <w:tc>
          <w:tcPr>
            <w:tcW w:w="1570" w:type="dxa"/>
          </w:tcPr>
          <w:p>
            <w:pPr>
              <w:pStyle w:val="TableParagraph"/>
              <w:spacing w:before="64"/>
              <w:ind w:left="458" w:right="367" w:hanging="75"/>
              <w:rPr>
                <w:sz w:val="18"/>
              </w:rPr>
            </w:pPr>
            <w:r>
              <w:rPr>
                <w:sz w:val="18"/>
              </w:rPr>
              <w:t>economía regional</w:t>
            </w:r>
          </w:p>
        </w:tc>
        <w:tc>
          <w:tcPr>
            <w:tcW w:w="1642" w:type="dxa"/>
          </w:tcPr>
          <w:p>
            <w:pPr>
              <w:pStyle w:val="TableParagraph"/>
              <w:spacing w:before="64"/>
              <w:ind w:left="563" w:right="71" w:hanging="483"/>
              <w:rPr>
                <w:sz w:val="18"/>
              </w:rPr>
            </w:pPr>
            <w:r>
              <w:rPr>
                <w:sz w:val="18"/>
              </w:rPr>
              <w:t>conmutación de la región</w:t>
            </w:r>
          </w:p>
        </w:tc>
        <w:tc>
          <w:tcPr>
            <w:tcW w:w="1635" w:type="dxa"/>
          </w:tcPr>
          <w:p>
            <w:pPr/>
          </w:p>
        </w:tc>
        <w:tc>
          <w:tcPr>
            <w:tcW w:w="1877" w:type="dxa"/>
          </w:tcPr>
          <w:p>
            <w:pPr>
              <w:pStyle w:val="TableParagraph"/>
              <w:spacing w:before="8"/>
              <w:rPr>
                <w:rFonts w:ascii="Times New Roman"/>
                <w:sz w:val="23"/>
              </w:rPr>
            </w:pPr>
          </w:p>
          <w:p>
            <w:pPr>
              <w:pStyle w:val="TableParagraph"/>
              <w:ind w:left="122" w:right="123"/>
              <w:jc w:val="center"/>
              <w:rPr>
                <w:sz w:val="18"/>
              </w:rPr>
            </w:pPr>
            <w:r>
              <w:rPr>
                <w:sz w:val="18"/>
              </w:rPr>
              <w:t>Región Antofagasta</w:t>
            </w:r>
          </w:p>
        </w:tc>
        <w:tc>
          <w:tcPr>
            <w:tcW w:w="1049" w:type="dxa"/>
          </w:tcPr>
          <w:p>
            <w:pPr>
              <w:pStyle w:val="TableParagraph"/>
              <w:spacing w:before="8"/>
              <w:rPr>
                <w:rFonts w:ascii="Times New Roman"/>
                <w:sz w:val="23"/>
              </w:rPr>
            </w:pPr>
          </w:p>
          <w:p>
            <w:pPr>
              <w:pStyle w:val="TableParagraph"/>
              <w:ind w:left="69" w:right="67"/>
              <w:jc w:val="center"/>
              <w:rPr>
                <w:sz w:val="18"/>
              </w:rPr>
            </w:pPr>
            <w:r>
              <w:rPr>
                <w:sz w:val="18"/>
              </w:rPr>
              <w:t>2002</w:t>
            </w:r>
          </w:p>
        </w:tc>
      </w:tr>
      <w:tr>
        <w:trPr>
          <w:trHeight w:val="490" w:hRule="exact"/>
        </w:trPr>
        <w:tc>
          <w:tcPr>
            <w:tcW w:w="1032" w:type="dxa"/>
          </w:tcPr>
          <w:p>
            <w:pPr>
              <w:pStyle w:val="TableParagraph"/>
              <w:spacing w:before="8"/>
              <w:rPr>
                <w:rFonts w:ascii="Times New Roman"/>
                <w:sz w:val="23"/>
              </w:rPr>
            </w:pPr>
          </w:p>
          <w:p>
            <w:pPr>
              <w:pStyle w:val="TableParagraph"/>
              <w:ind w:left="410" w:right="59"/>
              <w:rPr>
                <w:sz w:val="18"/>
              </w:rPr>
            </w:pPr>
            <w:r>
              <w:rPr>
                <w:sz w:val="18"/>
              </w:rPr>
              <w:t>10</w:t>
            </w:r>
          </w:p>
        </w:tc>
        <w:tc>
          <w:tcPr>
            <w:tcW w:w="1570" w:type="dxa"/>
          </w:tcPr>
          <w:p>
            <w:pPr>
              <w:pStyle w:val="TableParagraph"/>
              <w:spacing w:before="66"/>
              <w:ind w:left="458" w:right="367" w:hanging="75"/>
              <w:rPr>
                <w:sz w:val="18"/>
              </w:rPr>
            </w:pPr>
            <w:r>
              <w:rPr>
                <w:sz w:val="18"/>
              </w:rPr>
              <w:t>economía regional</w:t>
            </w:r>
          </w:p>
        </w:tc>
        <w:tc>
          <w:tcPr>
            <w:tcW w:w="1642" w:type="dxa"/>
          </w:tcPr>
          <w:p>
            <w:pPr>
              <w:pStyle w:val="TableParagraph"/>
              <w:spacing w:before="66"/>
              <w:ind w:left="383" w:right="290" w:hanging="82"/>
              <w:rPr>
                <w:sz w:val="18"/>
              </w:rPr>
            </w:pPr>
            <w:r>
              <w:rPr>
                <w:sz w:val="18"/>
              </w:rPr>
              <w:t>interacción e innovación</w:t>
            </w:r>
          </w:p>
        </w:tc>
        <w:tc>
          <w:tcPr>
            <w:tcW w:w="1635" w:type="dxa"/>
          </w:tcPr>
          <w:p>
            <w:pPr/>
          </w:p>
        </w:tc>
        <w:tc>
          <w:tcPr>
            <w:tcW w:w="1877" w:type="dxa"/>
          </w:tcPr>
          <w:p>
            <w:pPr/>
          </w:p>
        </w:tc>
        <w:tc>
          <w:tcPr>
            <w:tcW w:w="1049" w:type="dxa"/>
          </w:tcPr>
          <w:p>
            <w:pPr/>
          </w:p>
        </w:tc>
      </w:tr>
      <w:tr>
        <w:trPr>
          <w:trHeight w:val="425" w:hRule="exact"/>
        </w:trPr>
        <w:tc>
          <w:tcPr>
            <w:tcW w:w="1032" w:type="dxa"/>
          </w:tcPr>
          <w:p>
            <w:pPr>
              <w:pStyle w:val="TableParagraph"/>
              <w:spacing w:before="10"/>
              <w:rPr>
                <w:rFonts w:ascii="Times New Roman"/>
                <w:sz w:val="17"/>
              </w:rPr>
            </w:pPr>
          </w:p>
          <w:p>
            <w:pPr>
              <w:pStyle w:val="TableParagraph"/>
              <w:ind w:left="410" w:right="59"/>
              <w:rPr>
                <w:sz w:val="18"/>
              </w:rPr>
            </w:pPr>
            <w:r>
              <w:rPr>
                <w:sz w:val="18"/>
              </w:rPr>
              <w:t>11</w:t>
            </w:r>
          </w:p>
        </w:tc>
        <w:tc>
          <w:tcPr>
            <w:tcW w:w="1570" w:type="dxa"/>
          </w:tcPr>
          <w:p>
            <w:pPr>
              <w:pStyle w:val="TableParagraph"/>
              <w:ind w:left="499" w:right="326" w:hanging="156"/>
              <w:rPr>
                <w:sz w:val="18"/>
              </w:rPr>
            </w:pPr>
            <w:r>
              <w:rPr>
                <w:sz w:val="18"/>
              </w:rPr>
              <w:t>planeación urbana</w:t>
            </w:r>
          </w:p>
        </w:tc>
        <w:tc>
          <w:tcPr>
            <w:tcW w:w="1642" w:type="dxa"/>
          </w:tcPr>
          <w:p>
            <w:pPr>
              <w:pStyle w:val="TableParagraph"/>
              <w:ind w:left="532" w:right="339" w:hanging="180"/>
              <w:rPr>
                <w:sz w:val="18"/>
              </w:rPr>
            </w:pPr>
            <w:r>
              <w:rPr>
                <w:sz w:val="18"/>
              </w:rPr>
              <w:t>crecimiento urbano</w:t>
            </w:r>
          </w:p>
        </w:tc>
        <w:tc>
          <w:tcPr>
            <w:tcW w:w="1635" w:type="dxa"/>
          </w:tcPr>
          <w:p>
            <w:pPr/>
          </w:p>
        </w:tc>
        <w:tc>
          <w:tcPr>
            <w:tcW w:w="1877" w:type="dxa"/>
          </w:tcPr>
          <w:p>
            <w:pPr>
              <w:pStyle w:val="TableParagraph"/>
              <w:spacing w:before="10"/>
              <w:rPr>
                <w:rFonts w:ascii="Times New Roman"/>
                <w:sz w:val="17"/>
              </w:rPr>
            </w:pPr>
          </w:p>
          <w:p>
            <w:pPr>
              <w:pStyle w:val="TableParagraph"/>
              <w:ind w:left="122" w:right="123"/>
              <w:jc w:val="center"/>
              <w:rPr>
                <w:sz w:val="18"/>
              </w:rPr>
            </w:pPr>
            <w:r>
              <w:rPr>
                <w:sz w:val="18"/>
              </w:rPr>
              <w:t>Chillán</w:t>
            </w:r>
          </w:p>
        </w:tc>
        <w:tc>
          <w:tcPr>
            <w:tcW w:w="1049" w:type="dxa"/>
          </w:tcPr>
          <w:p>
            <w:pPr>
              <w:pStyle w:val="TableParagraph"/>
              <w:spacing w:before="10"/>
              <w:rPr>
                <w:rFonts w:ascii="Times New Roman"/>
                <w:sz w:val="17"/>
              </w:rPr>
            </w:pPr>
          </w:p>
          <w:p>
            <w:pPr>
              <w:pStyle w:val="TableParagraph"/>
              <w:ind w:left="69" w:right="68"/>
              <w:jc w:val="center"/>
              <w:rPr>
                <w:sz w:val="18"/>
              </w:rPr>
            </w:pPr>
            <w:r>
              <w:rPr>
                <w:sz w:val="18"/>
              </w:rPr>
              <w:t>1997-2000</w:t>
            </w:r>
          </w:p>
        </w:tc>
      </w:tr>
      <w:tr>
        <w:trPr>
          <w:trHeight w:val="250" w:hRule="exact"/>
        </w:trPr>
        <w:tc>
          <w:tcPr>
            <w:tcW w:w="1032" w:type="dxa"/>
          </w:tcPr>
          <w:p>
            <w:pPr>
              <w:pStyle w:val="TableParagraph"/>
              <w:spacing w:before="32"/>
              <w:ind w:left="410" w:right="59"/>
              <w:rPr>
                <w:sz w:val="18"/>
              </w:rPr>
            </w:pPr>
            <w:r>
              <w:rPr>
                <w:sz w:val="18"/>
              </w:rPr>
              <w:t>12</w:t>
            </w:r>
          </w:p>
        </w:tc>
        <w:tc>
          <w:tcPr>
            <w:tcW w:w="1570" w:type="dxa"/>
          </w:tcPr>
          <w:p>
            <w:pPr/>
          </w:p>
        </w:tc>
        <w:tc>
          <w:tcPr>
            <w:tcW w:w="1642" w:type="dxa"/>
          </w:tcPr>
          <w:p>
            <w:pPr/>
          </w:p>
        </w:tc>
        <w:tc>
          <w:tcPr>
            <w:tcW w:w="1635" w:type="dxa"/>
          </w:tcPr>
          <w:p>
            <w:pPr/>
          </w:p>
        </w:tc>
        <w:tc>
          <w:tcPr>
            <w:tcW w:w="1877" w:type="dxa"/>
          </w:tcPr>
          <w:p>
            <w:pPr/>
          </w:p>
        </w:tc>
        <w:tc>
          <w:tcPr>
            <w:tcW w:w="1049" w:type="dxa"/>
          </w:tcPr>
          <w:p>
            <w:pPr/>
          </w:p>
        </w:tc>
      </w:tr>
      <w:tr>
        <w:trPr>
          <w:trHeight w:val="1044" w:hRule="exact"/>
        </w:trPr>
        <w:tc>
          <w:tcPr>
            <w:tcW w:w="103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7"/>
              </w:rPr>
            </w:pPr>
          </w:p>
          <w:p>
            <w:pPr>
              <w:pStyle w:val="TableParagraph"/>
              <w:ind w:left="410" w:right="59"/>
              <w:rPr>
                <w:sz w:val="18"/>
              </w:rPr>
            </w:pPr>
            <w:r>
              <w:rPr>
                <w:sz w:val="18"/>
              </w:rPr>
              <w:t>13</w:t>
            </w:r>
          </w:p>
        </w:tc>
        <w:tc>
          <w:tcPr>
            <w:tcW w:w="1570"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7"/>
              </w:rPr>
            </w:pPr>
          </w:p>
          <w:p>
            <w:pPr>
              <w:pStyle w:val="TableParagraph"/>
              <w:ind w:left="49" w:right="49"/>
              <w:jc w:val="center"/>
              <w:rPr>
                <w:sz w:val="18"/>
              </w:rPr>
            </w:pPr>
            <w:r>
              <w:rPr>
                <w:sz w:val="18"/>
              </w:rPr>
              <w:t>geografía</w:t>
            </w:r>
          </w:p>
        </w:tc>
        <w:tc>
          <w:tcPr>
            <w:tcW w:w="1642" w:type="dxa"/>
          </w:tcPr>
          <w:p>
            <w:pPr>
              <w:pStyle w:val="TableParagraph"/>
              <w:spacing w:before="10"/>
              <w:rPr>
                <w:rFonts w:ascii="Times New Roman"/>
                <w:sz w:val="17"/>
              </w:rPr>
            </w:pPr>
          </w:p>
          <w:p>
            <w:pPr>
              <w:pStyle w:val="TableParagraph"/>
              <w:ind w:left="273" w:right="276" w:hanging="3"/>
              <w:jc w:val="center"/>
              <w:rPr>
                <w:sz w:val="18"/>
              </w:rPr>
            </w:pPr>
            <w:r>
              <w:rPr>
                <w:sz w:val="18"/>
              </w:rPr>
              <w:t>crecimiento urbano y componentes ambientales</w:t>
            </w:r>
          </w:p>
        </w:tc>
        <w:tc>
          <w:tcPr>
            <w:tcW w:w="1635" w:type="dxa"/>
          </w:tcPr>
          <w:p>
            <w:pPr/>
          </w:p>
        </w:tc>
        <w:tc>
          <w:tcPr>
            <w:tcW w:w="1877" w:type="dxa"/>
          </w:tcPr>
          <w:p>
            <w:pPr>
              <w:pStyle w:val="TableParagraph"/>
              <w:ind w:left="91" w:right="94" w:firstLine="4"/>
              <w:jc w:val="center"/>
              <w:rPr>
                <w:sz w:val="18"/>
              </w:rPr>
            </w:pPr>
            <w:r>
              <w:rPr>
                <w:sz w:val="18"/>
              </w:rPr>
              <w:t>Cuenca de Macul- San Ramón; cuenca de Arrayán-Las Gualtatas; y Cuenca de Chicureo</w:t>
            </w:r>
          </w:p>
        </w:tc>
        <w:tc>
          <w:tcPr>
            <w:tcW w:w="1049"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7"/>
              </w:rPr>
            </w:pPr>
          </w:p>
          <w:p>
            <w:pPr>
              <w:pStyle w:val="TableParagraph"/>
              <w:ind w:left="69" w:right="68"/>
              <w:jc w:val="center"/>
              <w:rPr>
                <w:sz w:val="18"/>
              </w:rPr>
            </w:pPr>
            <w:r>
              <w:rPr>
                <w:sz w:val="18"/>
              </w:rPr>
              <w:t>1989-2003</w:t>
            </w:r>
          </w:p>
        </w:tc>
      </w:tr>
      <w:tr>
        <w:trPr>
          <w:trHeight w:val="490" w:hRule="exact"/>
        </w:trPr>
        <w:tc>
          <w:tcPr>
            <w:tcW w:w="1032" w:type="dxa"/>
          </w:tcPr>
          <w:p>
            <w:pPr>
              <w:pStyle w:val="TableParagraph"/>
              <w:spacing w:before="8"/>
              <w:rPr>
                <w:rFonts w:ascii="Times New Roman"/>
                <w:sz w:val="23"/>
              </w:rPr>
            </w:pPr>
          </w:p>
          <w:p>
            <w:pPr>
              <w:pStyle w:val="TableParagraph"/>
              <w:spacing w:before="1"/>
              <w:ind w:left="410" w:right="59"/>
              <w:rPr>
                <w:sz w:val="18"/>
              </w:rPr>
            </w:pPr>
            <w:r>
              <w:rPr>
                <w:sz w:val="18"/>
              </w:rPr>
              <w:t>14</w:t>
            </w:r>
          </w:p>
        </w:tc>
        <w:tc>
          <w:tcPr>
            <w:tcW w:w="1570" w:type="dxa"/>
          </w:tcPr>
          <w:p>
            <w:pPr>
              <w:pStyle w:val="TableParagraph"/>
              <w:spacing w:before="8"/>
              <w:rPr>
                <w:rFonts w:ascii="Times New Roman"/>
                <w:sz w:val="23"/>
              </w:rPr>
            </w:pPr>
          </w:p>
          <w:p>
            <w:pPr>
              <w:pStyle w:val="TableParagraph"/>
              <w:spacing w:before="1"/>
              <w:ind w:left="49" w:right="49"/>
              <w:jc w:val="center"/>
              <w:rPr>
                <w:sz w:val="18"/>
              </w:rPr>
            </w:pPr>
            <w:r>
              <w:rPr>
                <w:sz w:val="18"/>
              </w:rPr>
              <w:t>economía</w:t>
            </w:r>
          </w:p>
        </w:tc>
        <w:tc>
          <w:tcPr>
            <w:tcW w:w="1642" w:type="dxa"/>
          </w:tcPr>
          <w:p>
            <w:pPr>
              <w:pStyle w:val="TableParagraph"/>
              <w:spacing w:before="67"/>
              <w:ind w:left="453" w:right="269" w:hanging="171"/>
              <w:rPr>
                <w:sz w:val="18"/>
              </w:rPr>
            </w:pPr>
            <w:r>
              <w:rPr>
                <w:sz w:val="18"/>
              </w:rPr>
              <w:t>terciarización industrial</w:t>
            </w:r>
          </w:p>
        </w:tc>
        <w:tc>
          <w:tcPr>
            <w:tcW w:w="1635" w:type="dxa"/>
          </w:tcPr>
          <w:p>
            <w:pPr/>
          </w:p>
        </w:tc>
        <w:tc>
          <w:tcPr>
            <w:tcW w:w="1877" w:type="dxa"/>
          </w:tcPr>
          <w:p>
            <w:pPr/>
          </w:p>
        </w:tc>
        <w:tc>
          <w:tcPr>
            <w:tcW w:w="1049" w:type="dxa"/>
          </w:tcPr>
          <w:p>
            <w:pPr/>
          </w:p>
        </w:tc>
      </w:tr>
      <w:tr>
        <w:trPr>
          <w:trHeight w:val="252" w:hRule="exact"/>
        </w:trPr>
        <w:tc>
          <w:tcPr>
            <w:tcW w:w="1032" w:type="dxa"/>
          </w:tcPr>
          <w:p>
            <w:pPr>
              <w:pStyle w:val="TableParagraph"/>
              <w:spacing w:before="32"/>
              <w:ind w:left="410" w:right="59"/>
              <w:rPr>
                <w:sz w:val="18"/>
              </w:rPr>
            </w:pPr>
            <w:r>
              <w:rPr>
                <w:sz w:val="18"/>
              </w:rPr>
              <w:t>15</w:t>
            </w:r>
          </w:p>
        </w:tc>
        <w:tc>
          <w:tcPr>
            <w:tcW w:w="1570" w:type="dxa"/>
          </w:tcPr>
          <w:p>
            <w:pPr/>
          </w:p>
        </w:tc>
        <w:tc>
          <w:tcPr>
            <w:tcW w:w="1642" w:type="dxa"/>
          </w:tcPr>
          <w:p>
            <w:pPr/>
          </w:p>
        </w:tc>
        <w:tc>
          <w:tcPr>
            <w:tcW w:w="1635" w:type="dxa"/>
          </w:tcPr>
          <w:p>
            <w:pPr/>
          </w:p>
        </w:tc>
        <w:tc>
          <w:tcPr>
            <w:tcW w:w="1877" w:type="dxa"/>
          </w:tcPr>
          <w:p>
            <w:pPr/>
          </w:p>
        </w:tc>
        <w:tc>
          <w:tcPr>
            <w:tcW w:w="1049" w:type="dxa"/>
          </w:tcPr>
          <w:p>
            <w:pPr/>
          </w:p>
        </w:tc>
      </w:tr>
      <w:tr>
        <w:trPr>
          <w:trHeight w:val="629" w:hRule="exact"/>
        </w:trPr>
        <w:tc>
          <w:tcPr>
            <w:tcW w:w="1032" w:type="dxa"/>
          </w:tcPr>
          <w:p>
            <w:pPr>
              <w:pStyle w:val="TableParagraph"/>
              <w:rPr>
                <w:rFonts w:ascii="Times New Roman"/>
                <w:sz w:val="18"/>
              </w:rPr>
            </w:pPr>
          </w:p>
          <w:p>
            <w:pPr>
              <w:pStyle w:val="TableParagraph"/>
              <w:spacing w:before="9"/>
              <w:rPr>
                <w:rFonts w:ascii="Times New Roman"/>
                <w:sz w:val="17"/>
              </w:rPr>
            </w:pPr>
          </w:p>
          <w:p>
            <w:pPr>
              <w:pStyle w:val="TableParagraph"/>
              <w:ind w:left="410" w:right="59"/>
              <w:rPr>
                <w:sz w:val="18"/>
              </w:rPr>
            </w:pPr>
            <w:r>
              <w:rPr>
                <w:sz w:val="18"/>
              </w:rPr>
              <w:t>16</w:t>
            </w:r>
          </w:p>
        </w:tc>
        <w:tc>
          <w:tcPr>
            <w:tcW w:w="1570" w:type="dxa"/>
          </w:tcPr>
          <w:p>
            <w:pPr/>
          </w:p>
        </w:tc>
        <w:tc>
          <w:tcPr>
            <w:tcW w:w="1642" w:type="dxa"/>
          </w:tcPr>
          <w:p>
            <w:pPr>
              <w:pStyle w:val="TableParagraph"/>
              <w:ind w:left="103" w:right="106"/>
              <w:jc w:val="center"/>
              <w:rPr>
                <w:sz w:val="18"/>
              </w:rPr>
            </w:pPr>
            <w:r>
              <w:rPr>
                <w:sz w:val="18"/>
              </w:rPr>
              <w:t>metroplización y periferia expandida</w:t>
            </w:r>
          </w:p>
        </w:tc>
        <w:tc>
          <w:tcPr>
            <w:tcW w:w="1635" w:type="dxa"/>
          </w:tcPr>
          <w:p>
            <w:pPr/>
          </w:p>
        </w:tc>
        <w:tc>
          <w:tcPr>
            <w:tcW w:w="1877" w:type="dxa"/>
          </w:tcPr>
          <w:p>
            <w:pPr>
              <w:pStyle w:val="TableParagraph"/>
              <w:ind w:left="119" w:right="123"/>
              <w:jc w:val="center"/>
              <w:rPr>
                <w:sz w:val="18"/>
              </w:rPr>
            </w:pPr>
            <w:r>
              <w:rPr>
                <w:sz w:val="18"/>
              </w:rPr>
              <w:t>Zona Metropolitana de la ciudad de México</w:t>
            </w:r>
          </w:p>
        </w:tc>
        <w:tc>
          <w:tcPr>
            <w:tcW w:w="1049" w:type="dxa"/>
          </w:tcPr>
          <w:p>
            <w:pPr/>
          </w:p>
        </w:tc>
      </w:tr>
      <w:tr>
        <w:trPr>
          <w:trHeight w:val="252" w:hRule="exact"/>
        </w:trPr>
        <w:tc>
          <w:tcPr>
            <w:tcW w:w="1032" w:type="dxa"/>
          </w:tcPr>
          <w:p>
            <w:pPr>
              <w:pStyle w:val="TableParagraph"/>
              <w:spacing w:before="32"/>
              <w:ind w:left="410" w:right="59"/>
              <w:rPr>
                <w:sz w:val="18"/>
              </w:rPr>
            </w:pPr>
            <w:r>
              <w:rPr>
                <w:sz w:val="18"/>
              </w:rPr>
              <w:t>17</w:t>
            </w:r>
          </w:p>
        </w:tc>
        <w:tc>
          <w:tcPr>
            <w:tcW w:w="1570" w:type="dxa"/>
          </w:tcPr>
          <w:p>
            <w:pPr>
              <w:pStyle w:val="TableParagraph"/>
              <w:spacing w:before="32"/>
              <w:ind w:left="49" w:right="49"/>
              <w:jc w:val="center"/>
              <w:rPr>
                <w:sz w:val="18"/>
              </w:rPr>
            </w:pPr>
            <w:r>
              <w:rPr>
                <w:sz w:val="18"/>
              </w:rPr>
              <w:t>economía</w:t>
            </w:r>
          </w:p>
        </w:tc>
        <w:tc>
          <w:tcPr>
            <w:tcW w:w="1642" w:type="dxa"/>
          </w:tcPr>
          <w:p>
            <w:pPr>
              <w:pStyle w:val="TableParagraph"/>
              <w:spacing w:before="32"/>
              <w:ind w:left="103" w:right="104"/>
              <w:jc w:val="center"/>
              <w:rPr>
                <w:sz w:val="18"/>
              </w:rPr>
            </w:pPr>
            <w:r>
              <w:rPr>
                <w:sz w:val="18"/>
              </w:rPr>
              <w:t>ciudad</w:t>
            </w:r>
          </w:p>
        </w:tc>
        <w:tc>
          <w:tcPr>
            <w:tcW w:w="1635" w:type="dxa"/>
          </w:tcPr>
          <w:p>
            <w:pPr/>
          </w:p>
        </w:tc>
        <w:tc>
          <w:tcPr>
            <w:tcW w:w="1877" w:type="dxa"/>
          </w:tcPr>
          <w:p>
            <w:pPr/>
          </w:p>
        </w:tc>
        <w:tc>
          <w:tcPr>
            <w:tcW w:w="1049" w:type="dxa"/>
          </w:tcPr>
          <w:p>
            <w:pPr/>
          </w:p>
        </w:tc>
      </w:tr>
      <w:tr>
        <w:trPr>
          <w:trHeight w:val="970" w:hRule="exact"/>
        </w:trPr>
        <w:tc>
          <w:tcPr>
            <w:tcW w:w="103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32"/>
              <w:ind w:left="410" w:right="59"/>
              <w:rPr>
                <w:sz w:val="18"/>
              </w:rPr>
            </w:pPr>
            <w:r>
              <w:rPr>
                <w:sz w:val="18"/>
              </w:rPr>
              <w:t>18</w:t>
            </w:r>
          </w:p>
        </w:tc>
        <w:tc>
          <w:tcPr>
            <w:tcW w:w="1570"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32"/>
              <w:ind w:left="49" w:right="49"/>
              <w:jc w:val="center"/>
              <w:rPr>
                <w:sz w:val="18"/>
              </w:rPr>
            </w:pPr>
            <w:r>
              <w:rPr>
                <w:sz w:val="18"/>
              </w:rPr>
              <w:t>economía urbana</w:t>
            </w:r>
          </w:p>
        </w:tc>
        <w:tc>
          <w:tcPr>
            <w:tcW w:w="1642" w:type="dxa"/>
          </w:tcPr>
          <w:p>
            <w:pPr>
              <w:pStyle w:val="TableParagraph"/>
              <w:spacing w:before="131"/>
              <w:ind w:left="194" w:right="195" w:hanging="2"/>
              <w:jc w:val="center"/>
              <w:rPr>
                <w:sz w:val="18"/>
              </w:rPr>
            </w:pPr>
            <w:r>
              <w:rPr>
                <w:sz w:val="18"/>
              </w:rPr>
              <w:t>Arquitectura organizacional para los flujos transfronterizos</w:t>
            </w:r>
          </w:p>
        </w:tc>
        <w:tc>
          <w:tcPr>
            <w:tcW w:w="1635" w:type="dxa"/>
          </w:tcPr>
          <w:p>
            <w:pPr/>
          </w:p>
        </w:tc>
        <w:tc>
          <w:tcPr>
            <w:tcW w:w="1877" w:type="dxa"/>
          </w:tcPr>
          <w:p>
            <w:pPr/>
          </w:p>
        </w:tc>
        <w:tc>
          <w:tcPr>
            <w:tcW w:w="1049" w:type="dxa"/>
          </w:tcPr>
          <w:p>
            <w:pPr/>
          </w:p>
        </w:tc>
      </w:tr>
      <w:tr>
        <w:trPr>
          <w:trHeight w:val="422" w:hRule="exact"/>
        </w:trPr>
        <w:tc>
          <w:tcPr>
            <w:tcW w:w="1032" w:type="dxa"/>
          </w:tcPr>
          <w:p>
            <w:pPr>
              <w:pStyle w:val="TableParagraph"/>
              <w:spacing w:before="10"/>
              <w:rPr>
                <w:rFonts w:ascii="Times New Roman"/>
                <w:sz w:val="17"/>
              </w:rPr>
            </w:pPr>
          </w:p>
          <w:p>
            <w:pPr>
              <w:pStyle w:val="TableParagraph"/>
              <w:ind w:left="410" w:right="59"/>
              <w:rPr>
                <w:sz w:val="18"/>
              </w:rPr>
            </w:pPr>
            <w:r>
              <w:rPr>
                <w:sz w:val="18"/>
              </w:rPr>
              <w:t>19</w:t>
            </w:r>
          </w:p>
        </w:tc>
        <w:tc>
          <w:tcPr>
            <w:tcW w:w="1570" w:type="dxa"/>
          </w:tcPr>
          <w:p>
            <w:pPr>
              <w:pStyle w:val="TableParagraph"/>
              <w:spacing w:before="10"/>
              <w:rPr>
                <w:rFonts w:ascii="Times New Roman"/>
                <w:sz w:val="17"/>
              </w:rPr>
            </w:pPr>
          </w:p>
          <w:p>
            <w:pPr>
              <w:pStyle w:val="TableParagraph"/>
              <w:ind w:left="49" w:right="49"/>
              <w:jc w:val="center"/>
              <w:rPr>
                <w:sz w:val="18"/>
              </w:rPr>
            </w:pPr>
            <w:r>
              <w:rPr>
                <w:sz w:val="18"/>
              </w:rPr>
              <w:t>sociología urbana</w:t>
            </w:r>
          </w:p>
        </w:tc>
        <w:tc>
          <w:tcPr>
            <w:tcW w:w="1642" w:type="dxa"/>
          </w:tcPr>
          <w:p>
            <w:pPr>
              <w:pStyle w:val="TableParagraph"/>
              <w:ind w:left="532" w:right="350" w:hanging="171"/>
              <w:rPr>
                <w:sz w:val="18"/>
              </w:rPr>
            </w:pPr>
            <w:r>
              <w:rPr>
                <w:sz w:val="18"/>
              </w:rPr>
              <w:t>dualización urbana</w:t>
            </w:r>
          </w:p>
        </w:tc>
        <w:tc>
          <w:tcPr>
            <w:tcW w:w="1635" w:type="dxa"/>
          </w:tcPr>
          <w:p>
            <w:pPr/>
          </w:p>
        </w:tc>
        <w:tc>
          <w:tcPr>
            <w:tcW w:w="1877" w:type="dxa"/>
          </w:tcPr>
          <w:p>
            <w:pPr>
              <w:pStyle w:val="TableParagraph"/>
              <w:spacing w:before="10"/>
              <w:rPr>
                <w:rFonts w:ascii="Times New Roman"/>
                <w:sz w:val="17"/>
              </w:rPr>
            </w:pPr>
          </w:p>
          <w:p>
            <w:pPr>
              <w:pStyle w:val="TableParagraph"/>
              <w:ind w:left="121" w:right="123"/>
              <w:jc w:val="center"/>
              <w:rPr>
                <w:sz w:val="18"/>
              </w:rPr>
            </w:pPr>
            <w:r>
              <w:rPr>
                <w:sz w:val="18"/>
              </w:rPr>
              <w:t>Santiago de Chile</w:t>
            </w:r>
          </w:p>
        </w:tc>
        <w:tc>
          <w:tcPr>
            <w:tcW w:w="1049" w:type="dxa"/>
          </w:tcPr>
          <w:p>
            <w:pPr>
              <w:pStyle w:val="TableParagraph"/>
              <w:spacing w:before="10"/>
              <w:rPr>
                <w:rFonts w:ascii="Times New Roman"/>
                <w:sz w:val="17"/>
              </w:rPr>
            </w:pPr>
          </w:p>
          <w:p>
            <w:pPr>
              <w:pStyle w:val="TableParagraph"/>
              <w:ind w:left="69" w:right="68"/>
              <w:jc w:val="center"/>
              <w:rPr>
                <w:sz w:val="18"/>
              </w:rPr>
            </w:pPr>
            <w:r>
              <w:rPr>
                <w:sz w:val="18"/>
              </w:rPr>
              <w:t>1987-2000</w:t>
            </w:r>
          </w:p>
        </w:tc>
      </w:tr>
      <w:tr>
        <w:trPr>
          <w:trHeight w:val="492" w:hRule="exact"/>
        </w:trPr>
        <w:tc>
          <w:tcPr>
            <w:tcW w:w="1032" w:type="dxa"/>
          </w:tcPr>
          <w:p>
            <w:pPr>
              <w:pStyle w:val="TableParagraph"/>
              <w:spacing w:before="8"/>
              <w:rPr>
                <w:rFonts w:ascii="Times New Roman"/>
                <w:sz w:val="23"/>
              </w:rPr>
            </w:pPr>
          </w:p>
          <w:p>
            <w:pPr>
              <w:pStyle w:val="TableParagraph"/>
              <w:ind w:left="410" w:right="59"/>
              <w:rPr>
                <w:sz w:val="18"/>
              </w:rPr>
            </w:pPr>
            <w:r>
              <w:rPr>
                <w:sz w:val="18"/>
              </w:rPr>
              <w:t>20</w:t>
            </w:r>
          </w:p>
        </w:tc>
        <w:tc>
          <w:tcPr>
            <w:tcW w:w="1570" w:type="dxa"/>
          </w:tcPr>
          <w:p>
            <w:pPr>
              <w:pStyle w:val="TableParagraph"/>
              <w:spacing w:before="66"/>
              <w:ind w:left="295" w:right="275" w:firstLine="208"/>
              <w:rPr>
                <w:sz w:val="18"/>
              </w:rPr>
            </w:pPr>
            <w:r>
              <w:rPr>
                <w:sz w:val="18"/>
              </w:rPr>
              <w:t>cincias ambientales</w:t>
            </w:r>
          </w:p>
        </w:tc>
        <w:tc>
          <w:tcPr>
            <w:tcW w:w="1642" w:type="dxa"/>
          </w:tcPr>
          <w:p>
            <w:pPr>
              <w:pStyle w:val="TableParagraph"/>
              <w:spacing w:before="66"/>
              <w:ind w:left="328" w:right="99" w:hanging="216"/>
              <w:rPr>
                <w:sz w:val="18"/>
              </w:rPr>
            </w:pPr>
            <w:r>
              <w:rPr>
                <w:sz w:val="18"/>
              </w:rPr>
              <w:t>calidad ambiental en la ciudad</w:t>
            </w:r>
          </w:p>
        </w:tc>
        <w:tc>
          <w:tcPr>
            <w:tcW w:w="1635" w:type="dxa"/>
          </w:tcPr>
          <w:p>
            <w:pPr/>
          </w:p>
        </w:tc>
        <w:tc>
          <w:tcPr>
            <w:tcW w:w="1877" w:type="dxa"/>
          </w:tcPr>
          <w:p>
            <w:pPr>
              <w:pStyle w:val="TableParagraph"/>
              <w:spacing w:before="8"/>
              <w:rPr>
                <w:rFonts w:ascii="Times New Roman"/>
                <w:sz w:val="23"/>
              </w:rPr>
            </w:pPr>
          </w:p>
          <w:p>
            <w:pPr>
              <w:pStyle w:val="TableParagraph"/>
              <w:ind w:left="122" w:right="122"/>
              <w:jc w:val="center"/>
              <w:rPr>
                <w:sz w:val="18"/>
              </w:rPr>
            </w:pPr>
            <w:r>
              <w:rPr>
                <w:sz w:val="18"/>
              </w:rPr>
              <w:t>ciudad de Cali</w:t>
            </w:r>
          </w:p>
        </w:tc>
        <w:tc>
          <w:tcPr>
            <w:tcW w:w="1049" w:type="dxa"/>
          </w:tcPr>
          <w:p>
            <w:pPr>
              <w:pStyle w:val="TableParagraph"/>
              <w:spacing w:before="8"/>
              <w:rPr>
                <w:rFonts w:ascii="Times New Roman"/>
                <w:sz w:val="23"/>
              </w:rPr>
            </w:pPr>
          </w:p>
          <w:p>
            <w:pPr>
              <w:pStyle w:val="TableParagraph"/>
              <w:ind w:left="69" w:right="67"/>
              <w:jc w:val="center"/>
              <w:rPr>
                <w:sz w:val="18"/>
              </w:rPr>
            </w:pPr>
            <w:r>
              <w:rPr>
                <w:sz w:val="18"/>
              </w:rPr>
              <w:t>2007</w:t>
            </w:r>
          </w:p>
        </w:tc>
      </w:tr>
    </w:tbl>
    <w:p>
      <w:pPr>
        <w:spacing w:after="0"/>
        <w:jc w:val="center"/>
        <w:rPr>
          <w:sz w:val="18"/>
        </w:rPr>
        <w:sectPr>
          <w:pgSz w:w="12240" w:h="15840"/>
          <w:pgMar w:header="0" w:footer="629" w:top="142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2"/>
        <w:gridCol w:w="1570"/>
        <w:gridCol w:w="1642"/>
        <w:gridCol w:w="1635"/>
        <w:gridCol w:w="1877"/>
        <w:gridCol w:w="1049"/>
      </w:tblGrid>
      <w:tr>
        <w:trPr>
          <w:trHeight w:val="288" w:hRule="exact"/>
        </w:trPr>
        <w:tc>
          <w:tcPr>
            <w:tcW w:w="1032" w:type="dxa"/>
            <w:vMerge w:val="restart"/>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23"/>
              </w:rPr>
            </w:pPr>
          </w:p>
          <w:p>
            <w:pPr>
              <w:pStyle w:val="TableParagraph"/>
              <w:ind w:left="179" w:right="59" w:hanging="106"/>
              <w:rPr>
                <w:b/>
                <w:sz w:val="18"/>
              </w:rPr>
            </w:pPr>
            <w:r>
              <w:rPr>
                <w:b/>
                <w:sz w:val="18"/>
              </w:rPr>
              <w:t>Unidad de análisis</w:t>
            </w:r>
          </w:p>
        </w:tc>
        <w:tc>
          <w:tcPr>
            <w:tcW w:w="7773" w:type="dxa"/>
            <w:gridSpan w:val="5"/>
          </w:tcPr>
          <w:p>
            <w:pPr>
              <w:pStyle w:val="TableParagraph"/>
              <w:spacing w:line="270" w:lineRule="exact"/>
              <w:ind w:left="899"/>
              <w:rPr>
                <w:b/>
                <w:sz w:val="24"/>
              </w:rPr>
            </w:pPr>
            <w:r>
              <w:rPr>
                <w:b/>
                <w:sz w:val="24"/>
              </w:rPr>
              <w:t>Sección 2. Objeto de investigación (variable 5 a la 9)</w:t>
            </w:r>
          </w:p>
        </w:tc>
      </w:tr>
      <w:tr>
        <w:trPr>
          <w:trHeight w:val="310" w:hRule="exact"/>
        </w:trPr>
        <w:tc>
          <w:tcPr>
            <w:tcW w:w="1032" w:type="dxa"/>
            <w:vMerge/>
          </w:tcPr>
          <w:p>
            <w:pPr/>
          </w:p>
        </w:tc>
        <w:tc>
          <w:tcPr>
            <w:tcW w:w="1570" w:type="dxa"/>
          </w:tcPr>
          <w:p>
            <w:pPr>
              <w:pStyle w:val="TableParagraph"/>
              <w:spacing w:before="81"/>
              <w:ind w:left="49" w:right="48"/>
              <w:jc w:val="center"/>
              <w:rPr>
                <w:b/>
                <w:sz w:val="18"/>
              </w:rPr>
            </w:pPr>
            <w:r>
              <w:rPr>
                <w:b/>
                <w:sz w:val="18"/>
              </w:rPr>
              <w:t>variable 5</w:t>
            </w:r>
          </w:p>
        </w:tc>
        <w:tc>
          <w:tcPr>
            <w:tcW w:w="1642" w:type="dxa"/>
          </w:tcPr>
          <w:p>
            <w:pPr>
              <w:pStyle w:val="TableParagraph"/>
              <w:spacing w:before="81"/>
              <w:ind w:left="103" w:right="104"/>
              <w:jc w:val="center"/>
              <w:rPr>
                <w:b/>
                <w:sz w:val="18"/>
              </w:rPr>
            </w:pPr>
            <w:r>
              <w:rPr>
                <w:b/>
                <w:sz w:val="18"/>
              </w:rPr>
              <w:t>variable 6</w:t>
            </w:r>
          </w:p>
        </w:tc>
        <w:tc>
          <w:tcPr>
            <w:tcW w:w="1635" w:type="dxa"/>
          </w:tcPr>
          <w:p>
            <w:pPr>
              <w:pStyle w:val="TableParagraph"/>
              <w:spacing w:before="81"/>
              <w:ind w:left="87" w:right="86"/>
              <w:jc w:val="center"/>
              <w:rPr>
                <w:b/>
                <w:sz w:val="18"/>
              </w:rPr>
            </w:pPr>
            <w:r>
              <w:rPr>
                <w:b/>
                <w:sz w:val="18"/>
              </w:rPr>
              <w:t>variable 7</w:t>
            </w:r>
          </w:p>
        </w:tc>
        <w:tc>
          <w:tcPr>
            <w:tcW w:w="1877" w:type="dxa"/>
          </w:tcPr>
          <w:p>
            <w:pPr>
              <w:pStyle w:val="TableParagraph"/>
              <w:spacing w:before="81"/>
              <w:ind w:left="122" w:right="123"/>
              <w:jc w:val="center"/>
              <w:rPr>
                <w:b/>
                <w:sz w:val="18"/>
              </w:rPr>
            </w:pPr>
            <w:r>
              <w:rPr>
                <w:b/>
                <w:sz w:val="18"/>
              </w:rPr>
              <w:t>variable 8</w:t>
            </w:r>
          </w:p>
        </w:tc>
        <w:tc>
          <w:tcPr>
            <w:tcW w:w="1049" w:type="dxa"/>
          </w:tcPr>
          <w:p>
            <w:pPr>
              <w:pStyle w:val="TableParagraph"/>
              <w:spacing w:before="81"/>
              <w:ind w:left="69" w:right="68"/>
              <w:jc w:val="center"/>
              <w:rPr>
                <w:b/>
                <w:sz w:val="18"/>
              </w:rPr>
            </w:pPr>
            <w:r>
              <w:rPr>
                <w:b/>
                <w:sz w:val="18"/>
              </w:rPr>
              <w:t>variable 9</w:t>
            </w:r>
          </w:p>
        </w:tc>
      </w:tr>
      <w:tr>
        <w:trPr>
          <w:trHeight w:val="730" w:hRule="exact"/>
        </w:trPr>
        <w:tc>
          <w:tcPr>
            <w:tcW w:w="1032" w:type="dxa"/>
            <w:vMerge/>
          </w:tcPr>
          <w:p>
            <w:pPr/>
          </w:p>
        </w:tc>
        <w:tc>
          <w:tcPr>
            <w:tcW w:w="1570" w:type="dxa"/>
          </w:tcPr>
          <w:p>
            <w:pPr>
              <w:pStyle w:val="TableParagraph"/>
              <w:spacing w:before="88"/>
              <w:ind w:left="249" w:right="223" w:hanging="27"/>
              <w:jc w:val="both"/>
              <w:rPr>
                <w:b/>
                <w:sz w:val="18"/>
              </w:rPr>
            </w:pPr>
            <w:r>
              <w:rPr>
                <w:b/>
                <w:sz w:val="18"/>
              </w:rPr>
              <w:t>Disciplina de origen de la teoría usada</w:t>
            </w:r>
          </w:p>
        </w:tc>
        <w:tc>
          <w:tcPr>
            <w:tcW w:w="1642" w:type="dxa"/>
          </w:tcPr>
          <w:p>
            <w:pPr>
              <w:pStyle w:val="TableParagraph"/>
              <w:spacing w:before="7"/>
              <w:rPr>
                <w:rFonts w:ascii="Times New Roman"/>
                <w:sz w:val="25"/>
              </w:rPr>
            </w:pPr>
          </w:p>
          <w:p>
            <w:pPr>
              <w:pStyle w:val="TableParagraph"/>
              <w:ind w:left="494" w:right="383" w:hanging="96"/>
              <w:rPr>
                <w:b/>
                <w:sz w:val="18"/>
              </w:rPr>
            </w:pPr>
            <w:r>
              <w:rPr>
                <w:b/>
                <w:sz w:val="18"/>
              </w:rPr>
              <w:t>Objeto de estudio</w:t>
            </w:r>
          </w:p>
        </w:tc>
        <w:tc>
          <w:tcPr>
            <w:tcW w:w="1635" w:type="dxa"/>
          </w:tcPr>
          <w:p>
            <w:pPr>
              <w:pStyle w:val="TableParagraph"/>
              <w:rPr>
                <w:rFonts w:ascii="Times New Roman"/>
                <w:sz w:val="18"/>
              </w:rPr>
            </w:pPr>
          </w:p>
          <w:p>
            <w:pPr>
              <w:pStyle w:val="TableParagraph"/>
              <w:spacing w:before="9"/>
              <w:rPr>
                <w:rFonts w:ascii="Times New Roman"/>
                <w:sz w:val="25"/>
              </w:rPr>
            </w:pPr>
          </w:p>
          <w:p>
            <w:pPr>
              <w:pStyle w:val="TableParagraph"/>
              <w:ind w:left="87" w:right="87"/>
              <w:jc w:val="center"/>
              <w:rPr>
                <w:b/>
                <w:sz w:val="18"/>
              </w:rPr>
            </w:pPr>
            <w:r>
              <w:rPr>
                <w:b/>
                <w:sz w:val="18"/>
              </w:rPr>
              <w:t>Sujetos sociales</w:t>
            </w:r>
          </w:p>
        </w:tc>
        <w:tc>
          <w:tcPr>
            <w:tcW w:w="1877" w:type="dxa"/>
          </w:tcPr>
          <w:p>
            <w:pPr>
              <w:pStyle w:val="TableParagraph"/>
              <w:spacing w:before="7"/>
              <w:rPr>
                <w:rFonts w:ascii="Times New Roman"/>
                <w:sz w:val="25"/>
              </w:rPr>
            </w:pPr>
          </w:p>
          <w:p>
            <w:pPr>
              <w:pStyle w:val="TableParagraph"/>
              <w:ind w:left="187" w:right="121" w:hanging="51"/>
              <w:rPr>
                <w:b/>
                <w:sz w:val="18"/>
              </w:rPr>
            </w:pPr>
            <w:r>
              <w:rPr>
                <w:b/>
                <w:sz w:val="18"/>
              </w:rPr>
              <w:t>Ámbito geográfico objeto de estudio</w:t>
            </w:r>
          </w:p>
        </w:tc>
        <w:tc>
          <w:tcPr>
            <w:tcW w:w="1049" w:type="dxa"/>
          </w:tcPr>
          <w:p>
            <w:pPr>
              <w:pStyle w:val="TableParagraph"/>
              <w:spacing w:before="7"/>
              <w:rPr>
                <w:rFonts w:ascii="Times New Roman"/>
                <w:sz w:val="25"/>
              </w:rPr>
            </w:pPr>
          </w:p>
          <w:p>
            <w:pPr>
              <w:pStyle w:val="TableParagraph"/>
              <w:ind w:left="69" w:right="50" w:firstLine="112"/>
              <w:rPr>
                <w:b/>
                <w:sz w:val="18"/>
              </w:rPr>
            </w:pPr>
            <w:r>
              <w:rPr>
                <w:b/>
                <w:sz w:val="18"/>
              </w:rPr>
              <w:t>Periodo de estudio</w:t>
            </w:r>
          </w:p>
        </w:tc>
      </w:tr>
      <w:tr>
        <w:trPr>
          <w:trHeight w:val="730" w:hRule="exact"/>
        </w:trPr>
        <w:tc>
          <w:tcPr>
            <w:tcW w:w="1032" w:type="dxa"/>
          </w:tcPr>
          <w:p>
            <w:pPr>
              <w:pStyle w:val="TableParagraph"/>
              <w:rPr>
                <w:rFonts w:ascii="Times New Roman"/>
                <w:sz w:val="18"/>
              </w:rPr>
            </w:pPr>
          </w:p>
          <w:p>
            <w:pPr>
              <w:pStyle w:val="TableParagraph"/>
              <w:spacing w:before="2"/>
              <w:rPr>
                <w:rFonts w:ascii="Times New Roman"/>
                <w:sz w:val="26"/>
              </w:rPr>
            </w:pPr>
          </w:p>
          <w:p>
            <w:pPr>
              <w:pStyle w:val="TableParagraph"/>
              <w:spacing w:before="1"/>
              <w:ind w:left="391" w:right="391"/>
              <w:jc w:val="center"/>
              <w:rPr>
                <w:sz w:val="18"/>
              </w:rPr>
            </w:pPr>
            <w:r>
              <w:rPr>
                <w:sz w:val="18"/>
              </w:rPr>
              <w:t>21</w:t>
            </w:r>
          </w:p>
        </w:tc>
        <w:tc>
          <w:tcPr>
            <w:tcW w:w="1570" w:type="dxa"/>
          </w:tcPr>
          <w:p>
            <w:pPr>
              <w:pStyle w:val="TableParagraph"/>
              <w:rPr>
                <w:rFonts w:ascii="Times New Roman"/>
                <w:sz w:val="18"/>
              </w:rPr>
            </w:pPr>
          </w:p>
          <w:p>
            <w:pPr>
              <w:pStyle w:val="TableParagraph"/>
              <w:spacing w:before="2"/>
              <w:rPr>
                <w:rFonts w:ascii="Times New Roman"/>
                <w:sz w:val="26"/>
              </w:rPr>
            </w:pPr>
          </w:p>
          <w:p>
            <w:pPr>
              <w:pStyle w:val="TableParagraph"/>
              <w:spacing w:before="1"/>
              <w:ind w:left="49" w:right="49"/>
              <w:jc w:val="center"/>
              <w:rPr>
                <w:sz w:val="18"/>
              </w:rPr>
            </w:pPr>
            <w:r>
              <w:rPr>
                <w:sz w:val="18"/>
              </w:rPr>
              <w:t>economía</w:t>
            </w:r>
          </w:p>
        </w:tc>
        <w:tc>
          <w:tcPr>
            <w:tcW w:w="1642" w:type="dxa"/>
          </w:tcPr>
          <w:p>
            <w:pPr>
              <w:pStyle w:val="TableParagraph"/>
              <w:spacing w:before="93"/>
              <w:ind w:left="88" w:right="89" w:hanging="2"/>
              <w:jc w:val="center"/>
              <w:rPr>
                <w:sz w:val="18"/>
              </w:rPr>
            </w:pPr>
            <w:r>
              <w:rPr>
                <w:sz w:val="18"/>
              </w:rPr>
              <w:t>enorme stock de viviendas sociales inadecuadas</w:t>
            </w:r>
          </w:p>
        </w:tc>
        <w:tc>
          <w:tcPr>
            <w:tcW w:w="1635" w:type="dxa"/>
          </w:tcPr>
          <w:p>
            <w:pPr/>
          </w:p>
        </w:tc>
        <w:tc>
          <w:tcPr>
            <w:tcW w:w="1877" w:type="dxa"/>
          </w:tcPr>
          <w:p>
            <w:pPr>
              <w:pStyle w:val="TableParagraph"/>
              <w:rPr>
                <w:rFonts w:ascii="Times New Roman"/>
                <w:sz w:val="18"/>
              </w:rPr>
            </w:pPr>
          </w:p>
          <w:p>
            <w:pPr>
              <w:pStyle w:val="TableParagraph"/>
              <w:spacing w:before="2"/>
              <w:rPr>
                <w:rFonts w:ascii="Times New Roman"/>
                <w:sz w:val="26"/>
              </w:rPr>
            </w:pPr>
          </w:p>
          <w:p>
            <w:pPr>
              <w:pStyle w:val="TableParagraph"/>
              <w:spacing w:before="1"/>
              <w:ind w:left="121" w:right="123"/>
              <w:jc w:val="center"/>
              <w:rPr>
                <w:sz w:val="18"/>
              </w:rPr>
            </w:pPr>
            <w:r>
              <w:rPr>
                <w:sz w:val="18"/>
              </w:rPr>
              <w:t>Santiago de Chile</w:t>
            </w:r>
          </w:p>
        </w:tc>
        <w:tc>
          <w:tcPr>
            <w:tcW w:w="1049" w:type="dxa"/>
          </w:tcPr>
          <w:p>
            <w:pPr>
              <w:pStyle w:val="TableParagraph"/>
              <w:rPr>
                <w:rFonts w:ascii="Times New Roman"/>
                <w:sz w:val="18"/>
              </w:rPr>
            </w:pPr>
          </w:p>
          <w:p>
            <w:pPr>
              <w:pStyle w:val="TableParagraph"/>
              <w:spacing w:before="2"/>
              <w:rPr>
                <w:rFonts w:ascii="Times New Roman"/>
                <w:sz w:val="26"/>
              </w:rPr>
            </w:pPr>
          </w:p>
          <w:p>
            <w:pPr>
              <w:pStyle w:val="TableParagraph"/>
              <w:spacing w:before="1"/>
              <w:ind w:left="69" w:right="68"/>
              <w:jc w:val="center"/>
              <w:rPr>
                <w:sz w:val="18"/>
              </w:rPr>
            </w:pPr>
            <w:r>
              <w:rPr>
                <w:sz w:val="18"/>
              </w:rPr>
              <w:t>1980-2000</w:t>
            </w:r>
          </w:p>
        </w:tc>
      </w:tr>
      <w:tr>
        <w:trPr>
          <w:trHeight w:val="490" w:hRule="exact"/>
        </w:trPr>
        <w:tc>
          <w:tcPr>
            <w:tcW w:w="1032" w:type="dxa"/>
          </w:tcPr>
          <w:p>
            <w:pPr>
              <w:pStyle w:val="TableParagraph"/>
              <w:spacing w:before="4"/>
              <w:rPr>
                <w:rFonts w:ascii="Times New Roman"/>
                <w:sz w:val="23"/>
              </w:rPr>
            </w:pPr>
          </w:p>
          <w:p>
            <w:pPr>
              <w:pStyle w:val="TableParagraph"/>
              <w:ind w:left="391" w:right="391"/>
              <w:jc w:val="center"/>
              <w:rPr>
                <w:sz w:val="18"/>
              </w:rPr>
            </w:pPr>
            <w:r>
              <w:rPr>
                <w:sz w:val="18"/>
              </w:rPr>
              <w:t>22</w:t>
            </w:r>
          </w:p>
        </w:tc>
        <w:tc>
          <w:tcPr>
            <w:tcW w:w="1570" w:type="dxa"/>
          </w:tcPr>
          <w:p>
            <w:pPr>
              <w:pStyle w:val="TableParagraph"/>
              <w:spacing w:before="62"/>
              <w:ind w:left="494" w:right="182" w:hanging="296"/>
              <w:rPr>
                <w:sz w:val="18"/>
              </w:rPr>
            </w:pPr>
            <w:r>
              <w:rPr>
                <w:sz w:val="18"/>
              </w:rPr>
              <w:t>administración pública</w:t>
            </w:r>
          </w:p>
        </w:tc>
        <w:tc>
          <w:tcPr>
            <w:tcW w:w="1642" w:type="dxa"/>
          </w:tcPr>
          <w:p>
            <w:pPr>
              <w:pStyle w:val="TableParagraph"/>
              <w:spacing w:before="62"/>
              <w:ind w:left="415" w:right="104" w:hanging="298"/>
              <w:rPr>
                <w:sz w:val="18"/>
              </w:rPr>
            </w:pPr>
            <w:r>
              <w:rPr>
                <w:sz w:val="18"/>
              </w:rPr>
              <w:t>descentralización y territorio</w:t>
            </w:r>
          </w:p>
        </w:tc>
        <w:tc>
          <w:tcPr>
            <w:tcW w:w="1635" w:type="dxa"/>
          </w:tcPr>
          <w:p>
            <w:pPr/>
          </w:p>
        </w:tc>
        <w:tc>
          <w:tcPr>
            <w:tcW w:w="1877" w:type="dxa"/>
          </w:tcPr>
          <w:p>
            <w:pPr/>
          </w:p>
        </w:tc>
        <w:tc>
          <w:tcPr>
            <w:tcW w:w="1049" w:type="dxa"/>
          </w:tcPr>
          <w:p>
            <w:pPr/>
          </w:p>
        </w:tc>
      </w:tr>
      <w:tr>
        <w:trPr>
          <w:trHeight w:val="631" w:hRule="exact"/>
        </w:trPr>
        <w:tc>
          <w:tcPr>
            <w:tcW w:w="1032" w:type="dxa"/>
          </w:tcPr>
          <w:p>
            <w:pPr>
              <w:pStyle w:val="TableParagraph"/>
              <w:rPr>
                <w:rFonts w:ascii="Times New Roman"/>
                <w:sz w:val="18"/>
              </w:rPr>
            </w:pPr>
          </w:p>
          <w:p>
            <w:pPr>
              <w:pStyle w:val="TableParagraph"/>
              <w:spacing w:before="7"/>
              <w:rPr>
                <w:rFonts w:ascii="Times New Roman"/>
                <w:sz w:val="17"/>
              </w:rPr>
            </w:pPr>
          </w:p>
          <w:p>
            <w:pPr>
              <w:pStyle w:val="TableParagraph"/>
              <w:spacing w:before="1"/>
              <w:ind w:left="391" w:right="391"/>
              <w:jc w:val="center"/>
              <w:rPr>
                <w:sz w:val="18"/>
              </w:rPr>
            </w:pPr>
            <w:r>
              <w:rPr>
                <w:sz w:val="18"/>
              </w:rPr>
              <w:t>23</w:t>
            </w:r>
          </w:p>
        </w:tc>
        <w:tc>
          <w:tcPr>
            <w:tcW w:w="1570" w:type="dxa"/>
          </w:tcPr>
          <w:p>
            <w:pPr>
              <w:pStyle w:val="TableParagraph"/>
              <w:spacing w:before="8"/>
              <w:rPr>
                <w:rFonts w:ascii="Times New Roman"/>
                <w:sz w:val="17"/>
              </w:rPr>
            </w:pPr>
          </w:p>
          <w:p>
            <w:pPr>
              <w:pStyle w:val="TableParagraph"/>
              <w:ind w:left="93" w:right="53" w:hanging="27"/>
              <w:rPr>
                <w:sz w:val="18"/>
              </w:rPr>
            </w:pPr>
            <w:r>
              <w:rPr>
                <w:sz w:val="18"/>
              </w:rPr>
              <w:t>estudios urbanos/ geografía urbana</w:t>
            </w:r>
          </w:p>
        </w:tc>
        <w:tc>
          <w:tcPr>
            <w:tcW w:w="1642" w:type="dxa"/>
          </w:tcPr>
          <w:p>
            <w:pPr>
              <w:pStyle w:val="TableParagraph"/>
              <w:ind w:left="103" w:right="106" w:hanging="2"/>
              <w:jc w:val="center"/>
              <w:rPr>
                <w:sz w:val="18"/>
              </w:rPr>
            </w:pPr>
            <w:r>
              <w:rPr>
                <w:sz w:val="18"/>
              </w:rPr>
              <w:t>construcción social del espacio urbano</w:t>
            </w:r>
          </w:p>
        </w:tc>
        <w:tc>
          <w:tcPr>
            <w:tcW w:w="1635" w:type="dxa"/>
          </w:tcPr>
          <w:p>
            <w:pPr/>
          </w:p>
        </w:tc>
        <w:tc>
          <w:tcPr>
            <w:tcW w:w="1877" w:type="dxa"/>
          </w:tcPr>
          <w:p>
            <w:pPr/>
          </w:p>
        </w:tc>
        <w:tc>
          <w:tcPr>
            <w:tcW w:w="1049" w:type="dxa"/>
          </w:tcPr>
          <w:p>
            <w:pPr/>
          </w:p>
        </w:tc>
      </w:tr>
      <w:tr>
        <w:trPr>
          <w:trHeight w:val="250" w:hRule="exact"/>
        </w:trPr>
        <w:tc>
          <w:tcPr>
            <w:tcW w:w="1032" w:type="dxa"/>
          </w:tcPr>
          <w:p>
            <w:pPr>
              <w:pStyle w:val="TableParagraph"/>
              <w:spacing w:before="29"/>
              <w:ind w:left="391" w:right="391"/>
              <w:jc w:val="center"/>
              <w:rPr>
                <w:sz w:val="18"/>
              </w:rPr>
            </w:pPr>
            <w:r>
              <w:rPr>
                <w:sz w:val="18"/>
              </w:rPr>
              <w:t>24</w:t>
            </w:r>
          </w:p>
        </w:tc>
        <w:tc>
          <w:tcPr>
            <w:tcW w:w="1570" w:type="dxa"/>
          </w:tcPr>
          <w:p>
            <w:pPr>
              <w:pStyle w:val="TableParagraph"/>
              <w:spacing w:before="29"/>
              <w:ind w:left="49" w:right="49"/>
              <w:jc w:val="center"/>
              <w:rPr>
                <w:sz w:val="18"/>
              </w:rPr>
            </w:pPr>
            <w:r>
              <w:rPr>
                <w:sz w:val="18"/>
              </w:rPr>
              <w:t>sociología urbana</w:t>
            </w:r>
          </w:p>
        </w:tc>
        <w:tc>
          <w:tcPr>
            <w:tcW w:w="1642" w:type="dxa"/>
          </w:tcPr>
          <w:p>
            <w:pPr>
              <w:pStyle w:val="TableParagraph"/>
              <w:spacing w:before="29"/>
              <w:ind w:left="103" w:right="104"/>
              <w:jc w:val="center"/>
              <w:rPr>
                <w:sz w:val="18"/>
              </w:rPr>
            </w:pPr>
            <w:r>
              <w:rPr>
                <w:sz w:val="18"/>
              </w:rPr>
              <w:t>ciudad</w:t>
            </w:r>
          </w:p>
        </w:tc>
        <w:tc>
          <w:tcPr>
            <w:tcW w:w="1635" w:type="dxa"/>
          </w:tcPr>
          <w:p>
            <w:pPr/>
          </w:p>
        </w:tc>
        <w:tc>
          <w:tcPr>
            <w:tcW w:w="1877" w:type="dxa"/>
          </w:tcPr>
          <w:p>
            <w:pPr/>
          </w:p>
        </w:tc>
        <w:tc>
          <w:tcPr>
            <w:tcW w:w="1049" w:type="dxa"/>
          </w:tcPr>
          <w:p>
            <w:pPr/>
          </w:p>
        </w:tc>
      </w:tr>
      <w:tr>
        <w:trPr>
          <w:trHeight w:val="1450" w:hRule="exact"/>
        </w:trPr>
        <w:tc>
          <w:tcPr>
            <w:tcW w:w="103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9"/>
              <w:rPr>
                <w:rFonts w:ascii="Times New Roman"/>
                <w:sz w:val="16"/>
              </w:rPr>
            </w:pPr>
          </w:p>
          <w:p>
            <w:pPr>
              <w:pStyle w:val="TableParagraph"/>
              <w:spacing w:before="1"/>
              <w:ind w:left="391" w:right="391"/>
              <w:jc w:val="center"/>
              <w:rPr>
                <w:sz w:val="18"/>
              </w:rPr>
            </w:pPr>
            <w:r>
              <w:rPr>
                <w:sz w:val="18"/>
              </w:rPr>
              <w:t>25</w:t>
            </w:r>
          </w:p>
        </w:tc>
        <w:tc>
          <w:tcPr>
            <w:tcW w:w="1570"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16"/>
              </w:rPr>
            </w:pPr>
          </w:p>
          <w:p>
            <w:pPr>
              <w:pStyle w:val="TableParagraph"/>
              <w:ind w:left="134" w:right="133"/>
              <w:jc w:val="center"/>
              <w:rPr>
                <w:sz w:val="18"/>
              </w:rPr>
            </w:pPr>
            <w:r>
              <w:rPr>
                <w:sz w:val="18"/>
              </w:rPr>
              <w:t>econía urbana y planeación urbana</w:t>
            </w:r>
          </w:p>
        </w:tc>
        <w:tc>
          <w:tcPr>
            <w:tcW w:w="1642" w:type="dxa"/>
          </w:tcPr>
          <w:p>
            <w:pPr>
              <w:pStyle w:val="TableParagraph"/>
              <w:spacing w:before="10"/>
              <w:rPr>
                <w:rFonts w:ascii="Times New Roman"/>
                <w:sz w:val="16"/>
              </w:rPr>
            </w:pPr>
          </w:p>
          <w:p>
            <w:pPr>
              <w:pStyle w:val="TableParagraph"/>
              <w:ind w:left="93" w:right="98" w:firstLine="4"/>
              <w:jc w:val="center"/>
              <w:rPr>
                <w:sz w:val="18"/>
              </w:rPr>
            </w:pPr>
            <w:r>
              <w:rPr>
                <w:sz w:val="18"/>
              </w:rPr>
              <w:t>estructura socio- espacial y el surgimiento de nuevas formas de segregación en Ciudad de México</w:t>
            </w:r>
          </w:p>
        </w:tc>
        <w:tc>
          <w:tcPr>
            <w:tcW w:w="1635" w:type="dxa"/>
          </w:tcPr>
          <w:p>
            <w:pPr/>
          </w:p>
        </w:tc>
        <w:tc>
          <w:tcPr>
            <w:tcW w:w="1877"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6"/>
              </w:rPr>
            </w:pPr>
          </w:p>
          <w:p>
            <w:pPr>
              <w:pStyle w:val="TableParagraph"/>
              <w:ind w:left="727" w:right="126" w:hanging="586"/>
              <w:rPr>
                <w:sz w:val="18"/>
              </w:rPr>
            </w:pPr>
            <w:r>
              <w:rPr>
                <w:sz w:val="18"/>
              </w:rPr>
              <w:t>Ciudad de México y Chile</w:t>
            </w:r>
          </w:p>
        </w:tc>
        <w:tc>
          <w:tcPr>
            <w:tcW w:w="1049"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6"/>
              </w:rPr>
            </w:pPr>
          </w:p>
          <w:p>
            <w:pPr>
              <w:pStyle w:val="TableParagraph"/>
              <w:spacing w:line="207" w:lineRule="exact"/>
              <w:ind w:left="242" w:right="50"/>
              <w:rPr>
                <w:sz w:val="18"/>
              </w:rPr>
            </w:pPr>
            <w:r>
              <w:rPr>
                <w:sz w:val="18"/>
              </w:rPr>
              <w:t>1980 a</w:t>
            </w:r>
          </w:p>
          <w:p>
            <w:pPr>
              <w:pStyle w:val="TableParagraph"/>
              <w:spacing w:line="207" w:lineRule="exact"/>
              <w:ind w:left="319" w:right="50"/>
              <w:rPr>
                <w:sz w:val="18"/>
              </w:rPr>
            </w:pPr>
            <w:r>
              <w:rPr>
                <w:sz w:val="18"/>
              </w:rPr>
              <w:t>2000</w:t>
            </w:r>
          </w:p>
        </w:tc>
      </w:tr>
      <w:tr>
        <w:trPr>
          <w:trHeight w:val="2412" w:hRule="exact"/>
        </w:trPr>
        <w:tc>
          <w:tcPr>
            <w:tcW w:w="103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19"/>
              <w:ind w:left="391" w:right="391"/>
              <w:jc w:val="center"/>
              <w:rPr>
                <w:sz w:val="18"/>
              </w:rPr>
            </w:pPr>
            <w:r>
              <w:rPr>
                <w:sz w:val="18"/>
              </w:rPr>
              <w:t>26</w:t>
            </w:r>
          </w:p>
        </w:tc>
        <w:tc>
          <w:tcPr>
            <w:tcW w:w="1570"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20"/>
              <w:ind w:left="134" w:right="133"/>
              <w:jc w:val="center"/>
              <w:rPr>
                <w:sz w:val="18"/>
              </w:rPr>
            </w:pPr>
            <w:r>
              <w:rPr>
                <w:sz w:val="18"/>
              </w:rPr>
              <w:t>econía urbana y planeación urbana</w:t>
            </w:r>
          </w:p>
        </w:tc>
        <w:tc>
          <w:tcPr>
            <w:tcW w:w="1642" w:type="dxa"/>
          </w:tcPr>
          <w:p>
            <w:pPr>
              <w:pStyle w:val="TableParagraph"/>
              <w:rPr>
                <w:rFonts w:ascii="Times New Roman"/>
                <w:sz w:val="18"/>
              </w:rPr>
            </w:pPr>
          </w:p>
          <w:p>
            <w:pPr>
              <w:pStyle w:val="TableParagraph"/>
              <w:spacing w:before="119"/>
              <w:ind w:left="71" w:right="76"/>
              <w:jc w:val="center"/>
              <w:rPr>
                <w:sz w:val="18"/>
              </w:rPr>
            </w:pPr>
            <w:r>
              <w:rPr>
                <w:sz w:val="18"/>
              </w:rPr>
              <w:t>estrategias de reproducción y modos de vida de los sectores populares y sectores medios empobrecidos y vulnerables asentados en esta área</w:t>
            </w:r>
          </w:p>
        </w:tc>
        <w:tc>
          <w:tcPr>
            <w:tcW w:w="1635" w:type="dxa"/>
          </w:tcPr>
          <w:p>
            <w:pPr/>
          </w:p>
        </w:tc>
        <w:tc>
          <w:tcPr>
            <w:tcW w:w="1877"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19"/>
              <w:ind w:left="122" w:right="122"/>
              <w:jc w:val="center"/>
              <w:rPr>
                <w:sz w:val="18"/>
              </w:rPr>
            </w:pPr>
            <w:r>
              <w:rPr>
                <w:sz w:val="18"/>
              </w:rPr>
              <w:t>Caracas</w:t>
            </w:r>
          </w:p>
        </w:tc>
        <w:tc>
          <w:tcPr>
            <w:tcW w:w="1049"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19"/>
              <w:ind w:left="69" w:right="67"/>
              <w:jc w:val="center"/>
              <w:rPr>
                <w:sz w:val="18"/>
              </w:rPr>
            </w:pPr>
            <w:r>
              <w:rPr>
                <w:sz w:val="18"/>
              </w:rPr>
              <w:t>2001</w:t>
            </w:r>
          </w:p>
        </w:tc>
      </w:tr>
      <w:tr>
        <w:trPr>
          <w:trHeight w:val="730" w:hRule="exact"/>
        </w:trPr>
        <w:tc>
          <w:tcPr>
            <w:tcW w:w="1032" w:type="dxa"/>
          </w:tcPr>
          <w:p>
            <w:pPr>
              <w:pStyle w:val="TableParagraph"/>
              <w:rPr>
                <w:rFonts w:ascii="Times New Roman"/>
                <w:sz w:val="18"/>
              </w:rPr>
            </w:pPr>
          </w:p>
          <w:p>
            <w:pPr>
              <w:pStyle w:val="TableParagraph"/>
              <w:spacing w:before="2"/>
              <w:rPr>
                <w:rFonts w:ascii="Times New Roman"/>
                <w:sz w:val="26"/>
              </w:rPr>
            </w:pPr>
          </w:p>
          <w:p>
            <w:pPr>
              <w:pStyle w:val="TableParagraph"/>
              <w:spacing w:before="1"/>
              <w:ind w:left="391" w:right="391"/>
              <w:jc w:val="center"/>
              <w:rPr>
                <w:sz w:val="18"/>
              </w:rPr>
            </w:pPr>
            <w:r>
              <w:rPr>
                <w:sz w:val="18"/>
              </w:rPr>
              <w:t>27</w:t>
            </w:r>
          </w:p>
        </w:tc>
        <w:tc>
          <w:tcPr>
            <w:tcW w:w="1570" w:type="dxa"/>
          </w:tcPr>
          <w:p>
            <w:pPr>
              <w:pStyle w:val="TableParagraph"/>
              <w:rPr>
                <w:rFonts w:ascii="Times New Roman"/>
                <w:sz w:val="18"/>
              </w:rPr>
            </w:pPr>
          </w:p>
          <w:p>
            <w:pPr>
              <w:pStyle w:val="TableParagraph"/>
              <w:spacing w:before="2"/>
              <w:rPr>
                <w:rFonts w:ascii="Times New Roman"/>
                <w:sz w:val="26"/>
              </w:rPr>
            </w:pPr>
          </w:p>
          <w:p>
            <w:pPr>
              <w:pStyle w:val="TableParagraph"/>
              <w:spacing w:before="1"/>
              <w:ind w:left="49" w:right="49"/>
              <w:jc w:val="center"/>
              <w:rPr>
                <w:sz w:val="18"/>
              </w:rPr>
            </w:pPr>
            <w:r>
              <w:rPr>
                <w:sz w:val="18"/>
              </w:rPr>
              <w:t>sociología urbana</w:t>
            </w:r>
          </w:p>
        </w:tc>
        <w:tc>
          <w:tcPr>
            <w:tcW w:w="1642" w:type="dxa"/>
          </w:tcPr>
          <w:p>
            <w:pPr>
              <w:pStyle w:val="TableParagraph"/>
              <w:spacing w:before="93"/>
              <w:ind w:left="71" w:right="77"/>
              <w:jc w:val="center"/>
              <w:rPr>
                <w:sz w:val="18"/>
              </w:rPr>
            </w:pPr>
            <w:r>
              <w:rPr>
                <w:sz w:val="18"/>
              </w:rPr>
              <w:t>reconfiguración de la ciudad por procesos globales</w:t>
            </w:r>
          </w:p>
        </w:tc>
        <w:tc>
          <w:tcPr>
            <w:tcW w:w="1635" w:type="dxa"/>
          </w:tcPr>
          <w:p>
            <w:pPr/>
          </w:p>
        </w:tc>
        <w:tc>
          <w:tcPr>
            <w:tcW w:w="1877" w:type="dxa"/>
          </w:tcPr>
          <w:p>
            <w:pPr>
              <w:pStyle w:val="TableParagraph"/>
              <w:rPr>
                <w:rFonts w:ascii="Times New Roman"/>
                <w:sz w:val="18"/>
              </w:rPr>
            </w:pPr>
          </w:p>
          <w:p>
            <w:pPr>
              <w:pStyle w:val="TableParagraph"/>
              <w:spacing w:before="2"/>
              <w:rPr>
                <w:rFonts w:ascii="Times New Roman"/>
                <w:sz w:val="26"/>
              </w:rPr>
            </w:pPr>
          </w:p>
          <w:p>
            <w:pPr>
              <w:pStyle w:val="TableParagraph"/>
              <w:spacing w:before="1"/>
              <w:ind w:left="122" w:right="122"/>
              <w:jc w:val="center"/>
              <w:rPr>
                <w:sz w:val="18"/>
              </w:rPr>
            </w:pPr>
            <w:r>
              <w:rPr>
                <w:sz w:val="18"/>
              </w:rPr>
              <w:t>Europa Occidental</w:t>
            </w:r>
          </w:p>
        </w:tc>
        <w:tc>
          <w:tcPr>
            <w:tcW w:w="1049" w:type="dxa"/>
          </w:tcPr>
          <w:p>
            <w:pPr/>
          </w:p>
        </w:tc>
      </w:tr>
      <w:tr>
        <w:trPr>
          <w:trHeight w:val="730" w:hRule="exact"/>
        </w:trPr>
        <w:tc>
          <w:tcPr>
            <w:tcW w:w="1032" w:type="dxa"/>
          </w:tcPr>
          <w:p>
            <w:pPr>
              <w:pStyle w:val="TableParagraph"/>
              <w:rPr>
                <w:rFonts w:ascii="Times New Roman"/>
                <w:sz w:val="18"/>
              </w:rPr>
            </w:pPr>
          </w:p>
          <w:p>
            <w:pPr>
              <w:pStyle w:val="TableParagraph"/>
              <w:spacing w:before="2"/>
              <w:rPr>
                <w:rFonts w:ascii="Times New Roman"/>
                <w:sz w:val="26"/>
              </w:rPr>
            </w:pPr>
          </w:p>
          <w:p>
            <w:pPr>
              <w:pStyle w:val="TableParagraph"/>
              <w:spacing w:before="1"/>
              <w:ind w:left="391" w:right="391"/>
              <w:jc w:val="center"/>
              <w:rPr>
                <w:sz w:val="18"/>
              </w:rPr>
            </w:pPr>
            <w:r>
              <w:rPr>
                <w:sz w:val="18"/>
              </w:rPr>
              <w:t>28</w:t>
            </w:r>
          </w:p>
        </w:tc>
        <w:tc>
          <w:tcPr>
            <w:tcW w:w="1570" w:type="dxa"/>
          </w:tcPr>
          <w:p>
            <w:pPr>
              <w:pStyle w:val="TableParagraph"/>
              <w:rPr>
                <w:rFonts w:ascii="Times New Roman"/>
                <w:sz w:val="18"/>
              </w:rPr>
            </w:pPr>
          </w:p>
          <w:p>
            <w:pPr>
              <w:pStyle w:val="TableParagraph"/>
              <w:spacing w:before="2"/>
              <w:rPr>
                <w:rFonts w:ascii="Times New Roman"/>
                <w:sz w:val="26"/>
              </w:rPr>
            </w:pPr>
          </w:p>
          <w:p>
            <w:pPr>
              <w:pStyle w:val="TableParagraph"/>
              <w:spacing w:before="1"/>
              <w:ind w:left="49" w:right="49"/>
              <w:jc w:val="center"/>
              <w:rPr>
                <w:sz w:val="18"/>
              </w:rPr>
            </w:pPr>
            <w:r>
              <w:rPr>
                <w:sz w:val="18"/>
              </w:rPr>
              <w:t>geografía</w:t>
            </w:r>
          </w:p>
        </w:tc>
        <w:tc>
          <w:tcPr>
            <w:tcW w:w="1642" w:type="dxa"/>
          </w:tcPr>
          <w:p>
            <w:pPr>
              <w:pStyle w:val="TableParagraph"/>
              <w:spacing w:before="93"/>
              <w:ind w:left="103" w:right="106"/>
              <w:jc w:val="center"/>
              <w:rPr>
                <w:sz w:val="18"/>
              </w:rPr>
            </w:pPr>
            <w:r>
              <w:rPr>
                <w:sz w:val="18"/>
              </w:rPr>
              <w:t>peligros naturales y crecimiento urbano</w:t>
            </w:r>
          </w:p>
        </w:tc>
        <w:tc>
          <w:tcPr>
            <w:tcW w:w="1635" w:type="dxa"/>
          </w:tcPr>
          <w:p>
            <w:pPr/>
          </w:p>
        </w:tc>
        <w:tc>
          <w:tcPr>
            <w:tcW w:w="1877" w:type="dxa"/>
          </w:tcPr>
          <w:p>
            <w:pPr>
              <w:pStyle w:val="TableParagraph"/>
              <w:spacing w:before="93"/>
              <w:ind w:left="182" w:right="183" w:hanging="4"/>
              <w:jc w:val="center"/>
              <w:rPr>
                <w:sz w:val="18"/>
              </w:rPr>
            </w:pPr>
            <w:r>
              <w:rPr>
                <w:sz w:val="18"/>
              </w:rPr>
              <w:t>ciudad de Concepción y su área metropolitana</w:t>
            </w:r>
          </w:p>
        </w:tc>
        <w:tc>
          <w:tcPr>
            <w:tcW w:w="1049" w:type="dxa"/>
          </w:tcPr>
          <w:p>
            <w:pPr/>
          </w:p>
        </w:tc>
      </w:tr>
      <w:tr>
        <w:trPr>
          <w:trHeight w:val="490" w:hRule="exact"/>
        </w:trPr>
        <w:tc>
          <w:tcPr>
            <w:tcW w:w="1032" w:type="dxa"/>
          </w:tcPr>
          <w:p>
            <w:pPr>
              <w:pStyle w:val="TableParagraph"/>
              <w:spacing w:before="4"/>
              <w:rPr>
                <w:rFonts w:ascii="Times New Roman"/>
                <w:sz w:val="23"/>
              </w:rPr>
            </w:pPr>
          </w:p>
          <w:p>
            <w:pPr>
              <w:pStyle w:val="TableParagraph"/>
              <w:ind w:left="391" w:right="391"/>
              <w:jc w:val="center"/>
              <w:rPr>
                <w:sz w:val="18"/>
              </w:rPr>
            </w:pPr>
            <w:r>
              <w:rPr>
                <w:sz w:val="18"/>
              </w:rPr>
              <w:t>29</w:t>
            </w:r>
          </w:p>
        </w:tc>
        <w:tc>
          <w:tcPr>
            <w:tcW w:w="1570" w:type="dxa"/>
          </w:tcPr>
          <w:p>
            <w:pPr>
              <w:pStyle w:val="TableParagraph"/>
              <w:spacing w:before="4"/>
              <w:rPr>
                <w:rFonts w:ascii="Times New Roman"/>
                <w:sz w:val="23"/>
              </w:rPr>
            </w:pPr>
          </w:p>
          <w:p>
            <w:pPr>
              <w:pStyle w:val="TableParagraph"/>
              <w:ind w:left="49" w:right="49"/>
              <w:jc w:val="center"/>
              <w:rPr>
                <w:sz w:val="18"/>
              </w:rPr>
            </w:pPr>
            <w:r>
              <w:rPr>
                <w:sz w:val="18"/>
              </w:rPr>
              <w:t>geografía urbana</w:t>
            </w:r>
          </w:p>
        </w:tc>
        <w:tc>
          <w:tcPr>
            <w:tcW w:w="1642" w:type="dxa"/>
          </w:tcPr>
          <w:p>
            <w:pPr>
              <w:pStyle w:val="TableParagraph"/>
              <w:spacing w:before="62"/>
              <w:ind w:left="549" w:right="89" w:hanging="447"/>
              <w:rPr>
                <w:sz w:val="18"/>
              </w:rPr>
            </w:pPr>
            <w:r>
              <w:rPr>
                <w:sz w:val="18"/>
              </w:rPr>
              <w:t>segregación de la ciudad</w:t>
            </w:r>
          </w:p>
        </w:tc>
        <w:tc>
          <w:tcPr>
            <w:tcW w:w="1635" w:type="dxa"/>
          </w:tcPr>
          <w:p>
            <w:pPr/>
          </w:p>
        </w:tc>
        <w:tc>
          <w:tcPr>
            <w:tcW w:w="1877" w:type="dxa"/>
          </w:tcPr>
          <w:p>
            <w:pPr>
              <w:pStyle w:val="TableParagraph"/>
              <w:spacing w:before="4"/>
              <w:rPr>
                <w:rFonts w:ascii="Times New Roman"/>
                <w:sz w:val="23"/>
              </w:rPr>
            </w:pPr>
          </w:p>
          <w:p>
            <w:pPr>
              <w:pStyle w:val="TableParagraph"/>
              <w:ind w:left="121" w:right="123"/>
              <w:jc w:val="center"/>
              <w:rPr>
                <w:sz w:val="18"/>
              </w:rPr>
            </w:pPr>
            <w:r>
              <w:rPr>
                <w:sz w:val="18"/>
              </w:rPr>
              <w:t>Santiago de Chile</w:t>
            </w:r>
          </w:p>
        </w:tc>
        <w:tc>
          <w:tcPr>
            <w:tcW w:w="1049" w:type="dxa"/>
          </w:tcPr>
          <w:p>
            <w:pPr/>
          </w:p>
        </w:tc>
      </w:tr>
      <w:tr>
        <w:trPr>
          <w:trHeight w:val="730" w:hRule="exact"/>
        </w:trPr>
        <w:tc>
          <w:tcPr>
            <w:tcW w:w="1032" w:type="dxa"/>
          </w:tcPr>
          <w:p>
            <w:pPr>
              <w:pStyle w:val="TableParagraph"/>
              <w:rPr>
                <w:rFonts w:ascii="Times New Roman"/>
                <w:sz w:val="18"/>
              </w:rPr>
            </w:pPr>
          </w:p>
          <w:p>
            <w:pPr>
              <w:pStyle w:val="TableParagraph"/>
              <w:spacing w:before="3"/>
              <w:rPr>
                <w:rFonts w:ascii="Times New Roman"/>
                <w:sz w:val="26"/>
              </w:rPr>
            </w:pPr>
          </w:p>
          <w:p>
            <w:pPr>
              <w:pStyle w:val="TableParagraph"/>
              <w:ind w:left="391" w:right="391"/>
              <w:jc w:val="center"/>
              <w:rPr>
                <w:sz w:val="18"/>
              </w:rPr>
            </w:pPr>
            <w:r>
              <w:rPr>
                <w:sz w:val="18"/>
              </w:rPr>
              <w:t>30</w:t>
            </w:r>
          </w:p>
        </w:tc>
        <w:tc>
          <w:tcPr>
            <w:tcW w:w="1570" w:type="dxa"/>
          </w:tcPr>
          <w:p>
            <w:pPr>
              <w:pStyle w:val="TableParagraph"/>
              <w:rPr>
                <w:rFonts w:ascii="Times New Roman"/>
                <w:sz w:val="18"/>
              </w:rPr>
            </w:pPr>
          </w:p>
          <w:p>
            <w:pPr>
              <w:pStyle w:val="TableParagraph"/>
              <w:spacing w:before="3"/>
              <w:rPr>
                <w:rFonts w:ascii="Times New Roman"/>
                <w:sz w:val="26"/>
              </w:rPr>
            </w:pPr>
          </w:p>
          <w:p>
            <w:pPr>
              <w:pStyle w:val="TableParagraph"/>
              <w:ind w:left="49" w:right="49"/>
              <w:jc w:val="center"/>
              <w:rPr>
                <w:sz w:val="18"/>
              </w:rPr>
            </w:pPr>
            <w:r>
              <w:rPr>
                <w:sz w:val="18"/>
              </w:rPr>
              <w:t>economía urbana</w:t>
            </w:r>
          </w:p>
        </w:tc>
        <w:tc>
          <w:tcPr>
            <w:tcW w:w="1642" w:type="dxa"/>
          </w:tcPr>
          <w:p>
            <w:pPr>
              <w:pStyle w:val="TableParagraph"/>
              <w:spacing w:before="96"/>
              <w:ind w:left="103" w:right="106"/>
              <w:jc w:val="center"/>
              <w:rPr>
                <w:sz w:val="18"/>
              </w:rPr>
            </w:pPr>
            <w:r>
              <w:rPr>
                <w:sz w:val="18"/>
              </w:rPr>
              <w:t>evolución de la economía metropolitana</w:t>
            </w:r>
          </w:p>
        </w:tc>
        <w:tc>
          <w:tcPr>
            <w:tcW w:w="1635" w:type="dxa"/>
          </w:tcPr>
          <w:p>
            <w:pPr/>
          </w:p>
        </w:tc>
        <w:tc>
          <w:tcPr>
            <w:tcW w:w="1877" w:type="dxa"/>
          </w:tcPr>
          <w:p>
            <w:pPr/>
          </w:p>
        </w:tc>
        <w:tc>
          <w:tcPr>
            <w:tcW w:w="1049" w:type="dxa"/>
          </w:tcPr>
          <w:p>
            <w:pPr/>
          </w:p>
        </w:tc>
      </w:tr>
    </w:tbl>
    <w:p>
      <w:pPr>
        <w:spacing w:after="0"/>
        <w:sectPr>
          <w:pgSz w:w="12240" w:h="15840"/>
          <w:pgMar w:header="0" w:footer="629" w:top="1420" w:bottom="820" w:left="158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0"/>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2"/>
        <w:gridCol w:w="1289"/>
        <w:gridCol w:w="1462"/>
        <w:gridCol w:w="2201"/>
        <w:gridCol w:w="1730"/>
        <w:gridCol w:w="1385"/>
      </w:tblGrid>
      <w:tr>
        <w:trPr>
          <w:trHeight w:val="329" w:hRule="exact"/>
        </w:trPr>
        <w:tc>
          <w:tcPr>
            <w:tcW w:w="802" w:type="dxa"/>
            <w:vMerge w:val="restart"/>
          </w:tcPr>
          <w:p>
            <w:pPr>
              <w:pStyle w:val="TableParagraph"/>
              <w:rPr>
                <w:rFonts w:ascii="Times New Roman"/>
                <w:sz w:val="18"/>
              </w:rPr>
            </w:pPr>
          </w:p>
          <w:p>
            <w:pPr>
              <w:pStyle w:val="TableParagraph"/>
              <w:rPr>
                <w:rFonts w:ascii="Times New Roman"/>
                <w:sz w:val="18"/>
              </w:rPr>
            </w:pPr>
          </w:p>
          <w:p>
            <w:pPr>
              <w:pStyle w:val="TableParagraph"/>
              <w:spacing w:before="9"/>
              <w:rPr>
                <w:rFonts w:ascii="Times New Roman"/>
                <w:sz w:val="19"/>
              </w:rPr>
            </w:pPr>
          </w:p>
          <w:p>
            <w:pPr>
              <w:pStyle w:val="TableParagraph"/>
              <w:spacing w:before="1"/>
              <w:ind w:left="64" w:right="64" w:hanging="2"/>
              <w:jc w:val="center"/>
              <w:rPr>
                <w:b/>
                <w:sz w:val="18"/>
              </w:rPr>
            </w:pPr>
            <w:r>
              <w:rPr>
                <w:b/>
                <w:sz w:val="18"/>
              </w:rPr>
              <w:t>Unidad de análisis</w:t>
            </w:r>
          </w:p>
        </w:tc>
        <w:tc>
          <w:tcPr>
            <w:tcW w:w="8068" w:type="dxa"/>
            <w:gridSpan w:val="5"/>
          </w:tcPr>
          <w:p>
            <w:pPr>
              <w:pStyle w:val="TableParagraph"/>
              <w:spacing w:before="39"/>
              <w:ind w:left="2172"/>
              <w:rPr>
                <w:b/>
                <w:sz w:val="24"/>
              </w:rPr>
            </w:pPr>
            <w:r>
              <w:rPr>
                <w:b/>
                <w:sz w:val="24"/>
              </w:rPr>
              <w:t>Sección 3. Tipo de investigación</w:t>
            </w:r>
          </w:p>
        </w:tc>
      </w:tr>
      <w:tr>
        <w:trPr>
          <w:trHeight w:val="252" w:hRule="exact"/>
        </w:trPr>
        <w:tc>
          <w:tcPr>
            <w:tcW w:w="802" w:type="dxa"/>
            <w:vMerge/>
          </w:tcPr>
          <w:p>
            <w:pPr/>
          </w:p>
        </w:tc>
        <w:tc>
          <w:tcPr>
            <w:tcW w:w="1289" w:type="dxa"/>
          </w:tcPr>
          <w:p>
            <w:pPr>
              <w:pStyle w:val="TableParagraph"/>
              <w:spacing w:before="30"/>
              <w:ind w:left="244" w:right="245"/>
              <w:jc w:val="center"/>
              <w:rPr>
                <w:b/>
                <w:sz w:val="18"/>
              </w:rPr>
            </w:pPr>
            <w:r>
              <w:rPr>
                <w:b/>
                <w:sz w:val="16"/>
              </w:rPr>
              <w:t>variable </w:t>
            </w:r>
            <w:r>
              <w:rPr>
                <w:b/>
                <w:sz w:val="18"/>
              </w:rPr>
              <w:t>1</w:t>
            </w:r>
          </w:p>
        </w:tc>
        <w:tc>
          <w:tcPr>
            <w:tcW w:w="1462" w:type="dxa"/>
          </w:tcPr>
          <w:p>
            <w:pPr>
              <w:pStyle w:val="TableParagraph"/>
              <w:spacing w:before="30"/>
              <w:ind w:left="166" w:right="166"/>
              <w:jc w:val="center"/>
              <w:rPr>
                <w:b/>
                <w:sz w:val="18"/>
              </w:rPr>
            </w:pPr>
            <w:r>
              <w:rPr>
                <w:b/>
                <w:sz w:val="16"/>
              </w:rPr>
              <w:t>variable </w:t>
            </w:r>
            <w:r>
              <w:rPr>
                <w:b/>
                <w:sz w:val="18"/>
              </w:rPr>
              <w:t>2</w:t>
            </w:r>
          </w:p>
        </w:tc>
        <w:tc>
          <w:tcPr>
            <w:tcW w:w="2201" w:type="dxa"/>
          </w:tcPr>
          <w:p>
            <w:pPr>
              <w:pStyle w:val="TableParagraph"/>
              <w:spacing w:before="30"/>
              <w:ind w:left="715" w:right="47"/>
              <w:rPr>
                <w:b/>
                <w:sz w:val="18"/>
              </w:rPr>
            </w:pPr>
            <w:r>
              <w:rPr>
                <w:b/>
                <w:sz w:val="16"/>
              </w:rPr>
              <w:t>variable </w:t>
            </w:r>
            <w:r>
              <w:rPr>
                <w:b/>
                <w:sz w:val="18"/>
              </w:rPr>
              <w:t>3</w:t>
            </w:r>
          </w:p>
        </w:tc>
        <w:tc>
          <w:tcPr>
            <w:tcW w:w="1730" w:type="dxa"/>
          </w:tcPr>
          <w:p>
            <w:pPr>
              <w:pStyle w:val="TableParagraph"/>
              <w:spacing w:before="30"/>
              <w:ind w:left="49" w:right="48"/>
              <w:jc w:val="center"/>
              <w:rPr>
                <w:b/>
                <w:sz w:val="18"/>
              </w:rPr>
            </w:pPr>
            <w:r>
              <w:rPr>
                <w:b/>
                <w:sz w:val="16"/>
              </w:rPr>
              <w:t>variable </w:t>
            </w:r>
            <w:r>
              <w:rPr>
                <w:b/>
                <w:sz w:val="18"/>
              </w:rPr>
              <w:t>4</w:t>
            </w:r>
          </w:p>
        </w:tc>
        <w:tc>
          <w:tcPr>
            <w:tcW w:w="1385" w:type="dxa"/>
          </w:tcPr>
          <w:p>
            <w:pPr>
              <w:pStyle w:val="TableParagraph"/>
              <w:spacing w:before="30"/>
              <w:ind w:left="105" w:right="103"/>
              <w:jc w:val="center"/>
              <w:rPr>
                <w:b/>
                <w:sz w:val="18"/>
              </w:rPr>
            </w:pPr>
            <w:r>
              <w:rPr>
                <w:b/>
                <w:sz w:val="16"/>
              </w:rPr>
              <w:t>variable </w:t>
            </w:r>
            <w:r>
              <w:rPr>
                <w:b/>
                <w:sz w:val="18"/>
              </w:rPr>
              <w:t>5</w:t>
            </w:r>
          </w:p>
        </w:tc>
      </w:tr>
      <w:tr>
        <w:trPr>
          <w:trHeight w:val="698" w:hRule="exact"/>
        </w:trPr>
        <w:tc>
          <w:tcPr>
            <w:tcW w:w="802" w:type="dxa"/>
            <w:vMerge/>
          </w:tcPr>
          <w:p>
            <w:pPr/>
          </w:p>
        </w:tc>
        <w:tc>
          <w:tcPr>
            <w:tcW w:w="1289" w:type="dxa"/>
          </w:tcPr>
          <w:p>
            <w:pPr>
              <w:pStyle w:val="TableParagraph"/>
              <w:spacing w:before="5"/>
              <w:rPr>
                <w:rFonts w:ascii="Times New Roman"/>
                <w:sz w:val="23"/>
              </w:rPr>
            </w:pPr>
          </w:p>
          <w:p>
            <w:pPr>
              <w:pStyle w:val="TableParagraph"/>
              <w:spacing w:before="1"/>
              <w:ind w:left="62" w:right="46" w:firstLine="254"/>
              <w:rPr>
                <w:b/>
                <w:sz w:val="18"/>
              </w:rPr>
            </w:pPr>
            <w:r>
              <w:rPr>
                <w:b/>
                <w:sz w:val="18"/>
              </w:rPr>
              <w:t>Tipo de investigación</w:t>
            </w:r>
          </w:p>
        </w:tc>
        <w:tc>
          <w:tcPr>
            <w:tcW w:w="1462" w:type="dxa"/>
          </w:tcPr>
          <w:p>
            <w:pPr>
              <w:pStyle w:val="TableParagraph"/>
              <w:spacing w:before="5"/>
              <w:rPr>
                <w:rFonts w:ascii="Times New Roman"/>
                <w:sz w:val="23"/>
              </w:rPr>
            </w:pPr>
          </w:p>
          <w:p>
            <w:pPr>
              <w:pStyle w:val="TableParagraph"/>
              <w:spacing w:before="1"/>
              <w:ind w:left="64" w:right="48" w:firstLine="444"/>
              <w:rPr>
                <w:b/>
                <w:sz w:val="18"/>
              </w:rPr>
            </w:pPr>
            <w:r>
              <w:rPr>
                <w:b/>
                <w:sz w:val="18"/>
              </w:rPr>
              <w:t>Nivel epistemológico</w:t>
            </w:r>
          </w:p>
        </w:tc>
        <w:tc>
          <w:tcPr>
            <w:tcW w:w="2201" w:type="dxa"/>
          </w:tcPr>
          <w:p>
            <w:pPr>
              <w:pStyle w:val="TableParagraph"/>
              <w:spacing w:before="5"/>
              <w:rPr>
                <w:rFonts w:ascii="Times New Roman"/>
                <w:sz w:val="23"/>
              </w:rPr>
            </w:pPr>
          </w:p>
          <w:p>
            <w:pPr>
              <w:pStyle w:val="TableParagraph"/>
              <w:spacing w:before="1"/>
              <w:ind w:left="64" w:right="47" w:firstLine="196"/>
              <w:rPr>
                <w:b/>
                <w:sz w:val="18"/>
              </w:rPr>
            </w:pPr>
            <w:r>
              <w:rPr>
                <w:b/>
                <w:sz w:val="18"/>
              </w:rPr>
              <w:t>Nivel metodológico (nomotético/idiográfico)</w:t>
            </w:r>
          </w:p>
        </w:tc>
        <w:tc>
          <w:tcPr>
            <w:tcW w:w="1730" w:type="dxa"/>
          </w:tcPr>
          <w:p>
            <w:pPr>
              <w:pStyle w:val="TableParagraph"/>
              <w:rPr>
                <w:rFonts w:ascii="Times New Roman"/>
                <w:sz w:val="18"/>
              </w:rPr>
            </w:pPr>
          </w:p>
          <w:p>
            <w:pPr>
              <w:pStyle w:val="TableParagraph"/>
              <w:spacing w:before="5"/>
              <w:rPr>
                <w:rFonts w:ascii="Times New Roman"/>
                <w:sz w:val="23"/>
              </w:rPr>
            </w:pPr>
          </w:p>
          <w:p>
            <w:pPr>
              <w:pStyle w:val="TableParagraph"/>
              <w:ind w:left="48" w:right="49"/>
              <w:jc w:val="center"/>
              <w:rPr>
                <w:b/>
                <w:sz w:val="18"/>
              </w:rPr>
            </w:pPr>
            <w:r>
              <w:rPr>
                <w:b/>
                <w:sz w:val="18"/>
              </w:rPr>
              <w:t>Corriente teórica</w:t>
            </w:r>
          </w:p>
        </w:tc>
        <w:tc>
          <w:tcPr>
            <w:tcW w:w="1385" w:type="dxa"/>
          </w:tcPr>
          <w:p>
            <w:pPr>
              <w:pStyle w:val="TableParagraph"/>
              <w:spacing w:before="61"/>
              <w:ind w:left="105" w:right="106"/>
              <w:jc w:val="center"/>
              <w:rPr>
                <w:b/>
                <w:sz w:val="18"/>
              </w:rPr>
            </w:pPr>
            <w:r>
              <w:rPr>
                <w:b/>
                <w:sz w:val="18"/>
              </w:rPr>
              <w:t>Ámbito disciplinar de teoría</w:t>
            </w:r>
          </w:p>
        </w:tc>
      </w:tr>
      <w:tr>
        <w:trPr>
          <w:trHeight w:val="497" w:hRule="exact"/>
        </w:trPr>
        <w:tc>
          <w:tcPr>
            <w:tcW w:w="802" w:type="dxa"/>
          </w:tcPr>
          <w:p>
            <w:pPr>
              <w:pStyle w:val="TableParagraph"/>
              <w:spacing w:before="4"/>
              <w:rPr>
                <w:rFonts w:ascii="Times New Roman"/>
                <w:sz w:val="24"/>
              </w:rPr>
            </w:pPr>
          </w:p>
          <w:p>
            <w:pPr>
              <w:pStyle w:val="TableParagraph"/>
              <w:ind w:right="3"/>
              <w:jc w:val="center"/>
              <w:rPr>
                <w:sz w:val="18"/>
              </w:rPr>
            </w:pPr>
            <w:r>
              <w:rPr>
                <w:w w:val="99"/>
                <w:sz w:val="18"/>
              </w:rPr>
              <w:t>1</w:t>
            </w:r>
          </w:p>
        </w:tc>
        <w:tc>
          <w:tcPr>
            <w:tcW w:w="1289" w:type="dxa"/>
          </w:tcPr>
          <w:p>
            <w:pPr>
              <w:pStyle w:val="TableParagraph"/>
              <w:spacing w:before="4"/>
              <w:rPr>
                <w:rFonts w:ascii="Times New Roman"/>
                <w:sz w:val="24"/>
              </w:rPr>
            </w:pPr>
          </w:p>
          <w:p>
            <w:pPr>
              <w:pStyle w:val="TableParagraph"/>
              <w:ind w:left="244" w:right="245"/>
              <w:jc w:val="center"/>
              <w:rPr>
                <w:sz w:val="18"/>
              </w:rPr>
            </w:pPr>
            <w:r>
              <w:rPr>
                <w:sz w:val="18"/>
              </w:rPr>
              <w:t>Empírica</w:t>
            </w:r>
          </w:p>
        </w:tc>
        <w:tc>
          <w:tcPr>
            <w:tcW w:w="1462" w:type="dxa"/>
          </w:tcPr>
          <w:p>
            <w:pPr>
              <w:pStyle w:val="TableParagraph"/>
              <w:spacing w:before="4"/>
              <w:rPr>
                <w:rFonts w:ascii="Times New Roman"/>
                <w:sz w:val="24"/>
              </w:rPr>
            </w:pPr>
          </w:p>
          <w:p>
            <w:pPr>
              <w:pStyle w:val="TableParagraph"/>
              <w:ind w:left="165" w:right="166"/>
              <w:jc w:val="center"/>
              <w:rPr>
                <w:sz w:val="18"/>
              </w:rPr>
            </w:pPr>
            <w:r>
              <w:rPr>
                <w:sz w:val="18"/>
              </w:rPr>
              <w:t>Positivista</w:t>
            </w:r>
          </w:p>
        </w:tc>
        <w:tc>
          <w:tcPr>
            <w:tcW w:w="2201" w:type="dxa"/>
          </w:tcPr>
          <w:p>
            <w:pPr>
              <w:pStyle w:val="TableParagraph"/>
              <w:spacing w:before="4"/>
              <w:rPr>
                <w:rFonts w:ascii="Times New Roman"/>
                <w:sz w:val="24"/>
              </w:rPr>
            </w:pPr>
          </w:p>
          <w:p>
            <w:pPr>
              <w:pStyle w:val="TableParagraph"/>
              <w:ind w:left="652" w:right="47"/>
              <w:rPr>
                <w:sz w:val="18"/>
              </w:rPr>
            </w:pPr>
            <w:r>
              <w:rPr>
                <w:sz w:val="18"/>
              </w:rPr>
              <w:t>nomotético</w:t>
            </w:r>
          </w:p>
        </w:tc>
        <w:tc>
          <w:tcPr>
            <w:tcW w:w="1730" w:type="dxa"/>
          </w:tcPr>
          <w:p>
            <w:pPr>
              <w:pStyle w:val="TableParagraph"/>
              <w:spacing w:before="71"/>
              <w:ind w:left="69" w:right="66" w:firstLine="283"/>
              <w:rPr>
                <w:sz w:val="18"/>
              </w:rPr>
            </w:pPr>
            <w:r>
              <w:rPr>
                <w:sz w:val="18"/>
              </w:rPr>
              <w:t>Segregación espacial-residencial</w:t>
            </w:r>
          </w:p>
        </w:tc>
        <w:tc>
          <w:tcPr>
            <w:tcW w:w="1385" w:type="dxa"/>
          </w:tcPr>
          <w:p>
            <w:pPr/>
          </w:p>
        </w:tc>
      </w:tr>
      <w:tr>
        <w:trPr>
          <w:trHeight w:val="497" w:hRule="exact"/>
        </w:trPr>
        <w:tc>
          <w:tcPr>
            <w:tcW w:w="802" w:type="dxa"/>
          </w:tcPr>
          <w:p>
            <w:pPr>
              <w:pStyle w:val="TableParagraph"/>
              <w:spacing w:before="2"/>
              <w:rPr>
                <w:rFonts w:ascii="Times New Roman"/>
                <w:sz w:val="24"/>
              </w:rPr>
            </w:pPr>
          </w:p>
          <w:p>
            <w:pPr>
              <w:pStyle w:val="TableParagraph"/>
              <w:ind w:right="3"/>
              <w:jc w:val="center"/>
              <w:rPr>
                <w:sz w:val="18"/>
              </w:rPr>
            </w:pPr>
            <w:r>
              <w:rPr>
                <w:w w:val="99"/>
                <w:sz w:val="18"/>
              </w:rPr>
              <w:t>2</w:t>
            </w:r>
          </w:p>
        </w:tc>
        <w:tc>
          <w:tcPr>
            <w:tcW w:w="1289" w:type="dxa"/>
          </w:tcPr>
          <w:p>
            <w:pPr>
              <w:pStyle w:val="TableParagraph"/>
              <w:spacing w:before="2"/>
              <w:rPr>
                <w:rFonts w:ascii="Times New Roman"/>
                <w:sz w:val="24"/>
              </w:rPr>
            </w:pPr>
          </w:p>
          <w:p>
            <w:pPr>
              <w:pStyle w:val="TableParagraph"/>
              <w:ind w:left="244" w:right="245"/>
              <w:jc w:val="center"/>
              <w:rPr>
                <w:sz w:val="18"/>
              </w:rPr>
            </w:pPr>
            <w:r>
              <w:rPr>
                <w:sz w:val="18"/>
              </w:rPr>
              <w:t>Empírica</w:t>
            </w:r>
          </w:p>
        </w:tc>
        <w:tc>
          <w:tcPr>
            <w:tcW w:w="1462" w:type="dxa"/>
          </w:tcPr>
          <w:p>
            <w:pPr>
              <w:pStyle w:val="TableParagraph"/>
              <w:spacing w:before="2"/>
              <w:rPr>
                <w:rFonts w:ascii="Times New Roman"/>
                <w:sz w:val="24"/>
              </w:rPr>
            </w:pPr>
          </w:p>
          <w:p>
            <w:pPr>
              <w:pStyle w:val="TableParagraph"/>
              <w:ind w:left="165" w:right="166"/>
              <w:jc w:val="center"/>
              <w:rPr>
                <w:sz w:val="18"/>
              </w:rPr>
            </w:pPr>
            <w:r>
              <w:rPr>
                <w:sz w:val="18"/>
              </w:rPr>
              <w:t>Positivista</w:t>
            </w:r>
          </w:p>
        </w:tc>
        <w:tc>
          <w:tcPr>
            <w:tcW w:w="2201" w:type="dxa"/>
          </w:tcPr>
          <w:p>
            <w:pPr>
              <w:pStyle w:val="TableParagraph"/>
              <w:spacing w:before="2"/>
              <w:rPr>
                <w:rFonts w:ascii="Times New Roman"/>
                <w:sz w:val="24"/>
              </w:rPr>
            </w:pPr>
          </w:p>
          <w:p>
            <w:pPr>
              <w:pStyle w:val="TableParagraph"/>
              <w:ind w:left="652" w:right="47"/>
              <w:rPr>
                <w:sz w:val="18"/>
              </w:rPr>
            </w:pPr>
            <w:r>
              <w:rPr>
                <w:sz w:val="18"/>
              </w:rPr>
              <w:t>nomotético</w:t>
            </w:r>
          </w:p>
        </w:tc>
        <w:tc>
          <w:tcPr>
            <w:tcW w:w="1730" w:type="dxa"/>
          </w:tcPr>
          <w:p>
            <w:pPr>
              <w:pStyle w:val="TableParagraph"/>
              <w:spacing w:before="71"/>
              <w:ind w:left="69" w:right="66" w:firstLine="283"/>
              <w:rPr>
                <w:sz w:val="18"/>
              </w:rPr>
            </w:pPr>
            <w:r>
              <w:rPr>
                <w:sz w:val="18"/>
              </w:rPr>
              <w:t>Segregación espacial-residencial</w:t>
            </w:r>
          </w:p>
        </w:tc>
        <w:tc>
          <w:tcPr>
            <w:tcW w:w="1385" w:type="dxa"/>
          </w:tcPr>
          <w:p>
            <w:pPr/>
          </w:p>
        </w:tc>
      </w:tr>
      <w:tr>
        <w:trPr>
          <w:trHeight w:val="494" w:hRule="exact"/>
        </w:trPr>
        <w:tc>
          <w:tcPr>
            <w:tcW w:w="802" w:type="dxa"/>
          </w:tcPr>
          <w:p>
            <w:pPr>
              <w:pStyle w:val="TableParagraph"/>
              <w:spacing w:before="1"/>
              <w:rPr>
                <w:rFonts w:ascii="Times New Roman"/>
                <w:sz w:val="24"/>
              </w:rPr>
            </w:pPr>
          </w:p>
          <w:p>
            <w:pPr>
              <w:pStyle w:val="TableParagraph"/>
              <w:ind w:right="3"/>
              <w:jc w:val="center"/>
              <w:rPr>
                <w:sz w:val="18"/>
              </w:rPr>
            </w:pPr>
            <w:r>
              <w:rPr>
                <w:w w:val="99"/>
                <w:sz w:val="18"/>
              </w:rPr>
              <w:t>3</w:t>
            </w:r>
          </w:p>
        </w:tc>
        <w:tc>
          <w:tcPr>
            <w:tcW w:w="1289" w:type="dxa"/>
          </w:tcPr>
          <w:p>
            <w:pPr>
              <w:pStyle w:val="TableParagraph"/>
              <w:spacing w:before="71"/>
              <w:ind w:left="201" w:right="187" w:firstLine="134"/>
              <w:rPr>
                <w:sz w:val="18"/>
              </w:rPr>
            </w:pPr>
            <w:r>
              <w:rPr>
                <w:sz w:val="18"/>
              </w:rPr>
              <w:t>Teórica conceptual</w:t>
            </w:r>
          </w:p>
        </w:tc>
        <w:tc>
          <w:tcPr>
            <w:tcW w:w="1462" w:type="dxa"/>
          </w:tcPr>
          <w:p>
            <w:pPr>
              <w:pStyle w:val="TableParagraph"/>
              <w:spacing w:before="1"/>
              <w:rPr>
                <w:rFonts w:ascii="Times New Roman"/>
                <w:sz w:val="24"/>
              </w:rPr>
            </w:pPr>
          </w:p>
          <w:p>
            <w:pPr>
              <w:pStyle w:val="TableParagraph"/>
              <w:ind w:left="165" w:right="166"/>
              <w:jc w:val="center"/>
              <w:rPr>
                <w:sz w:val="18"/>
              </w:rPr>
            </w:pPr>
            <w:r>
              <w:rPr>
                <w:sz w:val="18"/>
              </w:rPr>
              <w:t>Positivista</w:t>
            </w:r>
          </w:p>
        </w:tc>
        <w:tc>
          <w:tcPr>
            <w:tcW w:w="2201" w:type="dxa"/>
          </w:tcPr>
          <w:p>
            <w:pPr>
              <w:pStyle w:val="TableParagraph"/>
              <w:spacing w:before="1"/>
              <w:rPr>
                <w:rFonts w:ascii="Times New Roman"/>
                <w:sz w:val="24"/>
              </w:rPr>
            </w:pPr>
          </w:p>
          <w:p>
            <w:pPr>
              <w:pStyle w:val="TableParagraph"/>
              <w:ind w:left="652" w:right="47"/>
              <w:rPr>
                <w:sz w:val="18"/>
              </w:rPr>
            </w:pPr>
            <w:r>
              <w:rPr>
                <w:sz w:val="18"/>
              </w:rPr>
              <w:t>nomotético</w:t>
            </w:r>
          </w:p>
        </w:tc>
        <w:tc>
          <w:tcPr>
            <w:tcW w:w="1730" w:type="dxa"/>
          </w:tcPr>
          <w:p>
            <w:pPr>
              <w:pStyle w:val="TableParagraph"/>
              <w:spacing w:before="71"/>
              <w:ind w:left="69" w:right="66" w:firstLine="283"/>
              <w:rPr>
                <w:sz w:val="18"/>
              </w:rPr>
            </w:pPr>
            <w:r>
              <w:rPr>
                <w:sz w:val="18"/>
              </w:rPr>
              <w:t>Segregación espacial-residencial</w:t>
            </w:r>
          </w:p>
        </w:tc>
        <w:tc>
          <w:tcPr>
            <w:tcW w:w="1385" w:type="dxa"/>
          </w:tcPr>
          <w:p>
            <w:pPr/>
          </w:p>
        </w:tc>
      </w:tr>
      <w:tr>
        <w:trPr>
          <w:trHeight w:val="497" w:hRule="exact"/>
        </w:trPr>
        <w:tc>
          <w:tcPr>
            <w:tcW w:w="802" w:type="dxa"/>
          </w:tcPr>
          <w:p>
            <w:pPr>
              <w:pStyle w:val="TableParagraph"/>
              <w:spacing w:before="4"/>
              <w:rPr>
                <w:rFonts w:ascii="Times New Roman"/>
                <w:sz w:val="24"/>
              </w:rPr>
            </w:pPr>
          </w:p>
          <w:p>
            <w:pPr>
              <w:pStyle w:val="TableParagraph"/>
              <w:ind w:right="3"/>
              <w:jc w:val="center"/>
              <w:rPr>
                <w:sz w:val="18"/>
              </w:rPr>
            </w:pPr>
            <w:r>
              <w:rPr>
                <w:w w:val="99"/>
                <w:sz w:val="18"/>
              </w:rPr>
              <w:t>4</w:t>
            </w:r>
          </w:p>
        </w:tc>
        <w:tc>
          <w:tcPr>
            <w:tcW w:w="1289" w:type="dxa"/>
          </w:tcPr>
          <w:p>
            <w:pPr>
              <w:pStyle w:val="TableParagraph"/>
              <w:spacing w:before="4"/>
              <w:rPr>
                <w:rFonts w:ascii="Times New Roman"/>
                <w:sz w:val="24"/>
              </w:rPr>
            </w:pPr>
          </w:p>
          <w:p>
            <w:pPr>
              <w:pStyle w:val="TableParagraph"/>
              <w:ind w:left="244" w:right="245"/>
              <w:jc w:val="center"/>
              <w:rPr>
                <w:sz w:val="18"/>
              </w:rPr>
            </w:pPr>
            <w:r>
              <w:rPr>
                <w:sz w:val="18"/>
              </w:rPr>
              <w:t>Empírica</w:t>
            </w:r>
          </w:p>
        </w:tc>
        <w:tc>
          <w:tcPr>
            <w:tcW w:w="1462" w:type="dxa"/>
          </w:tcPr>
          <w:p>
            <w:pPr>
              <w:pStyle w:val="TableParagraph"/>
              <w:spacing w:before="4"/>
              <w:rPr>
                <w:rFonts w:ascii="Times New Roman"/>
                <w:sz w:val="24"/>
              </w:rPr>
            </w:pPr>
          </w:p>
          <w:p>
            <w:pPr>
              <w:pStyle w:val="TableParagraph"/>
              <w:ind w:left="165" w:right="166"/>
              <w:jc w:val="center"/>
              <w:rPr>
                <w:sz w:val="18"/>
              </w:rPr>
            </w:pPr>
            <w:r>
              <w:rPr>
                <w:sz w:val="18"/>
              </w:rPr>
              <w:t>positivista</w:t>
            </w:r>
          </w:p>
        </w:tc>
        <w:tc>
          <w:tcPr>
            <w:tcW w:w="2201" w:type="dxa"/>
          </w:tcPr>
          <w:p>
            <w:pPr>
              <w:pStyle w:val="TableParagraph"/>
              <w:spacing w:before="4"/>
              <w:rPr>
                <w:rFonts w:ascii="Times New Roman"/>
                <w:sz w:val="24"/>
              </w:rPr>
            </w:pPr>
          </w:p>
          <w:p>
            <w:pPr>
              <w:pStyle w:val="TableParagraph"/>
              <w:ind w:left="652" w:right="47"/>
              <w:rPr>
                <w:sz w:val="18"/>
              </w:rPr>
            </w:pPr>
            <w:r>
              <w:rPr>
                <w:sz w:val="18"/>
              </w:rPr>
              <w:t>nomotético</w:t>
            </w:r>
          </w:p>
        </w:tc>
        <w:tc>
          <w:tcPr>
            <w:tcW w:w="1730" w:type="dxa"/>
          </w:tcPr>
          <w:p>
            <w:pPr>
              <w:pStyle w:val="TableParagraph"/>
              <w:spacing w:before="71"/>
              <w:ind w:left="69" w:right="66" w:firstLine="283"/>
              <w:rPr>
                <w:sz w:val="18"/>
              </w:rPr>
            </w:pPr>
            <w:r>
              <w:rPr>
                <w:sz w:val="18"/>
              </w:rPr>
              <w:t>Segregación espacial-residencial</w:t>
            </w:r>
          </w:p>
        </w:tc>
        <w:tc>
          <w:tcPr>
            <w:tcW w:w="1385" w:type="dxa"/>
          </w:tcPr>
          <w:p>
            <w:pPr>
              <w:pStyle w:val="TableParagraph"/>
              <w:spacing w:before="4"/>
              <w:rPr>
                <w:rFonts w:ascii="Times New Roman"/>
                <w:sz w:val="24"/>
              </w:rPr>
            </w:pPr>
          </w:p>
          <w:p>
            <w:pPr>
              <w:pStyle w:val="TableParagraph"/>
              <w:ind w:left="105" w:right="104"/>
              <w:jc w:val="center"/>
              <w:rPr>
                <w:sz w:val="18"/>
              </w:rPr>
            </w:pPr>
            <w:r>
              <w:rPr>
                <w:sz w:val="18"/>
              </w:rPr>
              <w:t>economía</w:t>
            </w:r>
          </w:p>
        </w:tc>
      </w:tr>
      <w:tr>
        <w:trPr>
          <w:trHeight w:val="497" w:hRule="exact"/>
        </w:trPr>
        <w:tc>
          <w:tcPr>
            <w:tcW w:w="802" w:type="dxa"/>
          </w:tcPr>
          <w:p>
            <w:pPr>
              <w:pStyle w:val="TableParagraph"/>
              <w:spacing w:before="1"/>
              <w:rPr>
                <w:rFonts w:ascii="Times New Roman"/>
                <w:sz w:val="24"/>
              </w:rPr>
            </w:pPr>
          </w:p>
          <w:p>
            <w:pPr>
              <w:pStyle w:val="TableParagraph"/>
              <w:ind w:right="3"/>
              <w:jc w:val="center"/>
              <w:rPr>
                <w:sz w:val="18"/>
              </w:rPr>
            </w:pPr>
            <w:r>
              <w:rPr>
                <w:w w:val="99"/>
                <w:sz w:val="18"/>
              </w:rPr>
              <w:t>5</w:t>
            </w:r>
          </w:p>
        </w:tc>
        <w:tc>
          <w:tcPr>
            <w:tcW w:w="1289" w:type="dxa"/>
          </w:tcPr>
          <w:p>
            <w:pPr>
              <w:pStyle w:val="TableParagraph"/>
              <w:spacing w:before="1"/>
              <w:rPr>
                <w:rFonts w:ascii="Times New Roman"/>
                <w:sz w:val="24"/>
              </w:rPr>
            </w:pPr>
          </w:p>
          <w:p>
            <w:pPr>
              <w:pStyle w:val="TableParagraph"/>
              <w:ind w:left="244" w:right="245"/>
              <w:jc w:val="center"/>
              <w:rPr>
                <w:sz w:val="18"/>
              </w:rPr>
            </w:pPr>
            <w:r>
              <w:rPr>
                <w:sz w:val="18"/>
              </w:rPr>
              <w:t>Empírica</w:t>
            </w:r>
          </w:p>
        </w:tc>
        <w:tc>
          <w:tcPr>
            <w:tcW w:w="1462" w:type="dxa"/>
          </w:tcPr>
          <w:p>
            <w:pPr>
              <w:pStyle w:val="TableParagraph"/>
              <w:spacing w:before="1"/>
              <w:rPr>
                <w:rFonts w:ascii="Times New Roman"/>
                <w:sz w:val="24"/>
              </w:rPr>
            </w:pPr>
          </w:p>
          <w:p>
            <w:pPr>
              <w:pStyle w:val="TableParagraph"/>
              <w:ind w:left="165" w:right="166"/>
              <w:jc w:val="center"/>
              <w:rPr>
                <w:sz w:val="18"/>
              </w:rPr>
            </w:pPr>
            <w:r>
              <w:rPr>
                <w:sz w:val="18"/>
              </w:rPr>
              <w:t>positivista</w:t>
            </w:r>
          </w:p>
        </w:tc>
        <w:tc>
          <w:tcPr>
            <w:tcW w:w="2201" w:type="dxa"/>
          </w:tcPr>
          <w:p>
            <w:pPr>
              <w:pStyle w:val="TableParagraph"/>
              <w:spacing w:before="1"/>
              <w:rPr>
                <w:rFonts w:ascii="Times New Roman"/>
                <w:sz w:val="24"/>
              </w:rPr>
            </w:pPr>
          </w:p>
          <w:p>
            <w:pPr>
              <w:pStyle w:val="TableParagraph"/>
              <w:ind w:left="652" w:right="47"/>
              <w:rPr>
                <w:sz w:val="18"/>
              </w:rPr>
            </w:pPr>
            <w:r>
              <w:rPr>
                <w:sz w:val="18"/>
              </w:rPr>
              <w:t>nomotético</w:t>
            </w:r>
          </w:p>
        </w:tc>
        <w:tc>
          <w:tcPr>
            <w:tcW w:w="1730" w:type="dxa"/>
          </w:tcPr>
          <w:p>
            <w:pPr>
              <w:pStyle w:val="TableParagraph"/>
              <w:spacing w:before="71"/>
              <w:ind w:left="69" w:right="66" w:firstLine="283"/>
              <w:rPr>
                <w:sz w:val="18"/>
              </w:rPr>
            </w:pPr>
            <w:r>
              <w:rPr>
                <w:sz w:val="18"/>
              </w:rPr>
              <w:t>Segregación espacial-residencial</w:t>
            </w:r>
          </w:p>
        </w:tc>
        <w:tc>
          <w:tcPr>
            <w:tcW w:w="1385" w:type="dxa"/>
          </w:tcPr>
          <w:p>
            <w:pPr/>
          </w:p>
        </w:tc>
      </w:tr>
      <w:tr>
        <w:trPr>
          <w:trHeight w:val="494" w:hRule="exact"/>
        </w:trPr>
        <w:tc>
          <w:tcPr>
            <w:tcW w:w="802" w:type="dxa"/>
          </w:tcPr>
          <w:p>
            <w:pPr>
              <w:pStyle w:val="TableParagraph"/>
              <w:spacing w:before="1"/>
              <w:rPr>
                <w:rFonts w:ascii="Times New Roman"/>
                <w:sz w:val="24"/>
              </w:rPr>
            </w:pPr>
          </w:p>
          <w:p>
            <w:pPr>
              <w:pStyle w:val="TableParagraph"/>
              <w:ind w:right="3"/>
              <w:jc w:val="center"/>
              <w:rPr>
                <w:sz w:val="18"/>
              </w:rPr>
            </w:pPr>
            <w:r>
              <w:rPr>
                <w:w w:val="99"/>
                <w:sz w:val="18"/>
              </w:rPr>
              <w:t>6</w:t>
            </w:r>
          </w:p>
        </w:tc>
        <w:tc>
          <w:tcPr>
            <w:tcW w:w="1289" w:type="dxa"/>
          </w:tcPr>
          <w:p>
            <w:pPr>
              <w:pStyle w:val="TableParagraph"/>
              <w:spacing w:before="71"/>
              <w:ind w:left="201" w:right="187" w:firstLine="134"/>
              <w:rPr>
                <w:sz w:val="18"/>
              </w:rPr>
            </w:pPr>
            <w:r>
              <w:rPr>
                <w:sz w:val="18"/>
              </w:rPr>
              <w:t>Teórica conceptual</w:t>
            </w:r>
          </w:p>
        </w:tc>
        <w:tc>
          <w:tcPr>
            <w:tcW w:w="1462" w:type="dxa"/>
          </w:tcPr>
          <w:p>
            <w:pPr>
              <w:pStyle w:val="TableParagraph"/>
              <w:spacing w:before="1"/>
              <w:rPr>
                <w:rFonts w:ascii="Times New Roman"/>
                <w:sz w:val="24"/>
              </w:rPr>
            </w:pPr>
          </w:p>
          <w:p>
            <w:pPr>
              <w:pStyle w:val="TableParagraph"/>
              <w:ind w:left="166" w:right="166"/>
              <w:jc w:val="center"/>
              <w:rPr>
                <w:sz w:val="18"/>
              </w:rPr>
            </w:pPr>
            <w:r>
              <w:rPr>
                <w:sz w:val="18"/>
              </w:rPr>
              <w:t>pospositivista</w:t>
            </w:r>
          </w:p>
        </w:tc>
        <w:tc>
          <w:tcPr>
            <w:tcW w:w="2201" w:type="dxa"/>
          </w:tcPr>
          <w:p>
            <w:pPr>
              <w:pStyle w:val="TableParagraph"/>
              <w:spacing w:before="1"/>
              <w:rPr>
                <w:rFonts w:ascii="Times New Roman"/>
                <w:sz w:val="24"/>
              </w:rPr>
            </w:pPr>
          </w:p>
          <w:p>
            <w:pPr>
              <w:pStyle w:val="TableParagraph"/>
              <w:ind w:left="683" w:right="47"/>
              <w:rPr>
                <w:sz w:val="18"/>
              </w:rPr>
            </w:pPr>
            <w:r>
              <w:rPr>
                <w:sz w:val="18"/>
              </w:rPr>
              <w:t>idiográfico</w:t>
            </w:r>
          </w:p>
        </w:tc>
        <w:tc>
          <w:tcPr>
            <w:tcW w:w="1730" w:type="dxa"/>
          </w:tcPr>
          <w:p>
            <w:pPr>
              <w:pStyle w:val="TableParagraph"/>
              <w:spacing w:before="1"/>
              <w:rPr>
                <w:rFonts w:ascii="Times New Roman"/>
                <w:sz w:val="24"/>
              </w:rPr>
            </w:pPr>
          </w:p>
          <w:p>
            <w:pPr>
              <w:pStyle w:val="TableParagraph"/>
              <w:ind w:left="49" w:right="49"/>
              <w:jc w:val="center"/>
              <w:rPr>
                <w:sz w:val="18"/>
              </w:rPr>
            </w:pPr>
            <w:r>
              <w:rPr>
                <w:sz w:val="18"/>
              </w:rPr>
              <w:t>desarrollo territorial</w:t>
            </w:r>
          </w:p>
        </w:tc>
        <w:tc>
          <w:tcPr>
            <w:tcW w:w="1385" w:type="dxa"/>
          </w:tcPr>
          <w:p>
            <w:pPr>
              <w:pStyle w:val="TableParagraph"/>
              <w:spacing w:before="1"/>
              <w:rPr>
                <w:rFonts w:ascii="Times New Roman"/>
                <w:sz w:val="24"/>
              </w:rPr>
            </w:pPr>
          </w:p>
          <w:p>
            <w:pPr>
              <w:pStyle w:val="TableParagraph"/>
              <w:ind w:left="105" w:right="105"/>
              <w:jc w:val="center"/>
              <w:rPr>
                <w:sz w:val="18"/>
              </w:rPr>
            </w:pPr>
            <w:r>
              <w:rPr>
                <w:sz w:val="18"/>
              </w:rPr>
              <w:t>econonomía</w:t>
            </w:r>
          </w:p>
        </w:tc>
      </w:tr>
      <w:tr>
        <w:trPr>
          <w:trHeight w:val="497" w:hRule="exact"/>
        </w:trPr>
        <w:tc>
          <w:tcPr>
            <w:tcW w:w="802" w:type="dxa"/>
          </w:tcPr>
          <w:p>
            <w:pPr>
              <w:pStyle w:val="TableParagraph"/>
              <w:spacing w:before="4"/>
              <w:rPr>
                <w:rFonts w:ascii="Times New Roman"/>
                <w:sz w:val="24"/>
              </w:rPr>
            </w:pPr>
          </w:p>
          <w:p>
            <w:pPr>
              <w:pStyle w:val="TableParagraph"/>
              <w:ind w:right="3"/>
              <w:jc w:val="center"/>
              <w:rPr>
                <w:sz w:val="18"/>
              </w:rPr>
            </w:pPr>
            <w:r>
              <w:rPr>
                <w:w w:val="99"/>
                <w:sz w:val="18"/>
              </w:rPr>
              <w:t>7</w:t>
            </w:r>
          </w:p>
        </w:tc>
        <w:tc>
          <w:tcPr>
            <w:tcW w:w="1289" w:type="dxa"/>
          </w:tcPr>
          <w:p>
            <w:pPr>
              <w:pStyle w:val="TableParagraph"/>
              <w:spacing w:before="71"/>
              <w:ind w:left="201" w:right="187" w:firstLine="134"/>
              <w:rPr>
                <w:sz w:val="18"/>
              </w:rPr>
            </w:pPr>
            <w:r>
              <w:rPr>
                <w:sz w:val="18"/>
              </w:rPr>
              <w:t>Teórica conceptual</w:t>
            </w:r>
          </w:p>
        </w:tc>
        <w:tc>
          <w:tcPr>
            <w:tcW w:w="1462" w:type="dxa"/>
          </w:tcPr>
          <w:p>
            <w:pPr>
              <w:pStyle w:val="TableParagraph"/>
              <w:spacing w:before="4"/>
              <w:rPr>
                <w:rFonts w:ascii="Times New Roman"/>
                <w:sz w:val="24"/>
              </w:rPr>
            </w:pPr>
          </w:p>
          <w:p>
            <w:pPr>
              <w:pStyle w:val="TableParagraph"/>
              <w:ind w:left="165" w:right="166"/>
              <w:jc w:val="center"/>
              <w:rPr>
                <w:sz w:val="18"/>
              </w:rPr>
            </w:pPr>
            <w:r>
              <w:rPr>
                <w:sz w:val="18"/>
              </w:rPr>
              <w:t>positivista</w:t>
            </w:r>
          </w:p>
        </w:tc>
        <w:tc>
          <w:tcPr>
            <w:tcW w:w="2201" w:type="dxa"/>
          </w:tcPr>
          <w:p>
            <w:pPr>
              <w:pStyle w:val="TableParagraph"/>
              <w:spacing w:before="4"/>
              <w:rPr>
                <w:rFonts w:ascii="Times New Roman"/>
                <w:sz w:val="24"/>
              </w:rPr>
            </w:pPr>
          </w:p>
          <w:p>
            <w:pPr>
              <w:pStyle w:val="TableParagraph"/>
              <w:ind w:left="652" w:right="47"/>
              <w:rPr>
                <w:sz w:val="18"/>
              </w:rPr>
            </w:pPr>
            <w:r>
              <w:rPr>
                <w:sz w:val="18"/>
              </w:rPr>
              <w:t>nomotético</w:t>
            </w:r>
          </w:p>
        </w:tc>
        <w:tc>
          <w:tcPr>
            <w:tcW w:w="1730" w:type="dxa"/>
          </w:tcPr>
          <w:p>
            <w:pPr>
              <w:pStyle w:val="TableParagraph"/>
              <w:spacing w:before="4"/>
              <w:rPr>
                <w:rFonts w:ascii="Times New Roman"/>
                <w:sz w:val="24"/>
              </w:rPr>
            </w:pPr>
          </w:p>
          <w:p>
            <w:pPr>
              <w:pStyle w:val="TableParagraph"/>
              <w:ind w:left="49" w:right="49"/>
              <w:jc w:val="center"/>
              <w:rPr>
                <w:sz w:val="18"/>
              </w:rPr>
            </w:pPr>
            <w:r>
              <w:rPr>
                <w:sz w:val="18"/>
              </w:rPr>
              <w:t>desarrollo territorial</w:t>
            </w:r>
          </w:p>
        </w:tc>
        <w:tc>
          <w:tcPr>
            <w:tcW w:w="1385" w:type="dxa"/>
          </w:tcPr>
          <w:p>
            <w:pPr/>
          </w:p>
        </w:tc>
      </w:tr>
      <w:tr>
        <w:trPr>
          <w:trHeight w:val="497" w:hRule="exact"/>
        </w:trPr>
        <w:tc>
          <w:tcPr>
            <w:tcW w:w="802" w:type="dxa"/>
          </w:tcPr>
          <w:p>
            <w:pPr>
              <w:pStyle w:val="TableParagraph"/>
              <w:spacing w:before="1"/>
              <w:rPr>
                <w:rFonts w:ascii="Times New Roman"/>
                <w:sz w:val="24"/>
              </w:rPr>
            </w:pPr>
          </w:p>
          <w:p>
            <w:pPr>
              <w:pStyle w:val="TableParagraph"/>
              <w:ind w:right="3"/>
              <w:jc w:val="center"/>
              <w:rPr>
                <w:sz w:val="18"/>
              </w:rPr>
            </w:pPr>
            <w:r>
              <w:rPr>
                <w:w w:val="99"/>
                <w:sz w:val="18"/>
              </w:rPr>
              <w:t>8</w:t>
            </w:r>
          </w:p>
        </w:tc>
        <w:tc>
          <w:tcPr>
            <w:tcW w:w="1289" w:type="dxa"/>
          </w:tcPr>
          <w:p>
            <w:pPr>
              <w:pStyle w:val="TableParagraph"/>
              <w:spacing w:before="1"/>
              <w:rPr>
                <w:rFonts w:ascii="Times New Roman"/>
                <w:sz w:val="24"/>
              </w:rPr>
            </w:pPr>
          </w:p>
          <w:p>
            <w:pPr>
              <w:pStyle w:val="TableParagraph"/>
              <w:ind w:left="244" w:right="245"/>
              <w:jc w:val="center"/>
              <w:rPr>
                <w:sz w:val="18"/>
              </w:rPr>
            </w:pPr>
            <w:r>
              <w:rPr>
                <w:sz w:val="18"/>
              </w:rPr>
              <w:t>Empírica</w:t>
            </w:r>
          </w:p>
        </w:tc>
        <w:tc>
          <w:tcPr>
            <w:tcW w:w="1462" w:type="dxa"/>
          </w:tcPr>
          <w:p>
            <w:pPr>
              <w:pStyle w:val="TableParagraph"/>
              <w:spacing w:before="1"/>
              <w:rPr>
                <w:rFonts w:ascii="Times New Roman"/>
                <w:sz w:val="24"/>
              </w:rPr>
            </w:pPr>
          </w:p>
          <w:p>
            <w:pPr>
              <w:pStyle w:val="TableParagraph"/>
              <w:ind w:left="165" w:right="166"/>
              <w:jc w:val="center"/>
              <w:rPr>
                <w:sz w:val="18"/>
              </w:rPr>
            </w:pPr>
            <w:r>
              <w:rPr>
                <w:sz w:val="18"/>
              </w:rPr>
              <w:t>positivista</w:t>
            </w:r>
          </w:p>
        </w:tc>
        <w:tc>
          <w:tcPr>
            <w:tcW w:w="2201" w:type="dxa"/>
          </w:tcPr>
          <w:p>
            <w:pPr>
              <w:pStyle w:val="TableParagraph"/>
              <w:spacing w:before="1"/>
              <w:rPr>
                <w:rFonts w:ascii="Times New Roman"/>
                <w:sz w:val="24"/>
              </w:rPr>
            </w:pPr>
          </w:p>
          <w:p>
            <w:pPr>
              <w:pStyle w:val="TableParagraph"/>
              <w:ind w:left="652" w:right="47"/>
              <w:rPr>
                <w:sz w:val="18"/>
              </w:rPr>
            </w:pPr>
            <w:r>
              <w:rPr>
                <w:sz w:val="18"/>
              </w:rPr>
              <w:t>nomotético</w:t>
            </w:r>
          </w:p>
        </w:tc>
        <w:tc>
          <w:tcPr>
            <w:tcW w:w="1730" w:type="dxa"/>
          </w:tcPr>
          <w:p>
            <w:pPr>
              <w:pStyle w:val="TableParagraph"/>
              <w:spacing w:before="71"/>
              <w:ind w:left="69" w:right="66" w:firstLine="283"/>
              <w:rPr>
                <w:sz w:val="18"/>
              </w:rPr>
            </w:pPr>
            <w:r>
              <w:rPr>
                <w:sz w:val="18"/>
              </w:rPr>
              <w:t>Segregación espacial-residencial</w:t>
            </w:r>
          </w:p>
        </w:tc>
        <w:tc>
          <w:tcPr>
            <w:tcW w:w="1385" w:type="dxa"/>
          </w:tcPr>
          <w:p>
            <w:pPr/>
          </w:p>
        </w:tc>
      </w:tr>
      <w:tr>
        <w:trPr>
          <w:trHeight w:val="422" w:hRule="exact"/>
        </w:trPr>
        <w:tc>
          <w:tcPr>
            <w:tcW w:w="802" w:type="dxa"/>
          </w:tcPr>
          <w:p>
            <w:pPr>
              <w:pStyle w:val="TableParagraph"/>
              <w:spacing w:before="10"/>
              <w:rPr>
                <w:rFonts w:ascii="Times New Roman"/>
                <w:sz w:val="17"/>
              </w:rPr>
            </w:pPr>
          </w:p>
          <w:p>
            <w:pPr>
              <w:pStyle w:val="TableParagraph"/>
              <w:ind w:right="3"/>
              <w:jc w:val="center"/>
              <w:rPr>
                <w:sz w:val="18"/>
              </w:rPr>
            </w:pPr>
            <w:r>
              <w:rPr>
                <w:w w:val="99"/>
                <w:sz w:val="18"/>
              </w:rPr>
              <w:t>9</w:t>
            </w:r>
          </w:p>
        </w:tc>
        <w:tc>
          <w:tcPr>
            <w:tcW w:w="1289" w:type="dxa"/>
          </w:tcPr>
          <w:p>
            <w:pPr>
              <w:pStyle w:val="TableParagraph"/>
              <w:spacing w:before="10"/>
              <w:rPr>
                <w:rFonts w:ascii="Times New Roman"/>
                <w:sz w:val="17"/>
              </w:rPr>
            </w:pPr>
          </w:p>
          <w:p>
            <w:pPr>
              <w:pStyle w:val="TableParagraph"/>
              <w:ind w:left="244" w:right="245"/>
              <w:jc w:val="center"/>
              <w:rPr>
                <w:sz w:val="18"/>
              </w:rPr>
            </w:pPr>
            <w:r>
              <w:rPr>
                <w:sz w:val="18"/>
              </w:rPr>
              <w:t>Empírica</w:t>
            </w:r>
          </w:p>
        </w:tc>
        <w:tc>
          <w:tcPr>
            <w:tcW w:w="1462" w:type="dxa"/>
          </w:tcPr>
          <w:p>
            <w:pPr>
              <w:pStyle w:val="TableParagraph"/>
              <w:spacing w:before="10"/>
              <w:rPr>
                <w:rFonts w:ascii="Times New Roman"/>
                <w:sz w:val="17"/>
              </w:rPr>
            </w:pPr>
          </w:p>
          <w:p>
            <w:pPr>
              <w:pStyle w:val="TableParagraph"/>
              <w:ind w:left="165" w:right="166"/>
              <w:jc w:val="center"/>
              <w:rPr>
                <w:sz w:val="18"/>
              </w:rPr>
            </w:pPr>
            <w:r>
              <w:rPr>
                <w:sz w:val="18"/>
              </w:rPr>
              <w:t>positivista</w:t>
            </w:r>
          </w:p>
        </w:tc>
        <w:tc>
          <w:tcPr>
            <w:tcW w:w="2201" w:type="dxa"/>
          </w:tcPr>
          <w:p>
            <w:pPr>
              <w:pStyle w:val="TableParagraph"/>
              <w:spacing w:before="10"/>
              <w:rPr>
                <w:rFonts w:ascii="Times New Roman"/>
                <w:sz w:val="17"/>
              </w:rPr>
            </w:pPr>
          </w:p>
          <w:p>
            <w:pPr>
              <w:pStyle w:val="TableParagraph"/>
              <w:ind w:left="652" w:right="47"/>
              <w:rPr>
                <w:sz w:val="18"/>
              </w:rPr>
            </w:pPr>
            <w:r>
              <w:rPr>
                <w:sz w:val="18"/>
              </w:rPr>
              <w:t>nomotético</w:t>
            </w:r>
          </w:p>
        </w:tc>
        <w:tc>
          <w:tcPr>
            <w:tcW w:w="1730" w:type="dxa"/>
          </w:tcPr>
          <w:p>
            <w:pPr>
              <w:pStyle w:val="TableParagraph"/>
              <w:spacing w:before="10"/>
              <w:rPr>
                <w:rFonts w:ascii="Times New Roman"/>
                <w:sz w:val="17"/>
              </w:rPr>
            </w:pPr>
          </w:p>
          <w:p>
            <w:pPr>
              <w:pStyle w:val="TableParagraph"/>
              <w:ind w:left="49" w:right="49"/>
              <w:jc w:val="center"/>
              <w:rPr>
                <w:sz w:val="18"/>
              </w:rPr>
            </w:pPr>
            <w:r>
              <w:rPr>
                <w:sz w:val="18"/>
              </w:rPr>
              <w:t>Desarrollo regional</w:t>
            </w:r>
          </w:p>
        </w:tc>
        <w:tc>
          <w:tcPr>
            <w:tcW w:w="1385" w:type="dxa"/>
          </w:tcPr>
          <w:p>
            <w:pPr>
              <w:pStyle w:val="TableParagraph"/>
              <w:ind w:left="367" w:right="275" w:hanging="77"/>
              <w:rPr>
                <w:sz w:val="18"/>
              </w:rPr>
            </w:pPr>
            <w:r>
              <w:rPr>
                <w:sz w:val="18"/>
              </w:rPr>
              <w:t>economía regional</w:t>
            </w:r>
          </w:p>
        </w:tc>
      </w:tr>
      <w:tr>
        <w:trPr>
          <w:trHeight w:val="497" w:hRule="exact"/>
        </w:trPr>
        <w:tc>
          <w:tcPr>
            <w:tcW w:w="802" w:type="dxa"/>
          </w:tcPr>
          <w:p>
            <w:pPr>
              <w:pStyle w:val="TableParagraph"/>
              <w:spacing w:before="4"/>
              <w:rPr>
                <w:rFonts w:ascii="Times New Roman"/>
                <w:sz w:val="24"/>
              </w:rPr>
            </w:pPr>
          </w:p>
          <w:p>
            <w:pPr>
              <w:pStyle w:val="TableParagraph"/>
              <w:ind w:left="275" w:right="275"/>
              <w:jc w:val="center"/>
              <w:rPr>
                <w:sz w:val="18"/>
              </w:rPr>
            </w:pPr>
            <w:r>
              <w:rPr>
                <w:sz w:val="18"/>
              </w:rPr>
              <w:t>10</w:t>
            </w:r>
          </w:p>
        </w:tc>
        <w:tc>
          <w:tcPr>
            <w:tcW w:w="1289" w:type="dxa"/>
          </w:tcPr>
          <w:p>
            <w:pPr>
              <w:pStyle w:val="TableParagraph"/>
              <w:spacing w:before="71"/>
              <w:ind w:left="201" w:right="187" w:firstLine="134"/>
              <w:rPr>
                <w:sz w:val="18"/>
              </w:rPr>
            </w:pPr>
            <w:r>
              <w:rPr>
                <w:sz w:val="18"/>
              </w:rPr>
              <w:t>Teórica conceptual</w:t>
            </w:r>
          </w:p>
        </w:tc>
        <w:tc>
          <w:tcPr>
            <w:tcW w:w="1462" w:type="dxa"/>
          </w:tcPr>
          <w:p>
            <w:pPr>
              <w:pStyle w:val="TableParagraph"/>
              <w:spacing w:before="4"/>
              <w:rPr>
                <w:rFonts w:ascii="Times New Roman"/>
                <w:sz w:val="24"/>
              </w:rPr>
            </w:pPr>
          </w:p>
          <w:p>
            <w:pPr>
              <w:pStyle w:val="TableParagraph"/>
              <w:ind w:left="165" w:right="166"/>
              <w:jc w:val="center"/>
              <w:rPr>
                <w:sz w:val="18"/>
              </w:rPr>
            </w:pPr>
            <w:r>
              <w:rPr>
                <w:sz w:val="18"/>
              </w:rPr>
              <w:t>positivista</w:t>
            </w:r>
          </w:p>
        </w:tc>
        <w:tc>
          <w:tcPr>
            <w:tcW w:w="2201" w:type="dxa"/>
          </w:tcPr>
          <w:p>
            <w:pPr>
              <w:pStyle w:val="TableParagraph"/>
              <w:spacing w:before="4"/>
              <w:rPr>
                <w:rFonts w:ascii="Times New Roman"/>
                <w:sz w:val="24"/>
              </w:rPr>
            </w:pPr>
          </w:p>
          <w:p>
            <w:pPr>
              <w:pStyle w:val="TableParagraph"/>
              <w:ind w:left="652" w:right="47"/>
              <w:rPr>
                <w:sz w:val="18"/>
              </w:rPr>
            </w:pPr>
            <w:r>
              <w:rPr>
                <w:sz w:val="18"/>
              </w:rPr>
              <w:t>nomotético</w:t>
            </w:r>
          </w:p>
        </w:tc>
        <w:tc>
          <w:tcPr>
            <w:tcW w:w="1730" w:type="dxa"/>
          </w:tcPr>
          <w:p>
            <w:pPr>
              <w:pStyle w:val="TableParagraph"/>
              <w:spacing w:before="4"/>
              <w:rPr>
                <w:rFonts w:ascii="Times New Roman"/>
                <w:sz w:val="24"/>
              </w:rPr>
            </w:pPr>
          </w:p>
          <w:p>
            <w:pPr>
              <w:pStyle w:val="TableParagraph"/>
              <w:ind w:left="49" w:right="49"/>
              <w:jc w:val="center"/>
              <w:rPr>
                <w:sz w:val="18"/>
              </w:rPr>
            </w:pPr>
            <w:r>
              <w:rPr>
                <w:sz w:val="18"/>
              </w:rPr>
              <w:t>Desarrollo regional</w:t>
            </w:r>
          </w:p>
        </w:tc>
        <w:tc>
          <w:tcPr>
            <w:tcW w:w="1385" w:type="dxa"/>
          </w:tcPr>
          <w:p>
            <w:pPr/>
          </w:p>
        </w:tc>
      </w:tr>
      <w:tr>
        <w:trPr>
          <w:trHeight w:val="252" w:hRule="exact"/>
        </w:trPr>
        <w:tc>
          <w:tcPr>
            <w:tcW w:w="802" w:type="dxa"/>
          </w:tcPr>
          <w:p>
            <w:pPr>
              <w:pStyle w:val="TableParagraph"/>
              <w:spacing w:before="35"/>
              <w:ind w:left="275" w:right="275"/>
              <w:jc w:val="center"/>
              <w:rPr>
                <w:sz w:val="18"/>
              </w:rPr>
            </w:pPr>
            <w:r>
              <w:rPr>
                <w:sz w:val="18"/>
              </w:rPr>
              <w:t>11</w:t>
            </w:r>
          </w:p>
        </w:tc>
        <w:tc>
          <w:tcPr>
            <w:tcW w:w="1289" w:type="dxa"/>
          </w:tcPr>
          <w:p>
            <w:pPr>
              <w:pStyle w:val="TableParagraph"/>
              <w:spacing w:before="35"/>
              <w:ind w:left="244" w:right="245"/>
              <w:jc w:val="center"/>
              <w:rPr>
                <w:sz w:val="18"/>
              </w:rPr>
            </w:pPr>
            <w:r>
              <w:rPr>
                <w:sz w:val="18"/>
              </w:rPr>
              <w:t>Empírica</w:t>
            </w:r>
          </w:p>
        </w:tc>
        <w:tc>
          <w:tcPr>
            <w:tcW w:w="1462" w:type="dxa"/>
          </w:tcPr>
          <w:p>
            <w:pPr>
              <w:pStyle w:val="TableParagraph"/>
              <w:spacing w:before="35"/>
              <w:ind w:left="165" w:right="166"/>
              <w:jc w:val="center"/>
              <w:rPr>
                <w:sz w:val="18"/>
              </w:rPr>
            </w:pPr>
            <w:r>
              <w:rPr>
                <w:sz w:val="18"/>
              </w:rPr>
              <w:t>positivista</w:t>
            </w:r>
          </w:p>
        </w:tc>
        <w:tc>
          <w:tcPr>
            <w:tcW w:w="2201" w:type="dxa"/>
          </w:tcPr>
          <w:p>
            <w:pPr>
              <w:pStyle w:val="TableParagraph"/>
              <w:spacing w:before="35"/>
              <w:ind w:left="652" w:right="47"/>
              <w:rPr>
                <w:sz w:val="18"/>
              </w:rPr>
            </w:pPr>
            <w:r>
              <w:rPr>
                <w:sz w:val="18"/>
              </w:rPr>
              <w:t>nomotética</w:t>
            </w:r>
          </w:p>
        </w:tc>
        <w:tc>
          <w:tcPr>
            <w:tcW w:w="1730" w:type="dxa"/>
          </w:tcPr>
          <w:p>
            <w:pPr>
              <w:pStyle w:val="TableParagraph"/>
              <w:spacing w:before="35"/>
              <w:ind w:left="49" w:right="49"/>
              <w:jc w:val="center"/>
              <w:rPr>
                <w:sz w:val="18"/>
              </w:rPr>
            </w:pPr>
            <w:r>
              <w:rPr>
                <w:sz w:val="18"/>
              </w:rPr>
              <w:t>crecimiento urbano</w:t>
            </w:r>
          </w:p>
        </w:tc>
        <w:tc>
          <w:tcPr>
            <w:tcW w:w="1385" w:type="dxa"/>
          </w:tcPr>
          <w:p>
            <w:pPr/>
          </w:p>
        </w:tc>
      </w:tr>
      <w:tr>
        <w:trPr>
          <w:trHeight w:val="631" w:hRule="exact"/>
        </w:trPr>
        <w:tc>
          <w:tcPr>
            <w:tcW w:w="802" w:type="dxa"/>
          </w:tcPr>
          <w:p>
            <w:pPr>
              <w:pStyle w:val="TableParagraph"/>
              <w:rPr>
                <w:rFonts w:ascii="Times New Roman"/>
                <w:sz w:val="18"/>
              </w:rPr>
            </w:pPr>
          </w:p>
          <w:p>
            <w:pPr>
              <w:pStyle w:val="TableParagraph"/>
              <w:rPr>
                <w:rFonts w:ascii="Times New Roman"/>
                <w:sz w:val="18"/>
              </w:rPr>
            </w:pPr>
          </w:p>
          <w:p>
            <w:pPr>
              <w:pStyle w:val="TableParagraph"/>
              <w:ind w:left="275" w:right="275"/>
              <w:jc w:val="center"/>
              <w:rPr>
                <w:sz w:val="18"/>
              </w:rPr>
            </w:pPr>
            <w:r>
              <w:rPr>
                <w:sz w:val="18"/>
              </w:rPr>
              <w:t>12</w:t>
            </w:r>
          </w:p>
        </w:tc>
        <w:tc>
          <w:tcPr>
            <w:tcW w:w="1289" w:type="dxa"/>
          </w:tcPr>
          <w:p>
            <w:pPr>
              <w:pStyle w:val="TableParagraph"/>
              <w:rPr>
                <w:rFonts w:ascii="Times New Roman"/>
                <w:sz w:val="18"/>
              </w:rPr>
            </w:pPr>
          </w:p>
          <w:p>
            <w:pPr>
              <w:pStyle w:val="TableParagraph"/>
              <w:spacing w:before="1"/>
              <w:ind w:left="201" w:right="187" w:firstLine="134"/>
              <w:rPr>
                <w:sz w:val="18"/>
              </w:rPr>
            </w:pPr>
            <w:r>
              <w:rPr>
                <w:sz w:val="18"/>
              </w:rPr>
              <w:t>Teórica conceptual</w:t>
            </w:r>
          </w:p>
        </w:tc>
        <w:tc>
          <w:tcPr>
            <w:tcW w:w="1462" w:type="dxa"/>
          </w:tcPr>
          <w:p>
            <w:pPr>
              <w:pStyle w:val="TableParagraph"/>
              <w:rPr>
                <w:rFonts w:ascii="Times New Roman"/>
                <w:sz w:val="18"/>
              </w:rPr>
            </w:pPr>
          </w:p>
          <w:p>
            <w:pPr>
              <w:pStyle w:val="TableParagraph"/>
              <w:rPr>
                <w:rFonts w:ascii="Times New Roman"/>
                <w:sz w:val="18"/>
              </w:rPr>
            </w:pPr>
          </w:p>
          <w:p>
            <w:pPr>
              <w:pStyle w:val="TableParagraph"/>
              <w:ind w:left="165" w:right="166"/>
              <w:jc w:val="center"/>
              <w:rPr>
                <w:sz w:val="18"/>
              </w:rPr>
            </w:pPr>
            <w:r>
              <w:rPr>
                <w:sz w:val="18"/>
              </w:rPr>
              <w:t>positivista</w:t>
            </w:r>
          </w:p>
        </w:tc>
        <w:tc>
          <w:tcPr>
            <w:tcW w:w="2201" w:type="dxa"/>
          </w:tcPr>
          <w:p>
            <w:pPr>
              <w:pStyle w:val="TableParagraph"/>
              <w:rPr>
                <w:rFonts w:ascii="Times New Roman"/>
                <w:sz w:val="18"/>
              </w:rPr>
            </w:pPr>
          </w:p>
          <w:p>
            <w:pPr>
              <w:pStyle w:val="TableParagraph"/>
              <w:rPr>
                <w:rFonts w:ascii="Times New Roman"/>
                <w:sz w:val="18"/>
              </w:rPr>
            </w:pPr>
          </w:p>
          <w:p>
            <w:pPr>
              <w:pStyle w:val="TableParagraph"/>
              <w:ind w:left="652" w:right="47"/>
              <w:rPr>
                <w:sz w:val="18"/>
              </w:rPr>
            </w:pPr>
            <w:r>
              <w:rPr>
                <w:sz w:val="18"/>
              </w:rPr>
              <w:t>nomotético</w:t>
            </w:r>
          </w:p>
        </w:tc>
        <w:tc>
          <w:tcPr>
            <w:tcW w:w="1730" w:type="dxa"/>
          </w:tcPr>
          <w:p>
            <w:pPr/>
          </w:p>
        </w:tc>
        <w:tc>
          <w:tcPr>
            <w:tcW w:w="1385" w:type="dxa"/>
          </w:tcPr>
          <w:p>
            <w:pPr>
              <w:pStyle w:val="TableParagraph"/>
              <w:ind w:left="249" w:right="252" w:firstLine="3"/>
              <w:jc w:val="center"/>
              <w:rPr>
                <w:sz w:val="18"/>
              </w:rPr>
            </w:pPr>
            <w:r>
              <w:rPr>
                <w:sz w:val="18"/>
              </w:rPr>
              <w:t>sociología planeación urbana</w:t>
            </w:r>
          </w:p>
        </w:tc>
      </w:tr>
      <w:tr>
        <w:trPr>
          <w:trHeight w:val="739" w:hRule="exact"/>
        </w:trPr>
        <w:tc>
          <w:tcPr>
            <w:tcW w:w="802" w:type="dxa"/>
          </w:tcPr>
          <w:p>
            <w:pPr>
              <w:pStyle w:val="TableParagraph"/>
              <w:rPr>
                <w:rFonts w:ascii="Times New Roman"/>
                <w:sz w:val="18"/>
              </w:rPr>
            </w:pPr>
          </w:p>
          <w:p>
            <w:pPr>
              <w:pStyle w:val="TableParagraph"/>
              <w:rPr>
                <w:rFonts w:ascii="Times New Roman"/>
                <w:sz w:val="18"/>
              </w:rPr>
            </w:pPr>
          </w:p>
          <w:p>
            <w:pPr>
              <w:pStyle w:val="TableParagraph"/>
              <w:spacing w:before="108"/>
              <w:ind w:left="275" w:right="275"/>
              <w:jc w:val="center"/>
              <w:rPr>
                <w:sz w:val="18"/>
              </w:rPr>
            </w:pPr>
            <w:r>
              <w:rPr>
                <w:sz w:val="18"/>
              </w:rPr>
              <w:t>13</w:t>
            </w:r>
          </w:p>
        </w:tc>
        <w:tc>
          <w:tcPr>
            <w:tcW w:w="1289" w:type="dxa"/>
          </w:tcPr>
          <w:p>
            <w:pPr>
              <w:pStyle w:val="TableParagraph"/>
              <w:rPr>
                <w:rFonts w:ascii="Times New Roman"/>
                <w:sz w:val="18"/>
              </w:rPr>
            </w:pPr>
          </w:p>
          <w:p>
            <w:pPr>
              <w:pStyle w:val="TableParagraph"/>
              <w:rPr>
                <w:rFonts w:ascii="Times New Roman"/>
                <w:sz w:val="18"/>
              </w:rPr>
            </w:pPr>
          </w:p>
          <w:p>
            <w:pPr>
              <w:pStyle w:val="TableParagraph"/>
              <w:spacing w:before="108"/>
              <w:ind w:left="244" w:right="245"/>
              <w:jc w:val="center"/>
              <w:rPr>
                <w:sz w:val="18"/>
              </w:rPr>
            </w:pPr>
            <w:r>
              <w:rPr>
                <w:sz w:val="18"/>
              </w:rPr>
              <w:t>Empírica</w:t>
            </w:r>
          </w:p>
        </w:tc>
        <w:tc>
          <w:tcPr>
            <w:tcW w:w="1462" w:type="dxa"/>
          </w:tcPr>
          <w:p>
            <w:pPr>
              <w:pStyle w:val="TableParagraph"/>
              <w:rPr>
                <w:rFonts w:ascii="Times New Roman"/>
                <w:sz w:val="18"/>
              </w:rPr>
            </w:pPr>
          </w:p>
          <w:p>
            <w:pPr>
              <w:pStyle w:val="TableParagraph"/>
              <w:rPr>
                <w:rFonts w:ascii="Times New Roman"/>
                <w:sz w:val="18"/>
              </w:rPr>
            </w:pPr>
          </w:p>
          <w:p>
            <w:pPr>
              <w:pStyle w:val="TableParagraph"/>
              <w:spacing w:before="108"/>
              <w:ind w:left="165" w:right="166"/>
              <w:jc w:val="center"/>
              <w:rPr>
                <w:sz w:val="18"/>
              </w:rPr>
            </w:pPr>
            <w:r>
              <w:rPr>
                <w:sz w:val="18"/>
              </w:rPr>
              <w:t>positivista</w:t>
            </w:r>
          </w:p>
        </w:tc>
        <w:tc>
          <w:tcPr>
            <w:tcW w:w="2201" w:type="dxa"/>
          </w:tcPr>
          <w:p>
            <w:pPr>
              <w:pStyle w:val="TableParagraph"/>
              <w:rPr>
                <w:rFonts w:ascii="Times New Roman"/>
                <w:sz w:val="18"/>
              </w:rPr>
            </w:pPr>
          </w:p>
          <w:p>
            <w:pPr>
              <w:pStyle w:val="TableParagraph"/>
              <w:rPr>
                <w:rFonts w:ascii="Times New Roman"/>
                <w:sz w:val="18"/>
              </w:rPr>
            </w:pPr>
          </w:p>
          <w:p>
            <w:pPr>
              <w:pStyle w:val="TableParagraph"/>
              <w:spacing w:before="108"/>
              <w:ind w:left="652" w:right="47"/>
              <w:rPr>
                <w:sz w:val="18"/>
              </w:rPr>
            </w:pPr>
            <w:r>
              <w:rPr>
                <w:sz w:val="18"/>
              </w:rPr>
              <w:t>nomotético</w:t>
            </w:r>
          </w:p>
        </w:tc>
        <w:tc>
          <w:tcPr>
            <w:tcW w:w="1730" w:type="dxa"/>
          </w:tcPr>
          <w:p>
            <w:pPr>
              <w:pStyle w:val="TableParagraph"/>
              <w:rPr>
                <w:rFonts w:ascii="Times New Roman"/>
                <w:sz w:val="18"/>
              </w:rPr>
            </w:pPr>
          </w:p>
          <w:p>
            <w:pPr>
              <w:pStyle w:val="TableParagraph"/>
              <w:spacing w:before="109"/>
              <w:ind w:left="163" w:right="146" w:firstLine="235"/>
              <w:rPr>
                <w:sz w:val="18"/>
              </w:rPr>
            </w:pPr>
            <w:r>
              <w:rPr>
                <w:sz w:val="18"/>
              </w:rPr>
              <w:t>crecimiento urbano/ambiental</w:t>
            </w:r>
          </w:p>
        </w:tc>
        <w:tc>
          <w:tcPr>
            <w:tcW w:w="1385" w:type="dxa"/>
          </w:tcPr>
          <w:p>
            <w:pPr>
              <w:pStyle w:val="TableParagraph"/>
              <w:spacing w:before="107"/>
              <w:ind w:left="170" w:right="173" w:firstLine="9"/>
              <w:jc w:val="both"/>
              <w:rPr>
                <w:sz w:val="18"/>
              </w:rPr>
            </w:pPr>
            <w:r>
              <w:rPr>
                <w:sz w:val="18"/>
              </w:rPr>
              <w:t>Planificación Ecológica de los Paisajes</w:t>
            </w:r>
          </w:p>
        </w:tc>
      </w:tr>
      <w:tr>
        <w:trPr>
          <w:trHeight w:val="632" w:hRule="exact"/>
        </w:trPr>
        <w:tc>
          <w:tcPr>
            <w:tcW w:w="802" w:type="dxa"/>
          </w:tcPr>
          <w:p>
            <w:pPr>
              <w:pStyle w:val="TableParagraph"/>
              <w:rPr>
                <w:rFonts w:ascii="Times New Roman"/>
                <w:sz w:val="18"/>
              </w:rPr>
            </w:pPr>
          </w:p>
          <w:p>
            <w:pPr>
              <w:pStyle w:val="TableParagraph"/>
              <w:spacing w:before="1"/>
              <w:rPr>
                <w:rFonts w:ascii="Times New Roman"/>
                <w:sz w:val="18"/>
              </w:rPr>
            </w:pPr>
          </w:p>
          <w:p>
            <w:pPr>
              <w:pStyle w:val="TableParagraph"/>
              <w:ind w:left="275" w:right="275"/>
              <w:jc w:val="center"/>
              <w:rPr>
                <w:sz w:val="18"/>
              </w:rPr>
            </w:pPr>
            <w:r>
              <w:rPr>
                <w:sz w:val="18"/>
              </w:rPr>
              <w:t>14</w:t>
            </w:r>
          </w:p>
        </w:tc>
        <w:tc>
          <w:tcPr>
            <w:tcW w:w="1289" w:type="dxa"/>
          </w:tcPr>
          <w:p>
            <w:pPr>
              <w:pStyle w:val="TableParagraph"/>
              <w:spacing w:before="10"/>
              <w:rPr>
                <w:rFonts w:ascii="Times New Roman"/>
                <w:sz w:val="17"/>
              </w:rPr>
            </w:pPr>
          </w:p>
          <w:p>
            <w:pPr>
              <w:pStyle w:val="TableParagraph"/>
              <w:spacing w:line="242" w:lineRule="auto"/>
              <w:ind w:left="201" w:right="187" w:firstLine="134"/>
              <w:rPr>
                <w:sz w:val="18"/>
              </w:rPr>
            </w:pPr>
            <w:r>
              <w:rPr>
                <w:sz w:val="18"/>
              </w:rPr>
              <w:t>Teórica conceptual</w:t>
            </w:r>
          </w:p>
        </w:tc>
        <w:tc>
          <w:tcPr>
            <w:tcW w:w="1462" w:type="dxa"/>
          </w:tcPr>
          <w:p>
            <w:pPr>
              <w:pStyle w:val="TableParagraph"/>
              <w:rPr>
                <w:rFonts w:ascii="Times New Roman"/>
                <w:sz w:val="18"/>
              </w:rPr>
            </w:pPr>
          </w:p>
          <w:p>
            <w:pPr>
              <w:pStyle w:val="TableParagraph"/>
              <w:spacing w:before="1"/>
              <w:rPr>
                <w:rFonts w:ascii="Times New Roman"/>
                <w:sz w:val="18"/>
              </w:rPr>
            </w:pPr>
          </w:p>
          <w:p>
            <w:pPr>
              <w:pStyle w:val="TableParagraph"/>
              <w:ind w:left="165" w:right="166"/>
              <w:jc w:val="center"/>
              <w:rPr>
                <w:sz w:val="18"/>
              </w:rPr>
            </w:pPr>
            <w:r>
              <w:rPr>
                <w:sz w:val="18"/>
              </w:rPr>
              <w:t>positivista</w:t>
            </w:r>
          </w:p>
        </w:tc>
        <w:tc>
          <w:tcPr>
            <w:tcW w:w="2201" w:type="dxa"/>
          </w:tcPr>
          <w:p>
            <w:pPr>
              <w:pStyle w:val="TableParagraph"/>
              <w:rPr>
                <w:rFonts w:ascii="Times New Roman"/>
                <w:sz w:val="18"/>
              </w:rPr>
            </w:pPr>
          </w:p>
          <w:p>
            <w:pPr>
              <w:pStyle w:val="TableParagraph"/>
              <w:spacing w:before="1"/>
              <w:rPr>
                <w:rFonts w:ascii="Times New Roman"/>
                <w:sz w:val="18"/>
              </w:rPr>
            </w:pPr>
          </w:p>
          <w:p>
            <w:pPr>
              <w:pStyle w:val="TableParagraph"/>
              <w:ind w:left="652" w:right="47"/>
              <w:rPr>
                <w:sz w:val="18"/>
              </w:rPr>
            </w:pPr>
            <w:r>
              <w:rPr>
                <w:sz w:val="18"/>
              </w:rPr>
              <w:t>nomotético</w:t>
            </w:r>
          </w:p>
        </w:tc>
        <w:tc>
          <w:tcPr>
            <w:tcW w:w="1730" w:type="dxa"/>
          </w:tcPr>
          <w:p>
            <w:pPr>
              <w:pStyle w:val="TableParagraph"/>
              <w:ind w:left="230" w:right="228" w:hanging="3"/>
              <w:jc w:val="center"/>
              <w:rPr>
                <w:sz w:val="18"/>
              </w:rPr>
            </w:pPr>
            <w:r>
              <w:rPr>
                <w:sz w:val="18"/>
              </w:rPr>
              <w:t>terciarización industrial / metropolización</w:t>
            </w:r>
          </w:p>
        </w:tc>
        <w:tc>
          <w:tcPr>
            <w:tcW w:w="1385" w:type="dxa"/>
          </w:tcPr>
          <w:p>
            <w:pPr>
              <w:pStyle w:val="TableParagraph"/>
              <w:spacing w:before="10"/>
              <w:rPr>
                <w:rFonts w:ascii="Times New Roman"/>
                <w:sz w:val="17"/>
              </w:rPr>
            </w:pPr>
          </w:p>
          <w:p>
            <w:pPr>
              <w:pStyle w:val="TableParagraph"/>
              <w:spacing w:line="242" w:lineRule="auto"/>
              <w:ind w:left="367" w:right="275" w:hanging="77"/>
              <w:rPr>
                <w:sz w:val="18"/>
              </w:rPr>
            </w:pPr>
            <w:r>
              <w:rPr>
                <w:sz w:val="18"/>
              </w:rPr>
              <w:t>economía regional</w:t>
            </w:r>
          </w:p>
        </w:tc>
      </w:tr>
      <w:tr>
        <w:trPr>
          <w:trHeight w:val="497" w:hRule="exact"/>
        </w:trPr>
        <w:tc>
          <w:tcPr>
            <w:tcW w:w="802" w:type="dxa"/>
          </w:tcPr>
          <w:p>
            <w:pPr>
              <w:pStyle w:val="TableParagraph"/>
              <w:spacing w:before="1"/>
              <w:rPr>
                <w:rFonts w:ascii="Times New Roman"/>
                <w:sz w:val="24"/>
              </w:rPr>
            </w:pPr>
          </w:p>
          <w:p>
            <w:pPr>
              <w:pStyle w:val="TableParagraph"/>
              <w:ind w:left="275" w:right="275"/>
              <w:jc w:val="center"/>
              <w:rPr>
                <w:sz w:val="18"/>
              </w:rPr>
            </w:pPr>
            <w:r>
              <w:rPr>
                <w:sz w:val="18"/>
              </w:rPr>
              <w:t>15</w:t>
            </w:r>
          </w:p>
        </w:tc>
        <w:tc>
          <w:tcPr>
            <w:tcW w:w="1289" w:type="dxa"/>
          </w:tcPr>
          <w:p>
            <w:pPr>
              <w:pStyle w:val="TableParagraph"/>
              <w:spacing w:before="71"/>
              <w:ind w:left="201" w:right="187" w:firstLine="134"/>
              <w:rPr>
                <w:sz w:val="18"/>
              </w:rPr>
            </w:pPr>
            <w:r>
              <w:rPr>
                <w:sz w:val="18"/>
              </w:rPr>
              <w:t>Teórica conceptual</w:t>
            </w:r>
          </w:p>
        </w:tc>
        <w:tc>
          <w:tcPr>
            <w:tcW w:w="1462" w:type="dxa"/>
          </w:tcPr>
          <w:p>
            <w:pPr>
              <w:pStyle w:val="TableParagraph"/>
              <w:spacing w:before="1"/>
              <w:rPr>
                <w:rFonts w:ascii="Times New Roman"/>
                <w:sz w:val="24"/>
              </w:rPr>
            </w:pPr>
          </w:p>
          <w:p>
            <w:pPr>
              <w:pStyle w:val="TableParagraph"/>
              <w:ind w:left="166" w:right="166"/>
              <w:jc w:val="center"/>
              <w:rPr>
                <w:sz w:val="18"/>
              </w:rPr>
            </w:pPr>
            <w:r>
              <w:rPr>
                <w:sz w:val="18"/>
              </w:rPr>
              <w:t>pospositivista</w:t>
            </w:r>
          </w:p>
        </w:tc>
        <w:tc>
          <w:tcPr>
            <w:tcW w:w="2201" w:type="dxa"/>
          </w:tcPr>
          <w:p>
            <w:pPr>
              <w:pStyle w:val="TableParagraph"/>
              <w:spacing w:before="1"/>
              <w:rPr>
                <w:rFonts w:ascii="Times New Roman"/>
                <w:sz w:val="24"/>
              </w:rPr>
            </w:pPr>
          </w:p>
          <w:p>
            <w:pPr>
              <w:pStyle w:val="TableParagraph"/>
              <w:ind w:left="683" w:right="47"/>
              <w:rPr>
                <w:sz w:val="18"/>
              </w:rPr>
            </w:pPr>
            <w:r>
              <w:rPr>
                <w:sz w:val="18"/>
              </w:rPr>
              <w:t>idiográfico</w:t>
            </w:r>
          </w:p>
        </w:tc>
        <w:tc>
          <w:tcPr>
            <w:tcW w:w="1730" w:type="dxa"/>
          </w:tcPr>
          <w:p>
            <w:pPr>
              <w:pStyle w:val="TableParagraph"/>
              <w:spacing w:before="1"/>
              <w:rPr>
                <w:rFonts w:ascii="Times New Roman"/>
                <w:sz w:val="24"/>
              </w:rPr>
            </w:pPr>
          </w:p>
          <w:p>
            <w:pPr>
              <w:pStyle w:val="TableParagraph"/>
              <w:ind w:left="49" w:right="49"/>
              <w:jc w:val="center"/>
              <w:rPr>
                <w:sz w:val="18"/>
              </w:rPr>
            </w:pPr>
            <w:r>
              <w:rPr>
                <w:sz w:val="18"/>
              </w:rPr>
              <w:t>ciudad posmoderna</w:t>
            </w:r>
          </w:p>
        </w:tc>
        <w:tc>
          <w:tcPr>
            <w:tcW w:w="1385" w:type="dxa"/>
          </w:tcPr>
          <w:p>
            <w:pPr>
              <w:pStyle w:val="TableParagraph"/>
              <w:spacing w:before="71"/>
              <w:ind w:left="406" w:right="264" w:hanging="125"/>
              <w:rPr>
                <w:sz w:val="18"/>
              </w:rPr>
            </w:pPr>
            <w:r>
              <w:rPr>
                <w:sz w:val="18"/>
              </w:rPr>
              <w:t>sociología urbana</w:t>
            </w:r>
          </w:p>
        </w:tc>
      </w:tr>
      <w:tr>
        <w:trPr>
          <w:trHeight w:val="494" w:hRule="exact"/>
        </w:trPr>
        <w:tc>
          <w:tcPr>
            <w:tcW w:w="802" w:type="dxa"/>
          </w:tcPr>
          <w:p>
            <w:pPr>
              <w:pStyle w:val="TableParagraph"/>
              <w:spacing w:before="1"/>
              <w:rPr>
                <w:rFonts w:ascii="Times New Roman"/>
                <w:sz w:val="24"/>
              </w:rPr>
            </w:pPr>
          </w:p>
          <w:p>
            <w:pPr>
              <w:pStyle w:val="TableParagraph"/>
              <w:ind w:left="275" w:right="275"/>
              <w:jc w:val="center"/>
              <w:rPr>
                <w:sz w:val="18"/>
              </w:rPr>
            </w:pPr>
            <w:r>
              <w:rPr>
                <w:sz w:val="18"/>
              </w:rPr>
              <w:t>16</w:t>
            </w:r>
          </w:p>
        </w:tc>
        <w:tc>
          <w:tcPr>
            <w:tcW w:w="1289" w:type="dxa"/>
          </w:tcPr>
          <w:p>
            <w:pPr>
              <w:pStyle w:val="TableParagraph"/>
              <w:spacing w:before="1"/>
              <w:rPr>
                <w:rFonts w:ascii="Times New Roman"/>
                <w:sz w:val="24"/>
              </w:rPr>
            </w:pPr>
          </w:p>
          <w:p>
            <w:pPr>
              <w:pStyle w:val="TableParagraph"/>
              <w:ind w:left="244" w:right="245"/>
              <w:jc w:val="center"/>
              <w:rPr>
                <w:sz w:val="18"/>
              </w:rPr>
            </w:pPr>
            <w:r>
              <w:rPr>
                <w:sz w:val="18"/>
              </w:rPr>
              <w:t>Empírica</w:t>
            </w:r>
          </w:p>
        </w:tc>
        <w:tc>
          <w:tcPr>
            <w:tcW w:w="1462" w:type="dxa"/>
          </w:tcPr>
          <w:p>
            <w:pPr>
              <w:pStyle w:val="TableParagraph"/>
              <w:spacing w:before="1"/>
              <w:rPr>
                <w:rFonts w:ascii="Times New Roman"/>
                <w:sz w:val="24"/>
              </w:rPr>
            </w:pPr>
          </w:p>
          <w:p>
            <w:pPr>
              <w:pStyle w:val="TableParagraph"/>
              <w:ind w:left="165" w:right="166"/>
              <w:jc w:val="center"/>
              <w:rPr>
                <w:sz w:val="18"/>
              </w:rPr>
            </w:pPr>
            <w:r>
              <w:rPr>
                <w:sz w:val="18"/>
              </w:rPr>
              <w:t>positivista</w:t>
            </w:r>
          </w:p>
        </w:tc>
        <w:tc>
          <w:tcPr>
            <w:tcW w:w="2201" w:type="dxa"/>
          </w:tcPr>
          <w:p>
            <w:pPr>
              <w:pStyle w:val="TableParagraph"/>
              <w:spacing w:before="1"/>
              <w:rPr>
                <w:rFonts w:ascii="Times New Roman"/>
                <w:sz w:val="24"/>
              </w:rPr>
            </w:pPr>
          </w:p>
          <w:p>
            <w:pPr>
              <w:pStyle w:val="TableParagraph"/>
              <w:ind w:left="652" w:right="47"/>
              <w:rPr>
                <w:sz w:val="18"/>
              </w:rPr>
            </w:pPr>
            <w:r>
              <w:rPr>
                <w:sz w:val="18"/>
              </w:rPr>
              <w:t>nomotético</w:t>
            </w:r>
          </w:p>
        </w:tc>
        <w:tc>
          <w:tcPr>
            <w:tcW w:w="1730" w:type="dxa"/>
          </w:tcPr>
          <w:p>
            <w:pPr>
              <w:pStyle w:val="TableParagraph"/>
              <w:spacing w:before="71"/>
              <w:ind w:left="93" w:right="76" w:firstLine="115"/>
              <w:rPr>
                <w:sz w:val="18"/>
              </w:rPr>
            </w:pPr>
            <w:r>
              <w:rPr>
                <w:sz w:val="18"/>
              </w:rPr>
              <w:t>metroplización y periferia expandida</w:t>
            </w:r>
          </w:p>
        </w:tc>
        <w:tc>
          <w:tcPr>
            <w:tcW w:w="1385" w:type="dxa"/>
          </w:tcPr>
          <w:p>
            <w:pPr>
              <w:pStyle w:val="TableParagraph"/>
              <w:spacing w:before="71"/>
              <w:ind w:left="406" w:right="264" w:hanging="125"/>
              <w:rPr>
                <w:sz w:val="18"/>
              </w:rPr>
            </w:pPr>
            <w:r>
              <w:rPr>
                <w:sz w:val="18"/>
              </w:rPr>
              <w:t>sociología urbana</w:t>
            </w:r>
          </w:p>
        </w:tc>
      </w:tr>
      <w:tr>
        <w:trPr>
          <w:trHeight w:val="1046" w:hRule="exact"/>
        </w:trPr>
        <w:tc>
          <w:tcPr>
            <w:tcW w:w="80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7"/>
              </w:rPr>
            </w:pPr>
          </w:p>
          <w:p>
            <w:pPr>
              <w:pStyle w:val="TableParagraph"/>
              <w:ind w:left="275" w:right="275"/>
              <w:jc w:val="center"/>
              <w:rPr>
                <w:sz w:val="18"/>
              </w:rPr>
            </w:pPr>
            <w:r>
              <w:rPr>
                <w:sz w:val="18"/>
              </w:rPr>
              <w:t>17</w:t>
            </w:r>
          </w:p>
        </w:tc>
        <w:tc>
          <w:tcPr>
            <w:tcW w:w="1289"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17"/>
              </w:rPr>
            </w:pPr>
          </w:p>
          <w:p>
            <w:pPr>
              <w:pStyle w:val="TableParagraph"/>
              <w:ind w:left="201" w:right="187" w:firstLine="134"/>
              <w:rPr>
                <w:sz w:val="18"/>
              </w:rPr>
            </w:pPr>
            <w:r>
              <w:rPr>
                <w:sz w:val="18"/>
              </w:rPr>
              <w:t>Teórica conceptual</w:t>
            </w:r>
          </w:p>
        </w:tc>
        <w:tc>
          <w:tcPr>
            <w:tcW w:w="146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7"/>
              </w:rPr>
            </w:pPr>
          </w:p>
          <w:p>
            <w:pPr>
              <w:pStyle w:val="TableParagraph"/>
              <w:ind w:left="165" w:right="166"/>
              <w:jc w:val="center"/>
              <w:rPr>
                <w:sz w:val="18"/>
              </w:rPr>
            </w:pPr>
            <w:r>
              <w:rPr>
                <w:sz w:val="18"/>
              </w:rPr>
              <w:t>positivista</w:t>
            </w:r>
          </w:p>
        </w:tc>
        <w:tc>
          <w:tcPr>
            <w:tcW w:w="220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7"/>
              </w:rPr>
            </w:pPr>
          </w:p>
          <w:p>
            <w:pPr>
              <w:pStyle w:val="TableParagraph"/>
              <w:ind w:left="652" w:right="47"/>
              <w:rPr>
                <w:sz w:val="18"/>
              </w:rPr>
            </w:pPr>
            <w:r>
              <w:rPr>
                <w:sz w:val="18"/>
              </w:rPr>
              <w:t>nomotético</w:t>
            </w:r>
          </w:p>
        </w:tc>
        <w:tc>
          <w:tcPr>
            <w:tcW w:w="1730" w:type="dxa"/>
          </w:tcPr>
          <w:p>
            <w:pPr>
              <w:pStyle w:val="TableParagraph"/>
              <w:ind w:left="227" w:right="230" w:firstLine="2"/>
              <w:jc w:val="center"/>
              <w:rPr>
                <w:sz w:val="18"/>
              </w:rPr>
            </w:pPr>
            <w:r>
              <w:rPr>
                <w:sz w:val="18"/>
              </w:rPr>
              <w:t>dispersión geográfica y nuevos tipos de economías de aglomeración</w:t>
            </w:r>
          </w:p>
        </w:tc>
        <w:tc>
          <w:tcPr>
            <w:tcW w:w="1385"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17"/>
              </w:rPr>
            </w:pPr>
          </w:p>
          <w:p>
            <w:pPr>
              <w:pStyle w:val="TableParagraph"/>
              <w:ind w:left="406" w:right="275" w:hanging="116"/>
              <w:rPr>
                <w:sz w:val="18"/>
              </w:rPr>
            </w:pPr>
            <w:r>
              <w:rPr>
                <w:sz w:val="18"/>
              </w:rPr>
              <w:t>economía urbana</w:t>
            </w:r>
          </w:p>
        </w:tc>
      </w:tr>
      <w:tr>
        <w:trPr>
          <w:trHeight w:val="494" w:hRule="exact"/>
        </w:trPr>
        <w:tc>
          <w:tcPr>
            <w:tcW w:w="802" w:type="dxa"/>
          </w:tcPr>
          <w:p>
            <w:pPr>
              <w:pStyle w:val="TableParagraph"/>
              <w:spacing w:before="1"/>
              <w:rPr>
                <w:rFonts w:ascii="Times New Roman"/>
                <w:sz w:val="24"/>
              </w:rPr>
            </w:pPr>
          </w:p>
          <w:p>
            <w:pPr>
              <w:pStyle w:val="TableParagraph"/>
              <w:ind w:left="275" w:right="275"/>
              <w:jc w:val="center"/>
              <w:rPr>
                <w:sz w:val="18"/>
              </w:rPr>
            </w:pPr>
            <w:r>
              <w:rPr>
                <w:sz w:val="18"/>
              </w:rPr>
              <w:t>18</w:t>
            </w:r>
          </w:p>
        </w:tc>
        <w:tc>
          <w:tcPr>
            <w:tcW w:w="1289" w:type="dxa"/>
          </w:tcPr>
          <w:p>
            <w:pPr>
              <w:pStyle w:val="TableParagraph"/>
              <w:spacing w:before="71"/>
              <w:ind w:left="201" w:right="187" w:firstLine="134"/>
              <w:rPr>
                <w:sz w:val="18"/>
              </w:rPr>
            </w:pPr>
            <w:r>
              <w:rPr>
                <w:sz w:val="18"/>
              </w:rPr>
              <w:t>Teórica conceptual</w:t>
            </w:r>
          </w:p>
        </w:tc>
        <w:tc>
          <w:tcPr>
            <w:tcW w:w="1462" w:type="dxa"/>
          </w:tcPr>
          <w:p>
            <w:pPr>
              <w:pStyle w:val="TableParagraph"/>
              <w:spacing w:before="1"/>
              <w:rPr>
                <w:rFonts w:ascii="Times New Roman"/>
                <w:sz w:val="24"/>
              </w:rPr>
            </w:pPr>
          </w:p>
          <w:p>
            <w:pPr>
              <w:pStyle w:val="TableParagraph"/>
              <w:ind w:left="165" w:right="166"/>
              <w:jc w:val="center"/>
              <w:rPr>
                <w:sz w:val="18"/>
              </w:rPr>
            </w:pPr>
            <w:r>
              <w:rPr>
                <w:sz w:val="18"/>
              </w:rPr>
              <w:t>positivista</w:t>
            </w:r>
          </w:p>
        </w:tc>
        <w:tc>
          <w:tcPr>
            <w:tcW w:w="2201" w:type="dxa"/>
          </w:tcPr>
          <w:p>
            <w:pPr>
              <w:pStyle w:val="TableParagraph"/>
              <w:spacing w:before="1"/>
              <w:rPr>
                <w:rFonts w:ascii="Times New Roman"/>
                <w:sz w:val="24"/>
              </w:rPr>
            </w:pPr>
          </w:p>
          <w:p>
            <w:pPr>
              <w:pStyle w:val="TableParagraph"/>
              <w:ind w:left="652" w:right="47"/>
              <w:rPr>
                <w:sz w:val="18"/>
              </w:rPr>
            </w:pPr>
            <w:r>
              <w:rPr>
                <w:sz w:val="18"/>
              </w:rPr>
              <w:t>nomotético</w:t>
            </w:r>
          </w:p>
        </w:tc>
        <w:tc>
          <w:tcPr>
            <w:tcW w:w="1730" w:type="dxa"/>
          </w:tcPr>
          <w:p>
            <w:pPr/>
          </w:p>
        </w:tc>
        <w:tc>
          <w:tcPr>
            <w:tcW w:w="1385" w:type="dxa"/>
          </w:tcPr>
          <w:p>
            <w:pPr>
              <w:pStyle w:val="TableParagraph"/>
              <w:spacing w:before="71"/>
              <w:ind w:left="406" w:right="275" w:hanging="116"/>
              <w:rPr>
                <w:sz w:val="18"/>
              </w:rPr>
            </w:pPr>
            <w:r>
              <w:rPr>
                <w:sz w:val="18"/>
              </w:rPr>
              <w:t>economía urbana</w:t>
            </w:r>
          </w:p>
        </w:tc>
      </w:tr>
      <w:tr>
        <w:trPr>
          <w:trHeight w:val="425" w:hRule="exact"/>
        </w:trPr>
        <w:tc>
          <w:tcPr>
            <w:tcW w:w="802" w:type="dxa"/>
          </w:tcPr>
          <w:p>
            <w:pPr>
              <w:pStyle w:val="TableParagraph"/>
              <w:rPr>
                <w:rFonts w:ascii="Times New Roman"/>
                <w:sz w:val="18"/>
              </w:rPr>
            </w:pPr>
          </w:p>
          <w:p>
            <w:pPr>
              <w:pStyle w:val="TableParagraph"/>
              <w:spacing w:before="1"/>
              <w:ind w:left="275" w:right="275"/>
              <w:jc w:val="center"/>
              <w:rPr>
                <w:sz w:val="18"/>
              </w:rPr>
            </w:pPr>
            <w:r>
              <w:rPr>
                <w:sz w:val="18"/>
              </w:rPr>
              <w:t>19</w:t>
            </w:r>
          </w:p>
        </w:tc>
        <w:tc>
          <w:tcPr>
            <w:tcW w:w="1289" w:type="dxa"/>
          </w:tcPr>
          <w:p>
            <w:pPr>
              <w:pStyle w:val="TableParagraph"/>
              <w:rPr>
                <w:rFonts w:ascii="Times New Roman"/>
                <w:sz w:val="18"/>
              </w:rPr>
            </w:pPr>
          </w:p>
          <w:p>
            <w:pPr>
              <w:pStyle w:val="TableParagraph"/>
              <w:spacing w:before="1"/>
              <w:ind w:left="244" w:right="245"/>
              <w:jc w:val="center"/>
              <w:rPr>
                <w:sz w:val="18"/>
              </w:rPr>
            </w:pPr>
            <w:r>
              <w:rPr>
                <w:sz w:val="18"/>
              </w:rPr>
              <w:t>Empírica</w:t>
            </w:r>
          </w:p>
        </w:tc>
        <w:tc>
          <w:tcPr>
            <w:tcW w:w="1462" w:type="dxa"/>
          </w:tcPr>
          <w:p>
            <w:pPr>
              <w:pStyle w:val="TableParagraph"/>
              <w:rPr>
                <w:rFonts w:ascii="Times New Roman"/>
                <w:sz w:val="18"/>
              </w:rPr>
            </w:pPr>
          </w:p>
          <w:p>
            <w:pPr>
              <w:pStyle w:val="TableParagraph"/>
              <w:spacing w:before="1"/>
              <w:ind w:left="165" w:right="166"/>
              <w:jc w:val="center"/>
              <w:rPr>
                <w:sz w:val="18"/>
              </w:rPr>
            </w:pPr>
            <w:r>
              <w:rPr>
                <w:sz w:val="18"/>
              </w:rPr>
              <w:t>positivista</w:t>
            </w:r>
          </w:p>
        </w:tc>
        <w:tc>
          <w:tcPr>
            <w:tcW w:w="2201" w:type="dxa"/>
          </w:tcPr>
          <w:p>
            <w:pPr>
              <w:pStyle w:val="TableParagraph"/>
              <w:rPr>
                <w:rFonts w:ascii="Times New Roman"/>
                <w:sz w:val="18"/>
              </w:rPr>
            </w:pPr>
          </w:p>
          <w:p>
            <w:pPr>
              <w:pStyle w:val="TableParagraph"/>
              <w:spacing w:before="1"/>
              <w:ind w:left="652" w:right="47"/>
              <w:rPr>
                <w:sz w:val="18"/>
              </w:rPr>
            </w:pPr>
            <w:r>
              <w:rPr>
                <w:sz w:val="18"/>
              </w:rPr>
              <w:t>nomotético</w:t>
            </w:r>
          </w:p>
        </w:tc>
        <w:tc>
          <w:tcPr>
            <w:tcW w:w="1730" w:type="dxa"/>
          </w:tcPr>
          <w:p>
            <w:pPr>
              <w:pStyle w:val="TableParagraph"/>
              <w:rPr>
                <w:rFonts w:ascii="Times New Roman"/>
                <w:sz w:val="18"/>
              </w:rPr>
            </w:pPr>
          </w:p>
          <w:p>
            <w:pPr>
              <w:pStyle w:val="TableParagraph"/>
              <w:spacing w:before="1"/>
              <w:ind w:left="49" w:right="49"/>
              <w:jc w:val="center"/>
              <w:rPr>
                <w:sz w:val="18"/>
              </w:rPr>
            </w:pPr>
            <w:r>
              <w:rPr>
                <w:sz w:val="18"/>
              </w:rPr>
              <w:t>dualización urbana</w:t>
            </w:r>
          </w:p>
        </w:tc>
        <w:tc>
          <w:tcPr>
            <w:tcW w:w="1385" w:type="dxa"/>
          </w:tcPr>
          <w:p>
            <w:pPr>
              <w:pStyle w:val="TableParagraph"/>
              <w:spacing w:before="1"/>
              <w:ind w:left="406" w:right="264" w:hanging="125"/>
              <w:rPr>
                <w:sz w:val="18"/>
              </w:rPr>
            </w:pPr>
            <w:r>
              <w:rPr>
                <w:sz w:val="18"/>
              </w:rPr>
              <w:t>sociología urbana</w:t>
            </w:r>
          </w:p>
        </w:tc>
      </w:tr>
    </w:tbl>
    <w:p>
      <w:pPr>
        <w:spacing w:after="0"/>
        <w:rPr>
          <w:sz w:val="18"/>
        </w:rPr>
        <w:sectPr>
          <w:pgSz w:w="12240" w:h="15840"/>
          <w:pgMar w:header="0" w:footer="629" w:top="1500" w:bottom="820" w:left="1580" w:right="156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2"/>
        <w:gridCol w:w="1289"/>
        <w:gridCol w:w="1462"/>
        <w:gridCol w:w="2201"/>
        <w:gridCol w:w="1730"/>
        <w:gridCol w:w="1385"/>
      </w:tblGrid>
      <w:tr>
        <w:trPr>
          <w:trHeight w:val="332" w:hRule="exact"/>
        </w:trPr>
        <w:tc>
          <w:tcPr>
            <w:tcW w:w="802" w:type="dxa"/>
            <w:vMerge w:val="restart"/>
          </w:tcPr>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19"/>
              </w:rPr>
            </w:pPr>
          </w:p>
          <w:p>
            <w:pPr>
              <w:pStyle w:val="TableParagraph"/>
              <w:ind w:left="64" w:right="64" w:hanging="2"/>
              <w:jc w:val="center"/>
              <w:rPr>
                <w:b/>
                <w:sz w:val="18"/>
              </w:rPr>
            </w:pPr>
            <w:r>
              <w:rPr>
                <w:b/>
                <w:sz w:val="18"/>
              </w:rPr>
              <w:t>Unidad de análisis</w:t>
            </w:r>
          </w:p>
        </w:tc>
        <w:tc>
          <w:tcPr>
            <w:tcW w:w="8068" w:type="dxa"/>
            <w:gridSpan w:val="5"/>
          </w:tcPr>
          <w:p>
            <w:pPr>
              <w:pStyle w:val="TableParagraph"/>
              <w:spacing w:before="37"/>
              <w:ind w:left="2172"/>
              <w:rPr>
                <w:b/>
                <w:sz w:val="24"/>
              </w:rPr>
            </w:pPr>
            <w:r>
              <w:rPr>
                <w:b/>
                <w:sz w:val="24"/>
              </w:rPr>
              <w:t>Sección 3. Tipo de investigación</w:t>
            </w:r>
          </w:p>
        </w:tc>
      </w:tr>
      <w:tr>
        <w:trPr>
          <w:trHeight w:val="252" w:hRule="exact"/>
        </w:trPr>
        <w:tc>
          <w:tcPr>
            <w:tcW w:w="802" w:type="dxa"/>
            <w:vMerge/>
          </w:tcPr>
          <w:p>
            <w:pPr/>
          </w:p>
        </w:tc>
        <w:tc>
          <w:tcPr>
            <w:tcW w:w="1289" w:type="dxa"/>
          </w:tcPr>
          <w:p>
            <w:pPr>
              <w:pStyle w:val="TableParagraph"/>
              <w:spacing w:before="26"/>
              <w:ind w:left="244" w:right="245"/>
              <w:jc w:val="center"/>
              <w:rPr>
                <w:b/>
                <w:sz w:val="18"/>
              </w:rPr>
            </w:pPr>
            <w:r>
              <w:rPr>
                <w:b/>
                <w:sz w:val="16"/>
              </w:rPr>
              <w:t>variable </w:t>
            </w:r>
            <w:r>
              <w:rPr>
                <w:b/>
                <w:sz w:val="18"/>
              </w:rPr>
              <w:t>1</w:t>
            </w:r>
          </w:p>
        </w:tc>
        <w:tc>
          <w:tcPr>
            <w:tcW w:w="1462" w:type="dxa"/>
          </w:tcPr>
          <w:p>
            <w:pPr>
              <w:pStyle w:val="TableParagraph"/>
              <w:spacing w:before="26"/>
              <w:ind w:left="166" w:right="166"/>
              <w:jc w:val="center"/>
              <w:rPr>
                <w:b/>
                <w:sz w:val="18"/>
              </w:rPr>
            </w:pPr>
            <w:r>
              <w:rPr>
                <w:b/>
                <w:sz w:val="16"/>
              </w:rPr>
              <w:t>variable </w:t>
            </w:r>
            <w:r>
              <w:rPr>
                <w:b/>
                <w:sz w:val="18"/>
              </w:rPr>
              <w:t>2</w:t>
            </w:r>
          </w:p>
        </w:tc>
        <w:tc>
          <w:tcPr>
            <w:tcW w:w="2201" w:type="dxa"/>
          </w:tcPr>
          <w:p>
            <w:pPr>
              <w:pStyle w:val="TableParagraph"/>
              <w:spacing w:before="26"/>
              <w:ind w:left="715" w:right="47"/>
              <w:rPr>
                <w:b/>
                <w:sz w:val="18"/>
              </w:rPr>
            </w:pPr>
            <w:r>
              <w:rPr>
                <w:b/>
                <w:sz w:val="16"/>
              </w:rPr>
              <w:t>variable </w:t>
            </w:r>
            <w:r>
              <w:rPr>
                <w:b/>
                <w:sz w:val="18"/>
              </w:rPr>
              <w:t>3</w:t>
            </w:r>
          </w:p>
        </w:tc>
        <w:tc>
          <w:tcPr>
            <w:tcW w:w="1730" w:type="dxa"/>
          </w:tcPr>
          <w:p>
            <w:pPr>
              <w:pStyle w:val="TableParagraph"/>
              <w:spacing w:before="26"/>
              <w:ind w:left="49" w:right="48"/>
              <w:jc w:val="center"/>
              <w:rPr>
                <w:b/>
                <w:sz w:val="18"/>
              </w:rPr>
            </w:pPr>
            <w:r>
              <w:rPr>
                <w:b/>
                <w:sz w:val="16"/>
              </w:rPr>
              <w:t>variable </w:t>
            </w:r>
            <w:r>
              <w:rPr>
                <w:b/>
                <w:sz w:val="18"/>
              </w:rPr>
              <w:t>4</w:t>
            </w:r>
          </w:p>
        </w:tc>
        <w:tc>
          <w:tcPr>
            <w:tcW w:w="1385" w:type="dxa"/>
          </w:tcPr>
          <w:p>
            <w:pPr>
              <w:pStyle w:val="TableParagraph"/>
              <w:spacing w:before="26"/>
              <w:ind w:left="105" w:right="103"/>
              <w:jc w:val="center"/>
              <w:rPr>
                <w:b/>
                <w:sz w:val="18"/>
              </w:rPr>
            </w:pPr>
            <w:r>
              <w:rPr>
                <w:b/>
                <w:sz w:val="16"/>
              </w:rPr>
              <w:t>variable </w:t>
            </w:r>
            <w:r>
              <w:rPr>
                <w:b/>
                <w:sz w:val="18"/>
              </w:rPr>
              <w:t>5</w:t>
            </w:r>
          </w:p>
        </w:tc>
      </w:tr>
      <w:tr>
        <w:trPr>
          <w:trHeight w:val="698" w:hRule="exact"/>
        </w:trPr>
        <w:tc>
          <w:tcPr>
            <w:tcW w:w="802" w:type="dxa"/>
            <w:vMerge/>
          </w:tcPr>
          <w:p>
            <w:pPr/>
          </w:p>
        </w:tc>
        <w:tc>
          <w:tcPr>
            <w:tcW w:w="1289" w:type="dxa"/>
          </w:tcPr>
          <w:p>
            <w:pPr>
              <w:pStyle w:val="TableParagraph"/>
              <w:spacing w:before="11"/>
              <w:rPr>
                <w:rFonts w:ascii="Times New Roman"/>
                <w:sz w:val="22"/>
              </w:rPr>
            </w:pPr>
          </w:p>
          <w:p>
            <w:pPr>
              <w:pStyle w:val="TableParagraph"/>
              <w:ind w:left="62" w:right="46" w:firstLine="254"/>
              <w:rPr>
                <w:b/>
                <w:sz w:val="18"/>
              </w:rPr>
            </w:pPr>
            <w:r>
              <w:rPr>
                <w:b/>
                <w:sz w:val="18"/>
              </w:rPr>
              <w:t>Tipo de investigación</w:t>
            </w:r>
          </w:p>
        </w:tc>
        <w:tc>
          <w:tcPr>
            <w:tcW w:w="1462" w:type="dxa"/>
          </w:tcPr>
          <w:p>
            <w:pPr>
              <w:pStyle w:val="TableParagraph"/>
              <w:spacing w:before="11"/>
              <w:rPr>
                <w:rFonts w:ascii="Times New Roman"/>
                <w:sz w:val="22"/>
              </w:rPr>
            </w:pPr>
          </w:p>
          <w:p>
            <w:pPr>
              <w:pStyle w:val="TableParagraph"/>
              <w:ind w:left="64" w:right="48" w:firstLine="444"/>
              <w:rPr>
                <w:b/>
                <w:sz w:val="18"/>
              </w:rPr>
            </w:pPr>
            <w:r>
              <w:rPr>
                <w:b/>
                <w:sz w:val="18"/>
              </w:rPr>
              <w:t>Nivel epistemológico</w:t>
            </w:r>
          </w:p>
        </w:tc>
        <w:tc>
          <w:tcPr>
            <w:tcW w:w="2201" w:type="dxa"/>
          </w:tcPr>
          <w:p>
            <w:pPr>
              <w:pStyle w:val="TableParagraph"/>
              <w:spacing w:before="11"/>
              <w:rPr>
                <w:rFonts w:ascii="Times New Roman"/>
                <w:sz w:val="22"/>
              </w:rPr>
            </w:pPr>
          </w:p>
          <w:p>
            <w:pPr>
              <w:pStyle w:val="TableParagraph"/>
              <w:ind w:left="64" w:right="47" w:firstLine="196"/>
              <w:rPr>
                <w:b/>
                <w:sz w:val="18"/>
              </w:rPr>
            </w:pPr>
            <w:r>
              <w:rPr>
                <w:b/>
                <w:sz w:val="18"/>
              </w:rPr>
              <w:t>Nivel metodológico (nomotético/idiográfico)</w:t>
            </w:r>
          </w:p>
        </w:tc>
        <w:tc>
          <w:tcPr>
            <w:tcW w:w="1730" w:type="dxa"/>
          </w:tcPr>
          <w:p>
            <w:pPr>
              <w:pStyle w:val="TableParagraph"/>
              <w:rPr>
                <w:rFonts w:ascii="Times New Roman"/>
                <w:sz w:val="18"/>
              </w:rPr>
            </w:pPr>
          </w:p>
          <w:p>
            <w:pPr>
              <w:pStyle w:val="TableParagraph"/>
              <w:spacing w:before="1"/>
              <w:rPr>
                <w:rFonts w:ascii="Times New Roman"/>
                <w:sz w:val="23"/>
              </w:rPr>
            </w:pPr>
          </w:p>
          <w:p>
            <w:pPr>
              <w:pStyle w:val="TableParagraph"/>
              <w:ind w:left="48" w:right="49"/>
              <w:jc w:val="center"/>
              <w:rPr>
                <w:b/>
                <w:sz w:val="18"/>
              </w:rPr>
            </w:pPr>
            <w:r>
              <w:rPr>
                <w:b/>
                <w:sz w:val="18"/>
              </w:rPr>
              <w:t>Corriente teórica</w:t>
            </w:r>
          </w:p>
        </w:tc>
        <w:tc>
          <w:tcPr>
            <w:tcW w:w="1385" w:type="dxa"/>
          </w:tcPr>
          <w:p>
            <w:pPr>
              <w:pStyle w:val="TableParagraph"/>
              <w:spacing w:before="57"/>
              <w:ind w:left="105" w:right="106"/>
              <w:jc w:val="center"/>
              <w:rPr>
                <w:b/>
                <w:sz w:val="18"/>
              </w:rPr>
            </w:pPr>
            <w:r>
              <w:rPr>
                <w:b/>
                <w:sz w:val="18"/>
              </w:rPr>
              <w:t>Ámbito disciplinar de teoría</w:t>
            </w:r>
          </w:p>
        </w:tc>
      </w:tr>
      <w:tr>
        <w:trPr>
          <w:trHeight w:val="494" w:hRule="exact"/>
        </w:trPr>
        <w:tc>
          <w:tcPr>
            <w:tcW w:w="802" w:type="dxa"/>
          </w:tcPr>
          <w:p>
            <w:pPr>
              <w:pStyle w:val="TableParagraph"/>
              <w:spacing w:before="9"/>
              <w:rPr>
                <w:rFonts w:ascii="Times New Roman"/>
                <w:sz w:val="23"/>
              </w:rPr>
            </w:pPr>
          </w:p>
          <w:p>
            <w:pPr>
              <w:pStyle w:val="TableParagraph"/>
              <w:ind w:left="275" w:right="275"/>
              <w:jc w:val="center"/>
              <w:rPr>
                <w:sz w:val="18"/>
              </w:rPr>
            </w:pPr>
            <w:r>
              <w:rPr>
                <w:sz w:val="18"/>
              </w:rPr>
              <w:t>20</w:t>
            </w:r>
          </w:p>
        </w:tc>
        <w:tc>
          <w:tcPr>
            <w:tcW w:w="1289" w:type="dxa"/>
          </w:tcPr>
          <w:p>
            <w:pPr>
              <w:pStyle w:val="TableParagraph"/>
              <w:spacing w:before="9"/>
              <w:rPr>
                <w:rFonts w:ascii="Times New Roman"/>
                <w:sz w:val="23"/>
              </w:rPr>
            </w:pPr>
          </w:p>
          <w:p>
            <w:pPr>
              <w:pStyle w:val="TableParagraph"/>
              <w:ind w:left="244" w:right="245"/>
              <w:jc w:val="center"/>
              <w:rPr>
                <w:sz w:val="18"/>
              </w:rPr>
            </w:pPr>
            <w:r>
              <w:rPr>
                <w:sz w:val="18"/>
              </w:rPr>
              <w:t>Empírica</w:t>
            </w:r>
          </w:p>
        </w:tc>
        <w:tc>
          <w:tcPr>
            <w:tcW w:w="1462" w:type="dxa"/>
          </w:tcPr>
          <w:p>
            <w:pPr>
              <w:pStyle w:val="TableParagraph"/>
              <w:spacing w:before="9"/>
              <w:rPr>
                <w:rFonts w:ascii="Times New Roman"/>
                <w:sz w:val="23"/>
              </w:rPr>
            </w:pPr>
          </w:p>
          <w:p>
            <w:pPr>
              <w:pStyle w:val="TableParagraph"/>
              <w:ind w:left="165" w:right="166"/>
              <w:jc w:val="center"/>
              <w:rPr>
                <w:sz w:val="18"/>
              </w:rPr>
            </w:pPr>
            <w:r>
              <w:rPr>
                <w:sz w:val="18"/>
              </w:rPr>
              <w:t>positivista</w:t>
            </w:r>
          </w:p>
        </w:tc>
        <w:tc>
          <w:tcPr>
            <w:tcW w:w="2201" w:type="dxa"/>
          </w:tcPr>
          <w:p>
            <w:pPr>
              <w:pStyle w:val="TableParagraph"/>
              <w:spacing w:before="9"/>
              <w:rPr>
                <w:rFonts w:ascii="Times New Roman"/>
                <w:sz w:val="23"/>
              </w:rPr>
            </w:pPr>
          </w:p>
          <w:p>
            <w:pPr>
              <w:pStyle w:val="TableParagraph"/>
              <w:ind w:left="652" w:right="47"/>
              <w:rPr>
                <w:sz w:val="18"/>
              </w:rPr>
            </w:pPr>
            <w:r>
              <w:rPr>
                <w:sz w:val="18"/>
              </w:rPr>
              <w:t>nomotético</w:t>
            </w:r>
          </w:p>
        </w:tc>
        <w:tc>
          <w:tcPr>
            <w:tcW w:w="1730" w:type="dxa"/>
          </w:tcPr>
          <w:p>
            <w:pPr/>
          </w:p>
        </w:tc>
        <w:tc>
          <w:tcPr>
            <w:tcW w:w="1385" w:type="dxa"/>
          </w:tcPr>
          <w:p>
            <w:pPr>
              <w:pStyle w:val="TableParagraph"/>
              <w:spacing w:before="67"/>
              <w:ind w:left="201" w:right="90" w:firstLine="159"/>
              <w:rPr>
                <w:sz w:val="18"/>
              </w:rPr>
            </w:pPr>
            <w:r>
              <w:rPr>
                <w:sz w:val="18"/>
              </w:rPr>
              <w:t>ciencias </w:t>
            </w:r>
            <w:r>
              <w:rPr>
                <w:w w:val="95"/>
                <w:sz w:val="18"/>
              </w:rPr>
              <w:t>ambientales</w:t>
            </w:r>
          </w:p>
        </w:tc>
      </w:tr>
      <w:tr>
        <w:trPr>
          <w:trHeight w:val="425" w:hRule="exact"/>
        </w:trPr>
        <w:tc>
          <w:tcPr>
            <w:tcW w:w="802" w:type="dxa"/>
          </w:tcPr>
          <w:p>
            <w:pPr>
              <w:pStyle w:val="TableParagraph"/>
              <w:spacing w:before="8"/>
              <w:rPr>
                <w:rFonts w:ascii="Times New Roman"/>
                <w:sz w:val="17"/>
              </w:rPr>
            </w:pPr>
          </w:p>
          <w:p>
            <w:pPr>
              <w:pStyle w:val="TableParagraph"/>
              <w:ind w:left="275" w:right="275"/>
              <w:jc w:val="center"/>
              <w:rPr>
                <w:sz w:val="18"/>
              </w:rPr>
            </w:pPr>
            <w:r>
              <w:rPr>
                <w:sz w:val="18"/>
              </w:rPr>
              <w:t>21</w:t>
            </w:r>
          </w:p>
        </w:tc>
        <w:tc>
          <w:tcPr>
            <w:tcW w:w="1289" w:type="dxa"/>
          </w:tcPr>
          <w:p>
            <w:pPr>
              <w:pStyle w:val="TableParagraph"/>
              <w:spacing w:before="8"/>
              <w:rPr>
                <w:rFonts w:ascii="Times New Roman"/>
                <w:sz w:val="17"/>
              </w:rPr>
            </w:pPr>
          </w:p>
          <w:p>
            <w:pPr>
              <w:pStyle w:val="TableParagraph"/>
              <w:ind w:left="244" w:right="245"/>
              <w:jc w:val="center"/>
              <w:rPr>
                <w:sz w:val="18"/>
              </w:rPr>
            </w:pPr>
            <w:r>
              <w:rPr>
                <w:sz w:val="18"/>
              </w:rPr>
              <w:t>Empírica</w:t>
            </w:r>
          </w:p>
        </w:tc>
        <w:tc>
          <w:tcPr>
            <w:tcW w:w="1462" w:type="dxa"/>
          </w:tcPr>
          <w:p>
            <w:pPr>
              <w:pStyle w:val="TableParagraph"/>
              <w:spacing w:before="8"/>
              <w:rPr>
                <w:rFonts w:ascii="Times New Roman"/>
                <w:sz w:val="17"/>
              </w:rPr>
            </w:pPr>
          </w:p>
          <w:p>
            <w:pPr>
              <w:pStyle w:val="TableParagraph"/>
              <w:ind w:left="165" w:right="166"/>
              <w:jc w:val="center"/>
              <w:rPr>
                <w:sz w:val="18"/>
              </w:rPr>
            </w:pPr>
            <w:r>
              <w:rPr>
                <w:sz w:val="18"/>
              </w:rPr>
              <w:t>positivista</w:t>
            </w:r>
          </w:p>
        </w:tc>
        <w:tc>
          <w:tcPr>
            <w:tcW w:w="2201" w:type="dxa"/>
          </w:tcPr>
          <w:p>
            <w:pPr>
              <w:pStyle w:val="TableParagraph"/>
              <w:spacing w:before="8"/>
              <w:rPr>
                <w:rFonts w:ascii="Times New Roman"/>
                <w:sz w:val="17"/>
              </w:rPr>
            </w:pPr>
          </w:p>
          <w:p>
            <w:pPr>
              <w:pStyle w:val="TableParagraph"/>
              <w:ind w:left="652" w:right="47"/>
              <w:rPr>
                <w:sz w:val="18"/>
              </w:rPr>
            </w:pPr>
            <w:r>
              <w:rPr>
                <w:sz w:val="18"/>
              </w:rPr>
              <w:t>nomotético</w:t>
            </w:r>
          </w:p>
        </w:tc>
        <w:tc>
          <w:tcPr>
            <w:tcW w:w="1730" w:type="dxa"/>
          </w:tcPr>
          <w:p>
            <w:pPr/>
          </w:p>
        </w:tc>
        <w:tc>
          <w:tcPr>
            <w:tcW w:w="1385" w:type="dxa"/>
          </w:tcPr>
          <w:p>
            <w:pPr>
              <w:pStyle w:val="TableParagraph"/>
              <w:spacing w:line="206" w:lineRule="exact" w:before="1"/>
              <w:ind w:left="406" w:right="275" w:hanging="116"/>
              <w:rPr>
                <w:sz w:val="18"/>
              </w:rPr>
            </w:pPr>
            <w:r>
              <w:rPr>
                <w:sz w:val="18"/>
              </w:rPr>
              <w:t>economía urbana</w:t>
            </w:r>
          </w:p>
        </w:tc>
      </w:tr>
      <w:tr>
        <w:trPr>
          <w:trHeight w:val="497" w:hRule="exact"/>
        </w:trPr>
        <w:tc>
          <w:tcPr>
            <w:tcW w:w="802" w:type="dxa"/>
          </w:tcPr>
          <w:p>
            <w:pPr>
              <w:pStyle w:val="TableParagraph"/>
              <w:spacing w:before="9"/>
              <w:rPr>
                <w:rFonts w:ascii="Times New Roman"/>
                <w:sz w:val="23"/>
              </w:rPr>
            </w:pPr>
          </w:p>
          <w:p>
            <w:pPr>
              <w:pStyle w:val="TableParagraph"/>
              <w:ind w:left="275" w:right="275"/>
              <w:jc w:val="center"/>
              <w:rPr>
                <w:sz w:val="18"/>
              </w:rPr>
            </w:pPr>
            <w:r>
              <w:rPr>
                <w:sz w:val="18"/>
              </w:rPr>
              <w:t>22</w:t>
            </w:r>
          </w:p>
        </w:tc>
        <w:tc>
          <w:tcPr>
            <w:tcW w:w="1289" w:type="dxa"/>
          </w:tcPr>
          <w:p>
            <w:pPr>
              <w:pStyle w:val="TableParagraph"/>
              <w:spacing w:before="67"/>
              <w:ind w:left="201" w:right="187" w:firstLine="134"/>
              <w:rPr>
                <w:sz w:val="18"/>
              </w:rPr>
            </w:pPr>
            <w:r>
              <w:rPr>
                <w:sz w:val="18"/>
              </w:rPr>
              <w:t>Teórica conceptual</w:t>
            </w:r>
          </w:p>
        </w:tc>
        <w:tc>
          <w:tcPr>
            <w:tcW w:w="1462" w:type="dxa"/>
          </w:tcPr>
          <w:p>
            <w:pPr>
              <w:pStyle w:val="TableParagraph"/>
              <w:spacing w:before="9"/>
              <w:rPr>
                <w:rFonts w:ascii="Times New Roman"/>
                <w:sz w:val="23"/>
              </w:rPr>
            </w:pPr>
          </w:p>
          <w:p>
            <w:pPr>
              <w:pStyle w:val="TableParagraph"/>
              <w:ind w:left="165" w:right="166"/>
              <w:jc w:val="center"/>
              <w:rPr>
                <w:sz w:val="18"/>
              </w:rPr>
            </w:pPr>
            <w:r>
              <w:rPr>
                <w:sz w:val="18"/>
              </w:rPr>
              <w:t>positivista</w:t>
            </w:r>
          </w:p>
        </w:tc>
        <w:tc>
          <w:tcPr>
            <w:tcW w:w="2201" w:type="dxa"/>
          </w:tcPr>
          <w:p>
            <w:pPr>
              <w:pStyle w:val="TableParagraph"/>
              <w:spacing w:before="9"/>
              <w:rPr>
                <w:rFonts w:ascii="Times New Roman"/>
                <w:sz w:val="23"/>
              </w:rPr>
            </w:pPr>
          </w:p>
          <w:p>
            <w:pPr>
              <w:pStyle w:val="TableParagraph"/>
              <w:ind w:left="652" w:right="47"/>
              <w:rPr>
                <w:sz w:val="18"/>
              </w:rPr>
            </w:pPr>
            <w:r>
              <w:rPr>
                <w:sz w:val="18"/>
              </w:rPr>
              <w:t>nomotético</w:t>
            </w:r>
          </w:p>
        </w:tc>
        <w:tc>
          <w:tcPr>
            <w:tcW w:w="1730" w:type="dxa"/>
          </w:tcPr>
          <w:p>
            <w:pPr/>
          </w:p>
        </w:tc>
        <w:tc>
          <w:tcPr>
            <w:tcW w:w="1385" w:type="dxa"/>
          </w:tcPr>
          <w:p>
            <w:pPr>
              <w:pStyle w:val="TableParagraph"/>
              <w:spacing w:before="67"/>
              <w:ind w:left="401" w:right="90" w:hanging="296"/>
              <w:rPr>
                <w:sz w:val="18"/>
              </w:rPr>
            </w:pPr>
            <w:r>
              <w:rPr>
                <w:sz w:val="18"/>
              </w:rPr>
              <w:t>administración pública</w:t>
            </w:r>
          </w:p>
        </w:tc>
      </w:tr>
      <w:tr>
        <w:trPr>
          <w:trHeight w:val="494" w:hRule="exact"/>
        </w:trPr>
        <w:tc>
          <w:tcPr>
            <w:tcW w:w="802" w:type="dxa"/>
          </w:tcPr>
          <w:p>
            <w:pPr>
              <w:pStyle w:val="TableParagraph"/>
              <w:spacing w:before="9"/>
              <w:rPr>
                <w:rFonts w:ascii="Times New Roman"/>
                <w:sz w:val="23"/>
              </w:rPr>
            </w:pPr>
          </w:p>
          <w:p>
            <w:pPr>
              <w:pStyle w:val="TableParagraph"/>
              <w:ind w:left="275" w:right="275"/>
              <w:jc w:val="center"/>
              <w:rPr>
                <w:sz w:val="18"/>
              </w:rPr>
            </w:pPr>
            <w:r>
              <w:rPr>
                <w:sz w:val="18"/>
              </w:rPr>
              <w:t>23</w:t>
            </w:r>
          </w:p>
        </w:tc>
        <w:tc>
          <w:tcPr>
            <w:tcW w:w="1289" w:type="dxa"/>
          </w:tcPr>
          <w:p>
            <w:pPr>
              <w:pStyle w:val="TableParagraph"/>
              <w:spacing w:before="67"/>
              <w:ind w:left="201" w:right="187" w:firstLine="134"/>
              <w:rPr>
                <w:sz w:val="18"/>
              </w:rPr>
            </w:pPr>
            <w:r>
              <w:rPr>
                <w:sz w:val="18"/>
              </w:rPr>
              <w:t>Teórica conceptual</w:t>
            </w:r>
          </w:p>
        </w:tc>
        <w:tc>
          <w:tcPr>
            <w:tcW w:w="1462" w:type="dxa"/>
          </w:tcPr>
          <w:p>
            <w:pPr>
              <w:pStyle w:val="TableParagraph"/>
              <w:spacing w:before="9"/>
              <w:rPr>
                <w:rFonts w:ascii="Times New Roman"/>
                <w:sz w:val="23"/>
              </w:rPr>
            </w:pPr>
          </w:p>
          <w:p>
            <w:pPr>
              <w:pStyle w:val="TableParagraph"/>
              <w:ind w:left="166" w:right="166"/>
              <w:jc w:val="center"/>
              <w:rPr>
                <w:sz w:val="18"/>
              </w:rPr>
            </w:pPr>
            <w:r>
              <w:rPr>
                <w:sz w:val="18"/>
              </w:rPr>
              <w:t>pospositivista</w:t>
            </w:r>
          </w:p>
        </w:tc>
        <w:tc>
          <w:tcPr>
            <w:tcW w:w="2201" w:type="dxa"/>
          </w:tcPr>
          <w:p>
            <w:pPr>
              <w:pStyle w:val="TableParagraph"/>
              <w:spacing w:before="9"/>
              <w:rPr>
                <w:rFonts w:ascii="Times New Roman"/>
                <w:sz w:val="23"/>
              </w:rPr>
            </w:pPr>
          </w:p>
          <w:p>
            <w:pPr>
              <w:pStyle w:val="TableParagraph"/>
              <w:ind w:left="683" w:right="47"/>
              <w:rPr>
                <w:sz w:val="18"/>
              </w:rPr>
            </w:pPr>
            <w:r>
              <w:rPr>
                <w:sz w:val="18"/>
              </w:rPr>
              <w:t>idiográfico</w:t>
            </w:r>
          </w:p>
        </w:tc>
        <w:tc>
          <w:tcPr>
            <w:tcW w:w="1730" w:type="dxa"/>
          </w:tcPr>
          <w:p>
            <w:pPr>
              <w:pStyle w:val="TableParagraph"/>
              <w:spacing w:before="67"/>
              <w:ind w:left="439" w:right="223" w:hanging="202"/>
              <w:rPr>
                <w:sz w:val="18"/>
              </w:rPr>
            </w:pPr>
            <w:r>
              <w:rPr>
                <w:sz w:val="18"/>
              </w:rPr>
              <w:t>constructivismo geográfico</w:t>
            </w:r>
          </w:p>
        </w:tc>
        <w:tc>
          <w:tcPr>
            <w:tcW w:w="1385" w:type="dxa"/>
          </w:tcPr>
          <w:p>
            <w:pPr/>
          </w:p>
        </w:tc>
      </w:tr>
      <w:tr>
        <w:trPr>
          <w:trHeight w:val="425" w:hRule="exact"/>
        </w:trPr>
        <w:tc>
          <w:tcPr>
            <w:tcW w:w="802" w:type="dxa"/>
          </w:tcPr>
          <w:p>
            <w:pPr>
              <w:pStyle w:val="TableParagraph"/>
              <w:spacing w:before="9"/>
              <w:rPr>
                <w:rFonts w:ascii="Times New Roman"/>
                <w:sz w:val="17"/>
              </w:rPr>
            </w:pPr>
          </w:p>
          <w:p>
            <w:pPr>
              <w:pStyle w:val="TableParagraph"/>
              <w:ind w:left="275" w:right="275"/>
              <w:jc w:val="center"/>
              <w:rPr>
                <w:sz w:val="18"/>
              </w:rPr>
            </w:pPr>
            <w:r>
              <w:rPr>
                <w:sz w:val="18"/>
              </w:rPr>
              <w:t>24</w:t>
            </w:r>
          </w:p>
        </w:tc>
        <w:tc>
          <w:tcPr>
            <w:tcW w:w="1289" w:type="dxa"/>
          </w:tcPr>
          <w:p>
            <w:pPr/>
          </w:p>
        </w:tc>
        <w:tc>
          <w:tcPr>
            <w:tcW w:w="1462" w:type="dxa"/>
          </w:tcPr>
          <w:p>
            <w:pPr>
              <w:pStyle w:val="TableParagraph"/>
              <w:spacing w:before="9"/>
              <w:rPr>
                <w:rFonts w:ascii="Times New Roman"/>
                <w:sz w:val="17"/>
              </w:rPr>
            </w:pPr>
          </w:p>
          <w:p>
            <w:pPr>
              <w:pStyle w:val="TableParagraph"/>
              <w:ind w:left="165" w:right="166"/>
              <w:jc w:val="center"/>
              <w:rPr>
                <w:sz w:val="18"/>
              </w:rPr>
            </w:pPr>
            <w:r>
              <w:rPr>
                <w:sz w:val="18"/>
              </w:rPr>
              <w:t>positivista</w:t>
            </w:r>
          </w:p>
        </w:tc>
        <w:tc>
          <w:tcPr>
            <w:tcW w:w="2201" w:type="dxa"/>
          </w:tcPr>
          <w:p>
            <w:pPr>
              <w:pStyle w:val="TableParagraph"/>
              <w:spacing w:before="9"/>
              <w:rPr>
                <w:rFonts w:ascii="Times New Roman"/>
                <w:sz w:val="17"/>
              </w:rPr>
            </w:pPr>
          </w:p>
          <w:p>
            <w:pPr>
              <w:pStyle w:val="TableParagraph"/>
              <w:ind w:left="652" w:right="47"/>
              <w:rPr>
                <w:sz w:val="18"/>
              </w:rPr>
            </w:pPr>
            <w:r>
              <w:rPr>
                <w:sz w:val="18"/>
              </w:rPr>
              <w:t>nomotético</w:t>
            </w:r>
          </w:p>
        </w:tc>
        <w:tc>
          <w:tcPr>
            <w:tcW w:w="1730" w:type="dxa"/>
          </w:tcPr>
          <w:p>
            <w:pPr/>
          </w:p>
        </w:tc>
        <w:tc>
          <w:tcPr>
            <w:tcW w:w="1385" w:type="dxa"/>
          </w:tcPr>
          <w:p>
            <w:pPr>
              <w:pStyle w:val="TableParagraph"/>
              <w:ind w:left="406" w:right="264" w:hanging="125"/>
              <w:rPr>
                <w:sz w:val="18"/>
              </w:rPr>
            </w:pPr>
            <w:r>
              <w:rPr>
                <w:sz w:val="18"/>
              </w:rPr>
              <w:t>sociología urbana</w:t>
            </w:r>
          </w:p>
        </w:tc>
      </w:tr>
      <w:tr>
        <w:trPr>
          <w:trHeight w:val="838" w:hRule="exact"/>
        </w:trPr>
        <w:tc>
          <w:tcPr>
            <w:tcW w:w="802"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275" w:right="275"/>
              <w:jc w:val="center"/>
              <w:rPr>
                <w:sz w:val="18"/>
              </w:rPr>
            </w:pPr>
            <w:r>
              <w:rPr>
                <w:sz w:val="18"/>
              </w:rPr>
              <w:t>25</w:t>
            </w:r>
          </w:p>
        </w:tc>
        <w:tc>
          <w:tcPr>
            <w:tcW w:w="1289"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244" w:right="245"/>
              <w:jc w:val="center"/>
              <w:rPr>
                <w:sz w:val="18"/>
              </w:rPr>
            </w:pPr>
            <w:r>
              <w:rPr>
                <w:sz w:val="18"/>
              </w:rPr>
              <w:t>Empírica</w:t>
            </w:r>
          </w:p>
        </w:tc>
        <w:tc>
          <w:tcPr>
            <w:tcW w:w="1462"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165" w:right="166"/>
              <w:jc w:val="center"/>
              <w:rPr>
                <w:sz w:val="18"/>
              </w:rPr>
            </w:pPr>
            <w:r>
              <w:rPr>
                <w:sz w:val="18"/>
              </w:rPr>
              <w:t>positivista</w:t>
            </w:r>
          </w:p>
        </w:tc>
        <w:tc>
          <w:tcPr>
            <w:tcW w:w="2201"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652" w:right="47"/>
              <w:rPr>
                <w:sz w:val="18"/>
              </w:rPr>
            </w:pPr>
            <w:r>
              <w:rPr>
                <w:sz w:val="18"/>
              </w:rPr>
              <w:t>nomotético</w:t>
            </w:r>
          </w:p>
        </w:tc>
        <w:tc>
          <w:tcPr>
            <w:tcW w:w="1730" w:type="dxa"/>
          </w:tcPr>
          <w:p>
            <w:pPr/>
          </w:p>
        </w:tc>
        <w:tc>
          <w:tcPr>
            <w:tcW w:w="1385" w:type="dxa"/>
          </w:tcPr>
          <w:p>
            <w:pPr>
              <w:pStyle w:val="TableParagraph"/>
              <w:ind w:left="249" w:right="252" w:firstLine="1"/>
              <w:jc w:val="center"/>
              <w:rPr>
                <w:sz w:val="18"/>
              </w:rPr>
            </w:pPr>
            <w:r>
              <w:rPr>
                <w:sz w:val="18"/>
              </w:rPr>
              <w:t>economía urbana y planeación urbana</w:t>
            </w:r>
          </w:p>
        </w:tc>
      </w:tr>
      <w:tr>
        <w:trPr>
          <w:trHeight w:val="838" w:hRule="exact"/>
        </w:trPr>
        <w:tc>
          <w:tcPr>
            <w:tcW w:w="802"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275" w:right="275"/>
              <w:jc w:val="center"/>
              <w:rPr>
                <w:sz w:val="18"/>
              </w:rPr>
            </w:pPr>
            <w:r>
              <w:rPr>
                <w:sz w:val="18"/>
              </w:rPr>
              <w:t>26</w:t>
            </w:r>
          </w:p>
        </w:tc>
        <w:tc>
          <w:tcPr>
            <w:tcW w:w="1289"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244" w:right="245"/>
              <w:jc w:val="center"/>
              <w:rPr>
                <w:sz w:val="18"/>
              </w:rPr>
            </w:pPr>
            <w:r>
              <w:rPr>
                <w:sz w:val="18"/>
              </w:rPr>
              <w:t>Empírica</w:t>
            </w:r>
          </w:p>
        </w:tc>
        <w:tc>
          <w:tcPr>
            <w:tcW w:w="1462"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165" w:right="166"/>
              <w:jc w:val="center"/>
              <w:rPr>
                <w:sz w:val="18"/>
              </w:rPr>
            </w:pPr>
            <w:r>
              <w:rPr>
                <w:sz w:val="18"/>
              </w:rPr>
              <w:t>positivista</w:t>
            </w:r>
          </w:p>
        </w:tc>
        <w:tc>
          <w:tcPr>
            <w:tcW w:w="2201"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652" w:right="47"/>
              <w:rPr>
                <w:sz w:val="18"/>
              </w:rPr>
            </w:pPr>
            <w:r>
              <w:rPr>
                <w:sz w:val="18"/>
              </w:rPr>
              <w:t>nomotético</w:t>
            </w:r>
          </w:p>
        </w:tc>
        <w:tc>
          <w:tcPr>
            <w:tcW w:w="1730" w:type="dxa"/>
          </w:tcPr>
          <w:p>
            <w:pPr/>
          </w:p>
        </w:tc>
        <w:tc>
          <w:tcPr>
            <w:tcW w:w="1385" w:type="dxa"/>
          </w:tcPr>
          <w:p>
            <w:pPr>
              <w:pStyle w:val="TableParagraph"/>
              <w:ind w:left="249" w:right="252" w:firstLine="1"/>
              <w:jc w:val="center"/>
              <w:rPr>
                <w:sz w:val="18"/>
              </w:rPr>
            </w:pPr>
            <w:r>
              <w:rPr>
                <w:sz w:val="18"/>
              </w:rPr>
              <w:t>economía urbana y planeación urbana</w:t>
            </w:r>
          </w:p>
        </w:tc>
      </w:tr>
      <w:tr>
        <w:trPr>
          <w:trHeight w:val="838" w:hRule="exact"/>
        </w:trPr>
        <w:tc>
          <w:tcPr>
            <w:tcW w:w="802"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275" w:right="275"/>
              <w:jc w:val="center"/>
              <w:rPr>
                <w:sz w:val="18"/>
              </w:rPr>
            </w:pPr>
            <w:r>
              <w:rPr>
                <w:sz w:val="18"/>
              </w:rPr>
              <w:t>27</w:t>
            </w:r>
          </w:p>
        </w:tc>
        <w:tc>
          <w:tcPr>
            <w:tcW w:w="1289"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244" w:right="245"/>
              <w:jc w:val="center"/>
              <w:rPr>
                <w:sz w:val="18"/>
              </w:rPr>
            </w:pPr>
            <w:r>
              <w:rPr>
                <w:sz w:val="18"/>
              </w:rPr>
              <w:t>Empírica</w:t>
            </w:r>
          </w:p>
        </w:tc>
        <w:tc>
          <w:tcPr>
            <w:tcW w:w="1462"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165" w:right="166"/>
              <w:jc w:val="center"/>
              <w:rPr>
                <w:sz w:val="18"/>
              </w:rPr>
            </w:pPr>
            <w:r>
              <w:rPr>
                <w:sz w:val="18"/>
              </w:rPr>
              <w:t>positivista</w:t>
            </w:r>
          </w:p>
        </w:tc>
        <w:tc>
          <w:tcPr>
            <w:tcW w:w="2201"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652" w:right="47"/>
              <w:rPr>
                <w:sz w:val="18"/>
              </w:rPr>
            </w:pPr>
            <w:r>
              <w:rPr>
                <w:sz w:val="18"/>
              </w:rPr>
              <w:t>nomotético</w:t>
            </w:r>
          </w:p>
        </w:tc>
        <w:tc>
          <w:tcPr>
            <w:tcW w:w="1730" w:type="dxa"/>
          </w:tcPr>
          <w:p>
            <w:pPr/>
          </w:p>
        </w:tc>
        <w:tc>
          <w:tcPr>
            <w:tcW w:w="1385" w:type="dxa"/>
          </w:tcPr>
          <w:p>
            <w:pPr>
              <w:pStyle w:val="TableParagraph"/>
              <w:ind w:left="249" w:right="252" w:firstLine="1"/>
              <w:jc w:val="center"/>
              <w:rPr>
                <w:sz w:val="18"/>
              </w:rPr>
            </w:pPr>
            <w:r>
              <w:rPr>
                <w:sz w:val="18"/>
              </w:rPr>
              <w:t>economía urbana y planeación urbana</w:t>
            </w:r>
          </w:p>
        </w:tc>
      </w:tr>
      <w:tr>
        <w:trPr>
          <w:trHeight w:val="254" w:hRule="exact"/>
        </w:trPr>
        <w:tc>
          <w:tcPr>
            <w:tcW w:w="802" w:type="dxa"/>
          </w:tcPr>
          <w:p>
            <w:pPr>
              <w:pStyle w:val="TableParagraph"/>
              <w:spacing w:before="33"/>
              <w:ind w:left="275" w:right="275"/>
              <w:jc w:val="center"/>
              <w:rPr>
                <w:sz w:val="18"/>
              </w:rPr>
            </w:pPr>
            <w:r>
              <w:rPr>
                <w:sz w:val="18"/>
              </w:rPr>
              <w:t>28</w:t>
            </w:r>
          </w:p>
        </w:tc>
        <w:tc>
          <w:tcPr>
            <w:tcW w:w="1289" w:type="dxa"/>
          </w:tcPr>
          <w:p>
            <w:pPr>
              <w:pStyle w:val="TableParagraph"/>
              <w:spacing w:before="33"/>
              <w:ind w:left="244" w:right="245"/>
              <w:jc w:val="center"/>
              <w:rPr>
                <w:sz w:val="18"/>
              </w:rPr>
            </w:pPr>
            <w:r>
              <w:rPr>
                <w:sz w:val="18"/>
              </w:rPr>
              <w:t>Empírica</w:t>
            </w:r>
          </w:p>
        </w:tc>
        <w:tc>
          <w:tcPr>
            <w:tcW w:w="1462" w:type="dxa"/>
          </w:tcPr>
          <w:p>
            <w:pPr>
              <w:pStyle w:val="TableParagraph"/>
              <w:spacing w:before="33"/>
              <w:ind w:left="165" w:right="166"/>
              <w:jc w:val="center"/>
              <w:rPr>
                <w:sz w:val="18"/>
              </w:rPr>
            </w:pPr>
            <w:r>
              <w:rPr>
                <w:sz w:val="18"/>
              </w:rPr>
              <w:t>positivista</w:t>
            </w:r>
          </w:p>
        </w:tc>
        <w:tc>
          <w:tcPr>
            <w:tcW w:w="2201" w:type="dxa"/>
          </w:tcPr>
          <w:p>
            <w:pPr>
              <w:pStyle w:val="TableParagraph"/>
              <w:spacing w:before="33"/>
              <w:ind w:left="652" w:right="47"/>
              <w:rPr>
                <w:sz w:val="18"/>
              </w:rPr>
            </w:pPr>
            <w:r>
              <w:rPr>
                <w:sz w:val="18"/>
              </w:rPr>
              <w:t>nomotético</w:t>
            </w:r>
          </w:p>
        </w:tc>
        <w:tc>
          <w:tcPr>
            <w:tcW w:w="1730" w:type="dxa"/>
          </w:tcPr>
          <w:p>
            <w:pPr/>
          </w:p>
        </w:tc>
        <w:tc>
          <w:tcPr>
            <w:tcW w:w="1385" w:type="dxa"/>
          </w:tcPr>
          <w:p>
            <w:pPr>
              <w:pStyle w:val="TableParagraph"/>
              <w:spacing w:before="33"/>
              <w:ind w:left="105" w:right="104"/>
              <w:jc w:val="center"/>
              <w:rPr>
                <w:sz w:val="18"/>
              </w:rPr>
            </w:pPr>
            <w:r>
              <w:rPr>
                <w:sz w:val="18"/>
              </w:rPr>
              <w:t>geografía</w:t>
            </w:r>
          </w:p>
        </w:tc>
      </w:tr>
      <w:tr>
        <w:trPr>
          <w:trHeight w:val="838" w:hRule="exact"/>
        </w:trPr>
        <w:tc>
          <w:tcPr>
            <w:tcW w:w="802"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275" w:right="275"/>
              <w:jc w:val="center"/>
              <w:rPr>
                <w:sz w:val="18"/>
              </w:rPr>
            </w:pPr>
            <w:r>
              <w:rPr>
                <w:sz w:val="18"/>
              </w:rPr>
              <w:t>29</w:t>
            </w:r>
          </w:p>
        </w:tc>
        <w:tc>
          <w:tcPr>
            <w:tcW w:w="1289"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244" w:right="245"/>
              <w:jc w:val="center"/>
              <w:rPr>
                <w:sz w:val="18"/>
              </w:rPr>
            </w:pPr>
            <w:r>
              <w:rPr>
                <w:sz w:val="18"/>
              </w:rPr>
              <w:t>Empírica</w:t>
            </w:r>
          </w:p>
        </w:tc>
        <w:tc>
          <w:tcPr>
            <w:tcW w:w="1462"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165" w:right="166"/>
              <w:jc w:val="center"/>
              <w:rPr>
                <w:sz w:val="18"/>
              </w:rPr>
            </w:pPr>
            <w:r>
              <w:rPr>
                <w:sz w:val="18"/>
              </w:rPr>
              <w:t>positivista</w:t>
            </w:r>
          </w:p>
        </w:tc>
        <w:tc>
          <w:tcPr>
            <w:tcW w:w="2201"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7"/>
              </w:rPr>
            </w:pPr>
          </w:p>
          <w:p>
            <w:pPr>
              <w:pStyle w:val="TableParagraph"/>
              <w:ind w:left="652" w:right="47"/>
              <w:rPr>
                <w:sz w:val="18"/>
              </w:rPr>
            </w:pPr>
            <w:r>
              <w:rPr>
                <w:sz w:val="18"/>
              </w:rPr>
              <w:t>nomotético</w:t>
            </w:r>
          </w:p>
        </w:tc>
        <w:tc>
          <w:tcPr>
            <w:tcW w:w="1730" w:type="dxa"/>
          </w:tcPr>
          <w:p>
            <w:pPr/>
          </w:p>
        </w:tc>
        <w:tc>
          <w:tcPr>
            <w:tcW w:w="1385" w:type="dxa"/>
          </w:tcPr>
          <w:p>
            <w:pPr>
              <w:pStyle w:val="TableParagraph"/>
              <w:ind w:left="105" w:right="104"/>
              <w:jc w:val="center"/>
              <w:rPr>
                <w:sz w:val="18"/>
              </w:rPr>
            </w:pPr>
            <w:r>
              <w:rPr>
                <w:sz w:val="18"/>
              </w:rPr>
              <w:t>sociología urbana y geografía urbana</w:t>
            </w:r>
          </w:p>
        </w:tc>
      </w:tr>
      <w:tr>
        <w:trPr>
          <w:trHeight w:val="497" w:hRule="exact"/>
        </w:trPr>
        <w:tc>
          <w:tcPr>
            <w:tcW w:w="802" w:type="dxa"/>
          </w:tcPr>
          <w:p>
            <w:pPr>
              <w:pStyle w:val="TableParagraph"/>
              <w:spacing w:before="9"/>
              <w:rPr>
                <w:rFonts w:ascii="Times New Roman"/>
                <w:sz w:val="23"/>
              </w:rPr>
            </w:pPr>
          </w:p>
          <w:p>
            <w:pPr>
              <w:pStyle w:val="TableParagraph"/>
              <w:ind w:left="275" w:right="275"/>
              <w:jc w:val="center"/>
              <w:rPr>
                <w:sz w:val="18"/>
              </w:rPr>
            </w:pPr>
            <w:r>
              <w:rPr>
                <w:sz w:val="18"/>
              </w:rPr>
              <w:t>30</w:t>
            </w:r>
          </w:p>
        </w:tc>
        <w:tc>
          <w:tcPr>
            <w:tcW w:w="1289" w:type="dxa"/>
          </w:tcPr>
          <w:p>
            <w:pPr>
              <w:pStyle w:val="TableParagraph"/>
              <w:spacing w:before="67"/>
              <w:ind w:left="201" w:right="187" w:firstLine="134"/>
              <w:rPr>
                <w:sz w:val="18"/>
              </w:rPr>
            </w:pPr>
            <w:r>
              <w:rPr>
                <w:sz w:val="18"/>
              </w:rPr>
              <w:t>Teórica conceptual</w:t>
            </w:r>
          </w:p>
        </w:tc>
        <w:tc>
          <w:tcPr>
            <w:tcW w:w="1462" w:type="dxa"/>
          </w:tcPr>
          <w:p>
            <w:pPr>
              <w:pStyle w:val="TableParagraph"/>
              <w:spacing w:before="9"/>
              <w:rPr>
                <w:rFonts w:ascii="Times New Roman"/>
                <w:sz w:val="23"/>
              </w:rPr>
            </w:pPr>
          </w:p>
          <w:p>
            <w:pPr>
              <w:pStyle w:val="TableParagraph"/>
              <w:ind w:left="165" w:right="166"/>
              <w:jc w:val="center"/>
              <w:rPr>
                <w:sz w:val="18"/>
              </w:rPr>
            </w:pPr>
            <w:r>
              <w:rPr>
                <w:sz w:val="18"/>
              </w:rPr>
              <w:t>positivista</w:t>
            </w:r>
          </w:p>
        </w:tc>
        <w:tc>
          <w:tcPr>
            <w:tcW w:w="2201" w:type="dxa"/>
          </w:tcPr>
          <w:p>
            <w:pPr>
              <w:pStyle w:val="TableParagraph"/>
              <w:spacing w:before="9"/>
              <w:rPr>
                <w:rFonts w:ascii="Times New Roman"/>
                <w:sz w:val="23"/>
              </w:rPr>
            </w:pPr>
          </w:p>
          <w:p>
            <w:pPr>
              <w:pStyle w:val="TableParagraph"/>
              <w:ind w:left="652" w:right="47"/>
              <w:rPr>
                <w:sz w:val="18"/>
              </w:rPr>
            </w:pPr>
            <w:r>
              <w:rPr>
                <w:sz w:val="18"/>
              </w:rPr>
              <w:t>nomotético</w:t>
            </w:r>
          </w:p>
        </w:tc>
        <w:tc>
          <w:tcPr>
            <w:tcW w:w="1730" w:type="dxa"/>
          </w:tcPr>
          <w:p>
            <w:pPr/>
          </w:p>
        </w:tc>
        <w:tc>
          <w:tcPr>
            <w:tcW w:w="1385" w:type="dxa"/>
          </w:tcPr>
          <w:p>
            <w:pPr>
              <w:pStyle w:val="TableParagraph"/>
              <w:spacing w:before="67"/>
              <w:ind w:left="406" w:right="275" w:hanging="116"/>
              <w:rPr>
                <w:sz w:val="18"/>
              </w:rPr>
            </w:pPr>
            <w:r>
              <w:rPr>
                <w:sz w:val="18"/>
              </w:rPr>
              <w:t>economía urbana</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9"/>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64"/>
        <w:gridCol w:w="2545"/>
        <w:gridCol w:w="2544"/>
        <w:gridCol w:w="2547"/>
      </w:tblGrid>
      <w:tr>
        <w:trPr>
          <w:trHeight w:val="382" w:hRule="exact"/>
        </w:trPr>
        <w:tc>
          <w:tcPr>
            <w:tcW w:w="1164" w:type="dxa"/>
            <w:vMerge w:val="restart"/>
          </w:tcPr>
          <w:p>
            <w:pPr>
              <w:pStyle w:val="TableParagraph"/>
              <w:rPr>
                <w:rFonts w:ascii="Times New Roman"/>
                <w:sz w:val="18"/>
              </w:rPr>
            </w:pPr>
          </w:p>
          <w:p>
            <w:pPr>
              <w:pStyle w:val="TableParagraph"/>
              <w:rPr>
                <w:rFonts w:ascii="Times New Roman"/>
                <w:sz w:val="18"/>
              </w:rPr>
            </w:pPr>
          </w:p>
          <w:p>
            <w:pPr>
              <w:pStyle w:val="TableParagraph"/>
              <w:spacing w:before="2"/>
              <w:rPr>
                <w:rFonts w:ascii="Times New Roman"/>
                <w:sz w:val="24"/>
              </w:rPr>
            </w:pPr>
          </w:p>
          <w:p>
            <w:pPr>
              <w:pStyle w:val="TableParagraph"/>
              <w:spacing w:before="1"/>
              <w:ind w:left="151" w:right="104" w:hanging="46"/>
              <w:jc w:val="both"/>
              <w:rPr>
                <w:b/>
                <w:sz w:val="18"/>
              </w:rPr>
            </w:pPr>
            <w:r>
              <w:rPr>
                <w:b/>
                <w:sz w:val="18"/>
              </w:rPr>
              <w:t>Número de unidad de análisis</w:t>
            </w:r>
          </w:p>
        </w:tc>
        <w:tc>
          <w:tcPr>
            <w:tcW w:w="7636" w:type="dxa"/>
            <w:gridSpan w:val="3"/>
          </w:tcPr>
          <w:p>
            <w:pPr>
              <w:pStyle w:val="TableParagraph"/>
              <w:spacing w:before="91"/>
              <w:ind w:left="1149"/>
              <w:rPr>
                <w:b/>
                <w:sz w:val="24"/>
              </w:rPr>
            </w:pPr>
            <w:r>
              <w:rPr>
                <w:b/>
                <w:sz w:val="24"/>
              </w:rPr>
              <w:t>Sección 4. Aspectos técnicos de investigación</w:t>
            </w:r>
          </w:p>
        </w:tc>
      </w:tr>
      <w:tr>
        <w:trPr>
          <w:trHeight w:val="317" w:hRule="exact"/>
        </w:trPr>
        <w:tc>
          <w:tcPr>
            <w:tcW w:w="1164" w:type="dxa"/>
            <w:vMerge/>
          </w:tcPr>
          <w:p>
            <w:pPr/>
          </w:p>
        </w:tc>
        <w:tc>
          <w:tcPr>
            <w:tcW w:w="2545" w:type="dxa"/>
          </w:tcPr>
          <w:p>
            <w:pPr>
              <w:pStyle w:val="TableParagraph"/>
              <w:spacing w:before="95"/>
              <w:ind w:left="100" w:right="100"/>
              <w:jc w:val="center"/>
              <w:rPr>
                <w:b/>
                <w:sz w:val="18"/>
              </w:rPr>
            </w:pPr>
            <w:r>
              <w:rPr>
                <w:b/>
                <w:sz w:val="18"/>
              </w:rPr>
              <w:t>variable 1</w:t>
            </w:r>
          </w:p>
        </w:tc>
        <w:tc>
          <w:tcPr>
            <w:tcW w:w="2544" w:type="dxa"/>
          </w:tcPr>
          <w:p>
            <w:pPr>
              <w:pStyle w:val="TableParagraph"/>
              <w:spacing w:before="95"/>
              <w:ind w:left="124" w:right="125"/>
              <w:jc w:val="center"/>
              <w:rPr>
                <w:b/>
                <w:sz w:val="18"/>
              </w:rPr>
            </w:pPr>
            <w:r>
              <w:rPr>
                <w:b/>
                <w:sz w:val="18"/>
              </w:rPr>
              <w:t>variable 2</w:t>
            </w:r>
          </w:p>
        </w:tc>
        <w:tc>
          <w:tcPr>
            <w:tcW w:w="2547" w:type="dxa"/>
          </w:tcPr>
          <w:p>
            <w:pPr>
              <w:pStyle w:val="TableParagraph"/>
              <w:spacing w:before="95"/>
              <w:ind w:left="148" w:right="148"/>
              <w:jc w:val="center"/>
              <w:rPr>
                <w:b/>
                <w:sz w:val="18"/>
              </w:rPr>
            </w:pPr>
            <w:r>
              <w:rPr>
                <w:b/>
                <w:sz w:val="18"/>
              </w:rPr>
              <w:t>variable 3</w:t>
            </w:r>
          </w:p>
        </w:tc>
      </w:tr>
      <w:tr>
        <w:trPr>
          <w:trHeight w:val="631" w:hRule="exact"/>
        </w:trPr>
        <w:tc>
          <w:tcPr>
            <w:tcW w:w="1164" w:type="dxa"/>
            <w:vMerge/>
          </w:tcPr>
          <w:p>
            <w:pPr/>
          </w:p>
        </w:tc>
        <w:tc>
          <w:tcPr>
            <w:tcW w:w="2545" w:type="dxa"/>
          </w:tcPr>
          <w:p>
            <w:pPr>
              <w:pStyle w:val="TableParagraph"/>
              <w:rPr>
                <w:rFonts w:ascii="Times New Roman"/>
                <w:sz w:val="18"/>
              </w:rPr>
            </w:pPr>
          </w:p>
          <w:p>
            <w:pPr>
              <w:pStyle w:val="TableParagraph"/>
              <w:spacing w:before="7"/>
              <w:rPr>
                <w:rFonts w:ascii="Times New Roman"/>
                <w:sz w:val="17"/>
              </w:rPr>
            </w:pPr>
          </w:p>
          <w:p>
            <w:pPr>
              <w:pStyle w:val="TableParagraph"/>
              <w:ind w:left="100" w:right="100"/>
              <w:jc w:val="center"/>
              <w:rPr>
                <w:b/>
                <w:sz w:val="18"/>
              </w:rPr>
            </w:pPr>
            <w:r>
              <w:rPr>
                <w:b/>
                <w:sz w:val="18"/>
              </w:rPr>
              <w:t>Técnica de investigación</w:t>
            </w:r>
          </w:p>
        </w:tc>
        <w:tc>
          <w:tcPr>
            <w:tcW w:w="2544" w:type="dxa"/>
          </w:tcPr>
          <w:p>
            <w:pPr>
              <w:pStyle w:val="TableParagraph"/>
              <w:rPr>
                <w:rFonts w:ascii="Times New Roman"/>
                <w:sz w:val="18"/>
              </w:rPr>
            </w:pPr>
          </w:p>
          <w:p>
            <w:pPr>
              <w:pStyle w:val="TableParagraph"/>
              <w:spacing w:before="7"/>
              <w:rPr>
                <w:rFonts w:ascii="Times New Roman"/>
                <w:sz w:val="17"/>
              </w:rPr>
            </w:pPr>
          </w:p>
          <w:p>
            <w:pPr>
              <w:pStyle w:val="TableParagraph"/>
              <w:ind w:left="124" w:right="124"/>
              <w:jc w:val="center"/>
              <w:rPr>
                <w:b/>
                <w:sz w:val="18"/>
              </w:rPr>
            </w:pPr>
            <w:r>
              <w:rPr>
                <w:b/>
                <w:sz w:val="18"/>
              </w:rPr>
              <w:t>Fuente de datos</w:t>
            </w:r>
          </w:p>
        </w:tc>
        <w:tc>
          <w:tcPr>
            <w:tcW w:w="2547" w:type="dxa"/>
          </w:tcPr>
          <w:p>
            <w:pPr>
              <w:pStyle w:val="TableParagraph"/>
              <w:ind w:left="148" w:right="151"/>
              <w:jc w:val="center"/>
              <w:rPr>
                <w:b/>
                <w:sz w:val="18"/>
              </w:rPr>
            </w:pPr>
            <w:r>
              <w:rPr>
                <w:b/>
                <w:sz w:val="18"/>
              </w:rPr>
              <w:t>Nombre de adscripción si es proyecto de investigación</w:t>
            </w:r>
          </w:p>
        </w:tc>
      </w:tr>
      <w:tr>
        <w:trPr>
          <w:trHeight w:val="996" w:hRule="exact"/>
        </w:trPr>
        <w:tc>
          <w:tcPr>
            <w:tcW w:w="1164"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58"/>
              <w:ind w:right="1"/>
              <w:jc w:val="center"/>
              <w:rPr>
                <w:sz w:val="18"/>
              </w:rPr>
            </w:pPr>
            <w:r>
              <w:rPr>
                <w:w w:val="99"/>
                <w:sz w:val="18"/>
              </w:rPr>
              <w:t>1</w:t>
            </w:r>
          </w:p>
        </w:tc>
        <w:tc>
          <w:tcPr>
            <w:tcW w:w="2545" w:type="dxa"/>
          </w:tcPr>
          <w:p>
            <w:pPr>
              <w:pStyle w:val="TableParagraph"/>
              <w:rPr>
                <w:rFonts w:ascii="Times New Roman"/>
                <w:sz w:val="18"/>
              </w:rPr>
            </w:pPr>
          </w:p>
          <w:p>
            <w:pPr>
              <w:pStyle w:val="TableParagraph"/>
              <w:spacing w:before="159"/>
              <w:ind w:left="249" w:right="252" w:firstLine="2"/>
              <w:jc w:val="center"/>
              <w:rPr>
                <w:sz w:val="18"/>
              </w:rPr>
            </w:pPr>
            <w:r>
              <w:rPr>
                <w:sz w:val="18"/>
              </w:rPr>
              <w:t>Correlación entre segregación residencial y problemas sociales</w:t>
            </w:r>
          </w:p>
        </w:tc>
        <w:tc>
          <w:tcPr>
            <w:tcW w:w="2544" w:type="dxa"/>
          </w:tcPr>
          <w:p>
            <w:pPr>
              <w:pStyle w:val="TableParagraph"/>
              <w:rPr>
                <w:rFonts w:ascii="Times New Roman"/>
                <w:sz w:val="18"/>
              </w:rPr>
            </w:pPr>
          </w:p>
          <w:p>
            <w:pPr>
              <w:pStyle w:val="TableParagraph"/>
              <w:rPr>
                <w:rFonts w:ascii="Times New Roman"/>
                <w:sz w:val="18"/>
              </w:rPr>
            </w:pPr>
          </w:p>
          <w:p>
            <w:pPr>
              <w:pStyle w:val="TableParagraph"/>
              <w:spacing w:before="158"/>
              <w:ind w:left="631" w:right="49" w:hanging="567"/>
              <w:rPr>
                <w:sz w:val="18"/>
              </w:rPr>
            </w:pPr>
            <w:r>
              <w:rPr>
                <w:sz w:val="18"/>
              </w:rPr>
              <w:t>Datos censales y encuesta de origen y destino</w:t>
            </w:r>
          </w:p>
        </w:tc>
        <w:tc>
          <w:tcPr>
            <w:tcW w:w="2547" w:type="dxa"/>
          </w:tcPr>
          <w:p>
            <w:pPr>
              <w:pStyle w:val="TableParagraph"/>
              <w:spacing w:before="157"/>
              <w:ind w:left="148" w:right="155"/>
              <w:jc w:val="center"/>
              <w:rPr>
                <w:sz w:val="18"/>
              </w:rPr>
            </w:pPr>
            <w:r>
              <w:rPr>
                <w:sz w:val="18"/>
              </w:rPr>
              <w:t>Estudio de autosegregación de las élites de Santiago y Segregación residencial en Valparaiso y Concepción</w:t>
            </w:r>
          </w:p>
        </w:tc>
      </w:tr>
      <w:tr>
        <w:trPr>
          <w:trHeight w:val="843" w:hRule="exact"/>
        </w:trPr>
        <w:tc>
          <w:tcPr>
            <w:tcW w:w="1164" w:type="dxa"/>
          </w:tcPr>
          <w:p>
            <w:pPr>
              <w:pStyle w:val="TableParagraph"/>
              <w:rPr>
                <w:rFonts w:ascii="Times New Roman"/>
                <w:sz w:val="18"/>
              </w:rPr>
            </w:pPr>
          </w:p>
          <w:p>
            <w:pPr>
              <w:pStyle w:val="TableParagraph"/>
              <w:rPr>
                <w:rFonts w:ascii="Times New Roman"/>
                <w:sz w:val="18"/>
              </w:rPr>
            </w:pPr>
          </w:p>
          <w:p>
            <w:pPr>
              <w:pStyle w:val="TableParagraph"/>
              <w:spacing w:before="5"/>
              <w:rPr>
                <w:rFonts w:ascii="Times New Roman"/>
                <w:sz w:val="18"/>
              </w:rPr>
            </w:pPr>
          </w:p>
          <w:p>
            <w:pPr>
              <w:pStyle w:val="TableParagraph"/>
              <w:ind w:right="1"/>
              <w:jc w:val="center"/>
              <w:rPr>
                <w:sz w:val="18"/>
              </w:rPr>
            </w:pPr>
            <w:r>
              <w:rPr>
                <w:w w:val="99"/>
                <w:sz w:val="18"/>
              </w:rPr>
              <w:t>2</w:t>
            </w:r>
          </w:p>
        </w:tc>
        <w:tc>
          <w:tcPr>
            <w:tcW w:w="2545" w:type="dxa"/>
          </w:tcPr>
          <w:p>
            <w:pPr>
              <w:pStyle w:val="TableParagraph"/>
              <w:spacing w:before="4"/>
              <w:ind w:left="100" w:right="100"/>
              <w:jc w:val="center"/>
              <w:rPr>
                <w:sz w:val="18"/>
              </w:rPr>
            </w:pPr>
            <w:r>
              <w:rPr>
                <w:sz w:val="18"/>
              </w:rPr>
              <w:t>Encuesta para categorizar residentes y funciones y mapas para delimitar estructura de la ciudad</w:t>
            </w:r>
          </w:p>
        </w:tc>
        <w:tc>
          <w:tcPr>
            <w:tcW w:w="2544" w:type="dxa"/>
          </w:tcPr>
          <w:p>
            <w:pPr>
              <w:pStyle w:val="TableParagraph"/>
              <w:spacing w:before="3"/>
              <w:rPr>
                <w:rFonts w:ascii="Times New Roman"/>
                <w:sz w:val="18"/>
              </w:rPr>
            </w:pPr>
          </w:p>
          <w:p>
            <w:pPr>
              <w:pStyle w:val="TableParagraph"/>
              <w:ind w:left="124" w:right="126"/>
              <w:jc w:val="center"/>
              <w:rPr>
                <w:sz w:val="18"/>
              </w:rPr>
            </w:pPr>
            <w:r>
              <w:rPr>
                <w:sz w:val="18"/>
              </w:rPr>
              <w:t>encuestas y datos obtenidos por el autor en trabajos previos</w:t>
            </w:r>
          </w:p>
        </w:tc>
        <w:tc>
          <w:tcPr>
            <w:tcW w:w="2547" w:type="dxa"/>
          </w:tcPr>
          <w:p>
            <w:pPr/>
          </w:p>
        </w:tc>
      </w:tr>
    </w:tbl>
    <w:p>
      <w:pPr>
        <w:spacing w:after="0"/>
        <w:sectPr>
          <w:pgSz w:w="12240" w:h="15840"/>
          <w:pgMar w:header="0" w:footer="629" w:top="1420" w:bottom="820" w:left="1580" w:right="156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64"/>
        <w:gridCol w:w="2545"/>
        <w:gridCol w:w="2544"/>
        <w:gridCol w:w="2547"/>
      </w:tblGrid>
      <w:tr>
        <w:trPr>
          <w:trHeight w:val="382" w:hRule="exact"/>
        </w:trPr>
        <w:tc>
          <w:tcPr>
            <w:tcW w:w="1164" w:type="dxa"/>
            <w:vMerge w:val="restart"/>
          </w:tcPr>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3"/>
              </w:rPr>
            </w:pPr>
          </w:p>
          <w:p>
            <w:pPr>
              <w:pStyle w:val="TableParagraph"/>
              <w:ind w:left="151" w:right="104" w:hanging="46"/>
              <w:jc w:val="both"/>
              <w:rPr>
                <w:b/>
                <w:sz w:val="18"/>
              </w:rPr>
            </w:pPr>
            <w:r>
              <w:rPr>
                <w:b/>
                <w:sz w:val="18"/>
              </w:rPr>
              <w:t>Número de unidad de análisis</w:t>
            </w:r>
          </w:p>
        </w:tc>
        <w:tc>
          <w:tcPr>
            <w:tcW w:w="7636" w:type="dxa"/>
            <w:gridSpan w:val="3"/>
          </w:tcPr>
          <w:p>
            <w:pPr>
              <w:pStyle w:val="TableParagraph"/>
              <w:spacing w:before="88"/>
              <w:ind w:left="1149"/>
              <w:rPr>
                <w:b/>
                <w:sz w:val="24"/>
              </w:rPr>
            </w:pPr>
            <w:r>
              <w:rPr>
                <w:b/>
                <w:sz w:val="24"/>
              </w:rPr>
              <w:t>Sección 4. Aspectos técnicos de investigación</w:t>
            </w:r>
          </w:p>
        </w:tc>
      </w:tr>
      <w:tr>
        <w:trPr>
          <w:trHeight w:val="317" w:hRule="exact"/>
        </w:trPr>
        <w:tc>
          <w:tcPr>
            <w:tcW w:w="1164" w:type="dxa"/>
            <w:vMerge/>
          </w:tcPr>
          <w:p>
            <w:pPr/>
          </w:p>
        </w:tc>
        <w:tc>
          <w:tcPr>
            <w:tcW w:w="2545" w:type="dxa"/>
          </w:tcPr>
          <w:p>
            <w:pPr>
              <w:pStyle w:val="TableParagraph"/>
              <w:spacing w:before="91"/>
              <w:ind w:left="100" w:right="100"/>
              <w:jc w:val="center"/>
              <w:rPr>
                <w:b/>
                <w:sz w:val="18"/>
              </w:rPr>
            </w:pPr>
            <w:r>
              <w:rPr>
                <w:b/>
                <w:sz w:val="18"/>
              </w:rPr>
              <w:t>variable 1</w:t>
            </w:r>
          </w:p>
        </w:tc>
        <w:tc>
          <w:tcPr>
            <w:tcW w:w="2544" w:type="dxa"/>
          </w:tcPr>
          <w:p>
            <w:pPr>
              <w:pStyle w:val="TableParagraph"/>
              <w:spacing w:before="91"/>
              <w:ind w:left="124" w:right="125"/>
              <w:jc w:val="center"/>
              <w:rPr>
                <w:b/>
                <w:sz w:val="18"/>
              </w:rPr>
            </w:pPr>
            <w:r>
              <w:rPr>
                <w:b/>
                <w:sz w:val="18"/>
              </w:rPr>
              <w:t>variable 2</w:t>
            </w:r>
          </w:p>
        </w:tc>
        <w:tc>
          <w:tcPr>
            <w:tcW w:w="2547" w:type="dxa"/>
          </w:tcPr>
          <w:p>
            <w:pPr>
              <w:pStyle w:val="TableParagraph"/>
              <w:spacing w:before="91"/>
              <w:ind w:left="148" w:right="148"/>
              <w:jc w:val="center"/>
              <w:rPr>
                <w:b/>
                <w:sz w:val="18"/>
              </w:rPr>
            </w:pPr>
            <w:r>
              <w:rPr>
                <w:b/>
                <w:sz w:val="18"/>
              </w:rPr>
              <w:t>variable 3</w:t>
            </w:r>
          </w:p>
        </w:tc>
      </w:tr>
      <w:tr>
        <w:trPr>
          <w:trHeight w:val="631" w:hRule="exact"/>
        </w:trPr>
        <w:tc>
          <w:tcPr>
            <w:tcW w:w="1164" w:type="dxa"/>
            <w:vMerge/>
          </w:tcPr>
          <w:p>
            <w:pPr/>
          </w:p>
        </w:tc>
        <w:tc>
          <w:tcPr>
            <w:tcW w:w="2545" w:type="dxa"/>
          </w:tcPr>
          <w:p>
            <w:pPr>
              <w:pStyle w:val="TableParagraph"/>
              <w:rPr>
                <w:rFonts w:ascii="Times New Roman"/>
                <w:sz w:val="18"/>
              </w:rPr>
            </w:pPr>
          </w:p>
          <w:p>
            <w:pPr>
              <w:pStyle w:val="TableParagraph"/>
              <w:spacing w:before="3"/>
              <w:rPr>
                <w:rFonts w:ascii="Times New Roman"/>
                <w:sz w:val="17"/>
              </w:rPr>
            </w:pPr>
          </w:p>
          <w:p>
            <w:pPr>
              <w:pStyle w:val="TableParagraph"/>
              <w:ind w:left="100" w:right="100"/>
              <w:jc w:val="center"/>
              <w:rPr>
                <w:b/>
                <w:sz w:val="18"/>
              </w:rPr>
            </w:pPr>
            <w:r>
              <w:rPr>
                <w:b/>
                <w:sz w:val="18"/>
              </w:rPr>
              <w:t>Técnica de investigación</w:t>
            </w:r>
          </w:p>
        </w:tc>
        <w:tc>
          <w:tcPr>
            <w:tcW w:w="2544" w:type="dxa"/>
          </w:tcPr>
          <w:p>
            <w:pPr>
              <w:pStyle w:val="TableParagraph"/>
              <w:rPr>
                <w:rFonts w:ascii="Times New Roman"/>
                <w:sz w:val="18"/>
              </w:rPr>
            </w:pPr>
          </w:p>
          <w:p>
            <w:pPr>
              <w:pStyle w:val="TableParagraph"/>
              <w:spacing w:before="3"/>
              <w:rPr>
                <w:rFonts w:ascii="Times New Roman"/>
                <w:sz w:val="17"/>
              </w:rPr>
            </w:pPr>
          </w:p>
          <w:p>
            <w:pPr>
              <w:pStyle w:val="TableParagraph"/>
              <w:ind w:left="124" w:right="124"/>
              <w:jc w:val="center"/>
              <w:rPr>
                <w:b/>
                <w:sz w:val="18"/>
              </w:rPr>
            </w:pPr>
            <w:r>
              <w:rPr>
                <w:b/>
                <w:sz w:val="18"/>
              </w:rPr>
              <w:t>Fuente de datos</w:t>
            </w:r>
          </w:p>
        </w:tc>
        <w:tc>
          <w:tcPr>
            <w:tcW w:w="2547" w:type="dxa"/>
          </w:tcPr>
          <w:p>
            <w:pPr>
              <w:pStyle w:val="TableParagraph"/>
              <w:ind w:left="148" w:right="151"/>
              <w:jc w:val="center"/>
              <w:rPr>
                <w:b/>
                <w:sz w:val="18"/>
              </w:rPr>
            </w:pPr>
            <w:r>
              <w:rPr>
                <w:b/>
                <w:sz w:val="18"/>
              </w:rPr>
              <w:t>Nombre de adscripción si es proyecto de investigación</w:t>
            </w:r>
          </w:p>
        </w:tc>
      </w:tr>
      <w:tr>
        <w:trPr>
          <w:trHeight w:val="622" w:hRule="exact"/>
        </w:trPr>
        <w:tc>
          <w:tcPr>
            <w:tcW w:w="1164" w:type="dxa"/>
          </w:tcPr>
          <w:p>
            <w:pPr>
              <w:pStyle w:val="TableParagraph"/>
              <w:rPr>
                <w:rFonts w:ascii="Times New Roman"/>
                <w:sz w:val="18"/>
              </w:rPr>
            </w:pPr>
          </w:p>
          <w:p>
            <w:pPr>
              <w:pStyle w:val="TableParagraph"/>
              <w:spacing w:before="9"/>
              <w:rPr>
                <w:rFonts w:ascii="Times New Roman"/>
                <w:sz w:val="16"/>
              </w:rPr>
            </w:pPr>
          </w:p>
          <w:p>
            <w:pPr>
              <w:pStyle w:val="TableParagraph"/>
              <w:ind w:right="1"/>
              <w:jc w:val="center"/>
              <w:rPr>
                <w:sz w:val="18"/>
              </w:rPr>
            </w:pPr>
            <w:r>
              <w:rPr>
                <w:w w:val="99"/>
                <w:sz w:val="18"/>
              </w:rPr>
              <w:t>3</w:t>
            </w:r>
          </w:p>
        </w:tc>
        <w:tc>
          <w:tcPr>
            <w:tcW w:w="2545" w:type="dxa"/>
          </w:tcPr>
          <w:p>
            <w:pPr>
              <w:pStyle w:val="TableParagraph"/>
              <w:spacing w:before="7"/>
              <w:rPr>
                <w:rFonts w:ascii="Times New Roman"/>
                <w:sz w:val="16"/>
              </w:rPr>
            </w:pPr>
          </w:p>
          <w:p>
            <w:pPr>
              <w:pStyle w:val="TableParagraph"/>
              <w:spacing w:before="1"/>
              <w:ind w:left="986" w:right="345" w:hanging="627"/>
              <w:rPr>
                <w:sz w:val="18"/>
              </w:rPr>
            </w:pPr>
            <w:r>
              <w:rPr>
                <w:sz w:val="18"/>
              </w:rPr>
              <w:t>Modelos del desarrollo urbano</w:t>
            </w:r>
          </w:p>
        </w:tc>
        <w:tc>
          <w:tcPr>
            <w:tcW w:w="2544" w:type="dxa"/>
          </w:tcPr>
          <w:p>
            <w:pPr/>
          </w:p>
        </w:tc>
        <w:tc>
          <w:tcPr>
            <w:tcW w:w="2547" w:type="dxa"/>
          </w:tcPr>
          <w:p>
            <w:pPr/>
          </w:p>
        </w:tc>
      </w:tr>
      <w:tr>
        <w:trPr>
          <w:trHeight w:val="622" w:hRule="exact"/>
        </w:trPr>
        <w:tc>
          <w:tcPr>
            <w:tcW w:w="1164" w:type="dxa"/>
          </w:tcPr>
          <w:p>
            <w:pPr>
              <w:pStyle w:val="TableParagraph"/>
              <w:rPr>
                <w:rFonts w:ascii="Times New Roman"/>
                <w:sz w:val="18"/>
              </w:rPr>
            </w:pPr>
          </w:p>
          <w:p>
            <w:pPr>
              <w:pStyle w:val="TableParagraph"/>
              <w:spacing w:before="7"/>
              <w:rPr>
                <w:rFonts w:ascii="Times New Roman"/>
                <w:sz w:val="16"/>
              </w:rPr>
            </w:pPr>
          </w:p>
          <w:p>
            <w:pPr>
              <w:pStyle w:val="TableParagraph"/>
              <w:ind w:right="1"/>
              <w:jc w:val="center"/>
              <w:rPr>
                <w:sz w:val="18"/>
              </w:rPr>
            </w:pPr>
            <w:r>
              <w:rPr>
                <w:w w:val="99"/>
                <w:sz w:val="18"/>
              </w:rPr>
              <w:t>4</w:t>
            </w:r>
          </w:p>
        </w:tc>
        <w:tc>
          <w:tcPr>
            <w:tcW w:w="2545" w:type="dxa"/>
          </w:tcPr>
          <w:p>
            <w:pPr>
              <w:pStyle w:val="TableParagraph"/>
              <w:spacing w:before="7"/>
              <w:rPr>
                <w:rFonts w:ascii="Times New Roman"/>
                <w:sz w:val="16"/>
              </w:rPr>
            </w:pPr>
          </w:p>
          <w:p>
            <w:pPr>
              <w:pStyle w:val="TableParagraph"/>
              <w:spacing w:before="1"/>
              <w:ind w:left="1051" w:right="164" w:hanging="872"/>
              <w:rPr>
                <w:sz w:val="18"/>
              </w:rPr>
            </w:pPr>
            <w:r>
              <w:rPr>
                <w:sz w:val="18"/>
              </w:rPr>
              <w:t>estadístico relación precios suelo</w:t>
            </w:r>
          </w:p>
        </w:tc>
        <w:tc>
          <w:tcPr>
            <w:tcW w:w="2544" w:type="dxa"/>
          </w:tcPr>
          <w:p>
            <w:pPr/>
          </w:p>
        </w:tc>
        <w:tc>
          <w:tcPr>
            <w:tcW w:w="2547" w:type="dxa"/>
          </w:tcPr>
          <w:p>
            <w:pPr/>
          </w:p>
        </w:tc>
      </w:tr>
      <w:tr>
        <w:trPr>
          <w:trHeight w:val="619" w:hRule="exact"/>
        </w:trPr>
        <w:tc>
          <w:tcPr>
            <w:tcW w:w="1164" w:type="dxa"/>
          </w:tcPr>
          <w:p>
            <w:pPr>
              <w:pStyle w:val="TableParagraph"/>
              <w:rPr>
                <w:rFonts w:ascii="Times New Roman"/>
                <w:sz w:val="18"/>
              </w:rPr>
            </w:pPr>
          </w:p>
          <w:p>
            <w:pPr>
              <w:pStyle w:val="TableParagraph"/>
              <w:spacing w:before="7"/>
              <w:rPr>
                <w:rFonts w:ascii="Times New Roman"/>
                <w:sz w:val="16"/>
              </w:rPr>
            </w:pPr>
          </w:p>
          <w:p>
            <w:pPr>
              <w:pStyle w:val="TableParagraph"/>
              <w:ind w:right="1"/>
              <w:jc w:val="center"/>
              <w:rPr>
                <w:sz w:val="18"/>
              </w:rPr>
            </w:pPr>
            <w:r>
              <w:rPr>
                <w:w w:val="99"/>
                <w:sz w:val="18"/>
              </w:rPr>
              <w:t>5</w:t>
            </w:r>
          </w:p>
        </w:tc>
        <w:tc>
          <w:tcPr>
            <w:tcW w:w="2545" w:type="dxa"/>
          </w:tcPr>
          <w:p>
            <w:pPr>
              <w:pStyle w:val="TableParagraph"/>
              <w:spacing w:before="7"/>
              <w:rPr>
                <w:rFonts w:ascii="Times New Roman"/>
                <w:sz w:val="16"/>
              </w:rPr>
            </w:pPr>
          </w:p>
          <w:p>
            <w:pPr>
              <w:pStyle w:val="TableParagraph"/>
              <w:spacing w:before="1"/>
              <w:ind w:left="1051" w:right="124" w:hanging="912"/>
              <w:rPr>
                <w:sz w:val="18"/>
              </w:rPr>
            </w:pPr>
            <w:r>
              <w:rPr>
                <w:sz w:val="18"/>
              </w:rPr>
              <w:t>estadístico relación vivienda suelo</w:t>
            </w:r>
          </w:p>
        </w:tc>
        <w:tc>
          <w:tcPr>
            <w:tcW w:w="2544" w:type="dxa"/>
          </w:tcPr>
          <w:p>
            <w:pPr>
              <w:pStyle w:val="TableParagraph"/>
              <w:rPr>
                <w:rFonts w:ascii="Times New Roman"/>
                <w:sz w:val="18"/>
              </w:rPr>
            </w:pPr>
          </w:p>
          <w:p>
            <w:pPr>
              <w:pStyle w:val="TableParagraph"/>
              <w:spacing w:before="7"/>
              <w:rPr>
                <w:rFonts w:ascii="Times New Roman"/>
                <w:sz w:val="16"/>
              </w:rPr>
            </w:pPr>
          </w:p>
          <w:p>
            <w:pPr>
              <w:pStyle w:val="TableParagraph"/>
              <w:ind w:left="124" w:right="125"/>
              <w:jc w:val="center"/>
              <w:rPr>
                <w:sz w:val="18"/>
              </w:rPr>
            </w:pPr>
            <w:r>
              <w:rPr>
                <w:sz w:val="18"/>
              </w:rPr>
              <w:t>Datos censales y oficiales</w:t>
            </w:r>
          </w:p>
        </w:tc>
        <w:tc>
          <w:tcPr>
            <w:tcW w:w="2547" w:type="dxa"/>
          </w:tcPr>
          <w:p>
            <w:pPr/>
          </w:p>
        </w:tc>
      </w:tr>
      <w:tr>
        <w:trPr>
          <w:trHeight w:val="382" w:hRule="exact"/>
        </w:trPr>
        <w:tc>
          <w:tcPr>
            <w:tcW w:w="1164" w:type="dxa"/>
          </w:tcPr>
          <w:p>
            <w:pPr>
              <w:pStyle w:val="TableParagraph"/>
              <w:spacing w:before="159"/>
              <w:ind w:right="1"/>
              <w:jc w:val="center"/>
              <w:rPr>
                <w:sz w:val="18"/>
              </w:rPr>
            </w:pPr>
            <w:r>
              <w:rPr>
                <w:w w:val="99"/>
                <w:sz w:val="18"/>
              </w:rPr>
              <w:t>6</w:t>
            </w:r>
          </w:p>
        </w:tc>
        <w:tc>
          <w:tcPr>
            <w:tcW w:w="2545" w:type="dxa"/>
          </w:tcPr>
          <w:p>
            <w:pPr/>
          </w:p>
        </w:tc>
        <w:tc>
          <w:tcPr>
            <w:tcW w:w="2544" w:type="dxa"/>
          </w:tcPr>
          <w:p>
            <w:pPr/>
          </w:p>
        </w:tc>
        <w:tc>
          <w:tcPr>
            <w:tcW w:w="2547" w:type="dxa"/>
          </w:tcPr>
          <w:p>
            <w:pPr/>
          </w:p>
        </w:tc>
      </w:tr>
      <w:tr>
        <w:trPr>
          <w:trHeight w:val="379" w:hRule="exact"/>
        </w:trPr>
        <w:tc>
          <w:tcPr>
            <w:tcW w:w="1164" w:type="dxa"/>
          </w:tcPr>
          <w:p>
            <w:pPr>
              <w:pStyle w:val="TableParagraph"/>
              <w:spacing w:before="158"/>
              <w:ind w:right="1"/>
              <w:jc w:val="center"/>
              <w:rPr>
                <w:sz w:val="18"/>
              </w:rPr>
            </w:pPr>
            <w:r>
              <w:rPr>
                <w:w w:val="99"/>
                <w:sz w:val="18"/>
              </w:rPr>
              <w:t>7</w:t>
            </w:r>
          </w:p>
        </w:tc>
        <w:tc>
          <w:tcPr>
            <w:tcW w:w="2545" w:type="dxa"/>
          </w:tcPr>
          <w:p>
            <w:pPr/>
          </w:p>
        </w:tc>
        <w:tc>
          <w:tcPr>
            <w:tcW w:w="2544" w:type="dxa"/>
          </w:tcPr>
          <w:p>
            <w:pPr/>
          </w:p>
        </w:tc>
        <w:tc>
          <w:tcPr>
            <w:tcW w:w="2547" w:type="dxa"/>
          </w:tcPr>
          <w:p>
            <w:pPr/>
          </w:p>
        </w:tc>
      </w:tr>
      <w:tr>
        <w:trPr>
          <w:trHeight w:val="622" w:hRule="exact"/>
        </w:trPr>
        <w:tc>
          <w:tcPr>
            <w:tcW w:w="1164" w:type="dxa"/>
          </w:tcPr>
          <w:p>
            <w:pPr>
              <w:pStyle w:val="TableParagraph"/>
              <w:rPr>
                <w:rFonts w:ascii="Times New Roman"/>
                <w:sz w:val="18"/>
              </w:rPr>
            </w:pPr>
          </w:p>
          <w:p>
            <w:pPr>
              <w:pStyle w:val="TableParagraph"/>
              <w:spacing w:before="9"/>
              <w:rPr>
                <w:rFonts w:ascii="Times New Roman"/>
                <w:sz w:val="16"/>
              </w:rPr>
            </w:pPr>
          </w:p>
          <w:p>
            <w:pPr>
              <w:pStyle w:val="TableParagraph"/>
              <w:ind w:right="1"/>
              <w:jc w:val="center"/>
              <w:rPr>
                <w:sz w:val="18"/>
              </w:rPr>
            </w:pPr>
            <w:r>
              <w:rPr>
                <w:w w:val="99"/>
                <w:sz w:val="18"/>
              </w:rPr>
              <w:t>8</w:t>
            </w:r>
          </w:p>
        </w:tc>
        <w:tc>
          <w:tcPr>
            <w:tcW w:w="2545" w:type="dxa"/>
          </w:tcPr>
          <w:p>
            <w:pPr>
              <w:pStyle w:val="TableParagraph"/>
              <w:spacing w:before="7"/>
              <w:rPr>
                <w:rFonts w:ascii="Times New Roman"/>
                <w:sz w:val="16"/>
              </w:rPr>
            </w:pPr>
          </w:p>
          <w:p>
            <w:pPr>
              <w:pStyle w:val="TableParagraph"/>
              <w:spacing w:before="1"/>
              <w:ind w:left="1051" w:right="124" w:hanging="912"/>
              <w:rPr>
                <w:sz w:val="18"/>
              </w:rPr>
            </w:pPr>
            <w:r>
              <w:rPr>
                <w:sz w:val="18"/>
              </w:rPr>
              <w:t>estadístico relación vivienda suelo</w:t>
            </w:r>
          </w:p>
        </w:tc>
        <w:tc>
          <w:tcPr>
            <w:tcW w:w="2544" w:type="dxa"/>
          </w:tcPr>
          <w:p>
            <w:pPr>
              <w:pStyle w:val="TableParagraph"/>
              <w:rPr>
                <w:rFonts w:ascii="Times New Roman"/>
                <w:sz w:val="18"/>
              </w:rPr>
            </w:pPr>
          </w:p>
          <w:p>
            <w:pPr>
              <w:pStyle w:val="TableParagraph"/>
              <w:spacing w:before="9"/>
              <w:rPr>
                <w:rFonts w:ascii="Times New Roman"/>
                <w:sz w:val="16"/>
              </w:rPr>
            </w:pPr>
          </w:p>
          <w:p>
            <w:pPr>
              <w:pStyle w:val="TableParagraph"/>
              <w:ind w:left="124" w:right="125"/>
              <w:jc w:val="center"/>
              <w:rPr>
                <w:sz w:val="18"/>
              </w:rPr>
            </w:pPr>
            <w:r>
              <w:rPr>
                <w:sz w:val="18"/>
              </w:rPr>
              <w:t>Datos censales y oficiales</w:t>
            </w:r>
          </w:p>
        </w:tc>
        <w:tc>
          <w:tcPr>
            <w:tcW w:w="2547" w:type="dxa"/>
          </w:tcPr>
          <w:p>
            <w:pPr/>
          </w:p>
        </w:tc>
      </w:tr>
      <w:tr>
        <w:trPr>
          <w:trHeight w:val="1978" w:hRule="exact"/>
        </w:trPr>
        <w:tc>
          <w:tcPr>
            <w:tcW w:w="1164"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9"/>
              <w:rPr>
                <w:rFonts w:ascii="Times New Roman"/>
                <w:sz w:val="26"/>
              </w:rPr>
            </w:pPr>
          </w:p>
          <w:p>
            <w:pPr>
              <w:pStyle w:val="TableParagraph"/>
              <w:ind w:right="1"/>
              <w:jc w:val="center"/>
              <w:rPr>
                <w:sz w:val="18"/>
              </w:rPr>
            </w:pPr>
            <w:r>
              <w:rPr>
                <w:w w:val="99"/>
                <w:sz w:val="18"/>
              </w:rPr>
              <w:t>9</w:t>
            </w:r>
          </w:p>
        </w:tc>
        <w:tc>
          <w:tcPr>
            <w:tcW w:w="2545" w:type="dxa"/>
          </w:tcPr>
          <w:p>
            <w:pPr>
              <w:pStyle w:val="TableParagraph"/>
              <w:spacing w:before="100"/>
              <w:ind w:left="100" w:right="100"/>
              <w:jc w:val="center"/>
              <w:rPr>
                <w:sz w:val="18"/>
              </w:rPr>
            </w:pPr>
            <w:r>
              <w:rPr>
                <w:sz w:val="18"/>
              </w:rPr>
              <w:t>modelo insumo-producto que permite estimar los efectos indirectos en la demanda provocados por la conmutación, y cómo éstos afectan al bienestar de las economías regionales vía la generación de ingresos y empleos</w:t>
            </w:r>
          </w:p>
        </w:tc>
        <w:tc>
          <w:tcPr>
            <w:tcW w:w="2544"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6"/>
              </w:rPr>
            </w:pPr>
          </w:p>
          <w:p>
            <w:pPr>
              <w:pStyle w:val="TableParagraph"/>
              <w:ind w:left="105" w:right="105" w:hanging="4"/>
              <w:jc w:val="center"/>
              <w:rPr>
                <w:sz w:val="18"/>
              </w:rPr>
            </w:pPr>
            <w:r>
              <w:rPr>
                <w:sz w:val="18"/>
              </w:rPr>
              <w:t>Censo de 2002 y de las matrices insumo-producto de 1996</w:t>
            </w:r>
          </w:p>
        </w:tc>
        <w:tc>
          <w:tcPr>
            <w:tcW w:w="2547" w:type="dxa"/>
          </w:tcPr>
          <w:p>
            <w:pPr/>
          </w:p>
        </w:tc>
      </w:tr>
      <w:tr>
        <w:trPr>
          <w:trHeight w:val="382" w:hRule="exact"/>
        </w:trPr>
        <w:tc>
          <w:tcPr>
            <w:tcW w:w="1164" w:type="dxa"/>
          </w:tcPr>
          <w:p>
            <w:pPr>
              <w:pStyle w:val="TableParagraph"/>
              <w:spacing w:before="158"/>
              <w:ind w:left="458" w:right="456"/>
              <w:jc w:val="center"/>
              <w:rPr>
                <w:sz w:val="18"/>
              </w:rPr>
            </w:pPr>
            <w:r>
              <w:rPr>
                <w:sz w:val="18"/>
              </w:rPr>
              <w:t>10</w:t>
            </w:r>
          </w:p>
        </w:tc>
        <w:tc>
          <w:tcPr>
            <w:tcW w:w="2545" w:type="dxa"/>
          </w:tcPr>
          <w:p>
            <w:pPr/>
          </w:p>
        </w:tc>
        <w:tc>
          <w:tcPr>
            <w:tcW w:w="2544" w:type="dxa"/>
          </w:tcPr>
          <w:p>
            <w:pPr/>
          </w:p>
        </w:tc>
        <w:tc>
          <w:tcPr>
            <w:tcW w:w="2547" w:type="dxa"/>
          </w:tcPr>
          <w:p>
            <w:pPr/>
          </w:p>
        </w:tc>
      </w:tr>
      <w:tr>
        <w:trPr>
          <w:trHeight w:val="1757" w:hRule="exact"/>
        </w:trPr>
        <w:tc>
          <w:tcPr>
            <w:tcW w:w="1164"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6"/>
              <w:rPr>
                <w:rFonts w:ascii="Times New Roman"/>
                <w:sz w:val="25"/>
              </w:rPr>
            </w:pPr>
          </w:p>
          <w:p>
            <w:pPr>
              <w:pStyle w:val="TableParagraph"/>
              <w:ind w:left="458" w:right="456"/>
              <w:jc w:val="center"/>
              <w:rPr>
                <w:sz w:val="18"/>
              </w:rPr>
            </w:pPr>
            <w:r>
              <w:rPr>
                <w:sz w:val="18"/>
              </w:rPr>
              <w:t>11</w:t>
            </w:r>
          </w:p>
        </w:tc>
        <w:tc>
          <w:tcPr>
            <w:tcW w:w="2545" w:type="dxa"/>
          </w:tcPr>
          <w:p>
            <w:pPr>
              <w:pStyle w:val="TableParagraph"/>
              <w:numPr>
                <w:ilvl w:val="0"/>
                <w:numId w:val="16"/>
              </w:numPr>
              <w:tabs>
                <w:tab w:pos="360" w:val="left" w:leader="none"/>
              </w:tabs>
              <w:spacing w:line="240" w:lineRule="auto" w:before="86" w:after="0"/>
              <w:ind w:left="345" w:right="0" w:hanging="257"/>
              <w:jc w:val="left"/>
              <w:rPr>
                <w:sz w:val="18"/>
              </w:rPr>
            </w:pPr>
            <w:r>
              <w:rPr>
                <w:sz w:val="18"/>
              </w:rPr>
              <w:t>observaciones en</w:t>
            </w:r>
            <w:r>
              <w:rPr>
                <w:spacing w:val="-11"/>
                <w:sz w:val="18"/>
              </w:rPr>
              <w:t> </w:t>
            </w:r>
            <w:r>
              <w:rPr>
                <w:sz w:val="18"/>
              </w:rPr>
              <w:t>terreno;</w:t>
            </w:r>
          </w:p>
          <w:p>
            <w:pPr>
              <w:pStyle w:val="TableParagraph"/>
              <w:numPr>
                <w:ilvl w:val="0"/>
                <w:numId w:val="16"/>
              </w:numPr>
              <w:tabs>
                <w:tab w:pos="602" w:val="left" w:leader="none"/>
              </w:tabs>
              <w:spacing w:line="240" w:lineRule="auto" w:before="2" w:after="0"/>
              <w:ind w:left="345" w:right="330" w:hanging="14"/>
              <w:jc w:val="left"/>
              <w:rPr>
                <w:sz w:val="18"/>
              </w:rPr>
            </w:pPr>
            <w:r>
              <w:rPr>
                <w:sz w:val="18"/>
              </w:rPr>
              <w:t>análisis espacial del cambio de la</w:t>
            </w:r>
            <w:r>
              <w:rPr>
                <w:spacing w:val="-11"/>
                <w:sz w:val="18"/>
              </w:rPr>
              <w:t> </w:t>
            </w:r>
            <w:r>
              <w:rPr>
                <w:sz w:val="18"/>
              </w:rPr>
              <w:t>superficie</w:t>
            </w:r>
          </w:p>
          <w:p>
            <w:pPr>
              <w:pStyle w:val="TableParagraph"/>
              <w:ind w:left="100" w:right="100"/>
              <w:jc w:val="center"/>
              <w:rPr>
                <w:sz w:val="18"/>
              </w:rPr>
            </w:pPr>
            <w:r>
              <w:rPr>
                <w:sz w:val="18"/>
              </w:rPr>
              <w:t>urbana construida y del uso de la tierra y (c) análisis de los cambios sociodemográficos y residenciales</w:t>
            </w:r>
          </w:p>
        </w:tc>
        <w:tc>
          <w:tcPr>
            <w:tcW w:w="2544"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25"/>
              </w:rPr>
            </w:pPr>
          </w:p>
          <w:p>
            <w:pPr>
              <w:pStyle w:val="TableParagraph"/>
              <w:ind w:left="599" w:right="373" w:hanging="209"/>
              <w:rPr>
                <w:sz w:val="18"/>
              </w:rPr>
            </w:pPr>
            <w:r>
              <w:rPr>
                <w:sz w:val="18"/>
              </w:rPr>
              <w:t>Censo de Población y Vivienda del año</w:t>
            </w:r>
          </w:p>
        </w:tc>
        <w:tc>
          <w:tcPr>
            <w:tcW w:w="2547" w:type="dxa"/>
          </w:tcPr>
          <w:p>
            <w:pPr/>
          </w:p>
        </w:tc>
      </w:tr>
      <w:tr>
        <w:trPr>
          <w:trHeight w:val="382" w:hRule="exact"/>
        </w:trPr>
        <w:tc>
          <w:tcPr>
            <w:tcW w:w="1164" w:type="dxa"/>
          </w:tcPr>
          <w:p>
            <w:pPr>
              <w:pStyle w:val="TableParagraph"/>
              <w:spacing w:before="158"/>
              <w:ind w:left="458" w:right="456"/>
              <w:jc w:val="center"/>
              <w:rPr>
                <w:sz w:val="18"/>
              </w:rPr>
            </w:pPr>
            <w:r>
              <w:rPr>
                <w:sz w:val="18"/>
              </w:rPr>
              <w:t>12</w:t>
            </w:r>
          </w:p>
        </w:tc>
        <w:tc>
          <w:tcPr>
            <w:tcW w:w="2545" w:type="dxa"/>
          </w:tcPr>
          <w:p>
            <w:pPr/>
          </w:p>
        </w:tc>
        <w:tc>
          <w:tcPr>
            <w:tcW w:w="2544" w:type="dxa"/>
          </w:tcPr>
          <w:p>
            <w:pPr/>
          </w:p>
        </w:tc>
        <w:tc>
          <w:tcPr>
            <w:tcW w:w="2547" w:type="dxa"/>
          </w:tcPr>
          <w:p>
            <w:pPr/>
          </w:p>
        </w:tc>
      </w:tr>
      <w:tr>
        <w:trPr>
          <w:trHeight w:val="1306" w:hRule="exact"/>
        </w:trPr>
        <w:tc>
          <w:tcPr>
            <w:tcW w:w="1164"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2"/>
              <w:rPr>
                <w:rFonts w:ascii="Times New Roman"/>
                <w:sz w:val="22"/>
              </w:rPr>
            </w:pPr>
          </w:p>
          <w:p>
            <w:pPr>
              <w:pStyle w:val="TableParagraph"/>
              <w:ind w:left="458" w:right="456"/>
              <w:jc w:val="center"/>
              <w:rPr>
                <w:sz w:val="18"/>
              </w:rPr>
            </w:pPr>
            <w:r>
              <w:rPr>
                <w:sz w:val="18"/>
              </w:rPr>
              <w:t>13</w:t>
            </w:r>
          </w:p>
        </w:tc>
        <w:tc>
          <w:tcPr>
            <w:tcW w:w="2545" w:type="dxa"/>
          </w:tcPr>
          <w:p>
            <w:pPr>
              <w:pStyle w:val="TableParagraph"/>
              <w:spacing w:before="48"/>
              <w:ind w:left="268" w:right="270"/>
              <w:jc w:val="center"/>
              <w:rPr>
                <w:sz w:val="18"/>
              </w:rPr>
            </w:pPr>
            <w:r>
              <w:rPr>
                <w:sz w:val="18"/>
              </w:rPr>
              <w:t>Índice de Vegetación de Diferencia Normalizada (</w:t>
            </w:r>
            <w:r>
              <w:rPr>
                <w:i/>
                <w:sz w:val="18"/>
              </w:rPr>
              <w:t>Normalized Difference </w:t>
            </w:r>
            <w:r>
              <w:rPr>
                <w:i/>
                <w:sz w:val="18"/>
              </w:rPr>
              <w:t>Vegetation Index</w:t>
            </w:r>
            <w:r>
              <w:rPr>
                <w:sz w:val="18"/>
              </w:rPr>
              <w:t>, NDVI), impermeabilidad y escorrentía</w:t>
            </w:r>
          </w:p>
        </w:tc>
        <w:tc>
          <w:tcPr>
            <w:tcW w:w="2544"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2"/>
              <w:rPr>
                <w:rFonts w:ascii="Times New Roman"/>
                <w:sz w:val="22"/>
              </w:rPr>
            </w:pPr>
          </w:p>
          <w:p>
            <w:pPr>
              <w:pStyle w:val="TableParagraph"/>
              <w:ind w:left="698" w:right="409" w:hanging="224"/>
              <w:rPr>
                <w:sz w:val="18"/>
              </w:rPr>
            </w:pPr>
            <w:r>
              <w:rPr>
                <w:sz w:val="18"/>
              </w:rPr>
              <w:t>imágenes satelitales LANDSAT TM</w:t>
            </w:r>
          </w:p>
        </w:tc>
        <w:tc>
          <w:tcPr>
            <w:tcW w:w="2547" w:type="dxa"/>
          </w:tcPr>
          <w:p>
            <w:pPr/>
          </w:p>
        </w:tc>
      </w:tr>
      <w:tr>
        <w:trPr>
          <w:trHeight w:val="379" w:hRule="exact"/>
        </w:trPr>
        <w:tc>
          <w:tcPr>
            <w:tcW w:w="1164" w:type="dxa"/>
          </w:tcPr>
          <w:p>
            <w:pPr>
              <w:pStyle w:val="TableParagraph"/>
              <w:spacing w:before="158"/>
              <w:ind w:left="458" w:right="456"/>
              <w:jc w:val="center"/>
              <w:rPr>
                <w:sz w:val="18"/>
              </w:rPr>
            </w:pPr>
            <w:r>
              <w:rPr>
                <w:sz w:val="18"/>
              </w:rPr>
              <w:t>14</w:t>
            </w:r>
          </w:p>
        </w:tc>
        <w:tc>
          <w:tcPr>
            <w:tcW w:w="2545" w:type="dxa"/>
          </w:tcPr>
          <w:p>
            <w:pPr/>
          </w:p>
        </w:tc>
        <w:tc>
          <w:tcPr>
            <w:tcW w:w="2544" w:type="dxa"/>
          </w:tcPr>
          <w:p>
            <w:pPr/>
          </w:p>
        </w:tc>
        <w:tc>
          <w:tcPr>
            <w:tcW w:w="2547" w:type="dxa"/>
          </w:tcPr>
          <w:p>
            <w:pPr/>
          </w:p>
        </w:tc>
      </w:tr>
      <w:tr>
        <w:trPr>
          <w:trHeight w:val="379" w:hRule="exact"/>
        </w:trPr>
        <w:tc>
          <w:tcPr>
            <w:tcW w:w="1164" w:type="dxa"/>
          </w:tcPr>
          <w:p>
            <w:pPr>
              <w:pStyle w:val="TableParagraph"/>
              <w:spacing w:before="158"/>
              <w:ind w:left="458" w:right="456"/>
              <w:jc w:val="center"/>
              <w:rPr>
                <w:sz w:val="18"/>
              </w:rPr>
            </w:pPr>
            <w:r>
              <w:rPr>
                <w:sz w:val="18"/>
              </w:rPr>
              <w:t>15</w:t>
            </w:r>
          </w:p>
        </w:tc>
        <w:tc>
          <w:tcPr>
            <w:tcW w:w="2545" w:type="dxa"/>
          </w:tcPr>
          <w:p>
            <w:pPr/>
          </w:p>
        </w:tc>
        <w:tc>
          <w:tcPr>
            <w:tcW w:w="2544" w:type="dxa"/>
          </w:tcPr>
          <w:p>
            <w:pPr/>
          </w:p>
        </w:tc>
        <w:tc>
          <w:tcPr>
            <w:tcW w:w="2547" w:type="dxa"/>
          </w:tcPr>
          <w:p>
            <w:pPr/>
          </w:p>
        </w:tc>
      </w:tr>
      <w:tr>
        <w:trPr>
          <w:trHeight w:val="1094" w:hRule="exact"/>
        </w:trPr>
        <w:tc>
          <w:tcPr>
            <w:tcW w:w="1164"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1"/>
              </w:rPr>
            </w:pPr>
          </w:p>
          <w:p>
            <w:pPr>
              <w:pStyle w:val="TableParagraph"/>
              <w:ind w:left="458" w:right="456"/>
              <w:jc w:val="center"/>
              <w:rPr>
                <w:sz w:val="18"/>
              </w:rPr>
            </w:pPr>
            <w:r>
              <w:rPr>
                <w:sz w:val="18"/>
              </w:rPr>
              <w:t>16</w:t>
            </w:r>
          </w:p>
        </w:tc>
        <w:tc>
          <w:tcPr>
            <w:tcW w:w="2545"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1"/>
              </w:rPr>
            </w:pPr>
          </w:p>
          <w:p>
            <w:pPr>
              <w:pStyle w:val="TableParagraph"/>
              <w:ind w:left="100" w:right="100"/>
              <w:jc w:val="center"/>
              <w:rPr>
                <w:sz w:val="18"/>
              </w:rPr>
            </w:pPr>
            <w:r>
              <w:rPr>
                <w:sz w:val="18"/>
              </w:rPr>
              <w:t>Análisis de clúster</w:t>
            </w:r>
          </w:p>
        </w:tc>
        <w:tc>
          <w:tcPr>
            <w:tcW w:w="2544"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1"/>
              </w:rPr>
            </w:pPr>
          </w:p>
          <w:p>
            <w:pPr>
              <w:pStyle w:val="TableParagraph"/>
              <w:ind w:left="124" w:right="124"/>
              <w:jc w:val="center"/>
              <w:rPr>
                <w:sz w:val="18"/>
              </w:rPr>
            </w:pPr>
            <w:r>
              <w:rPr>
                <w:sz w:val="18"/>
              </w:rPr>
              <w:t>Censos de Población</w:t>
            </w:r>
          </w:p>
        </w:tc>
        <w:tc>
          <w:tcPr>
            <w:tcW w:w="2547" w:type="dxa"/>
          </w:tcPr>
          <w:p>
            <w:pPr>
              <w:pStyle w:val="TableParagraph"/>
              <w:spacing w:before="45"/>
              <w:ind w:left="74" w:right="80" w:firstLine="4"/>
              <w:jc w:val="center"/>
              <w:rPr>
                <w:sz w:val="18"/>
              </w:rPr>
            </w:pPr>
            <w:r>
              <w:rPr>
                <w:sz w:val="18"/>
              </w:rPr>
              <w:t>La expansión metropolitana de las megaciudades. La Ciudad de México y la transformación de su periferia regional</w:t>
            </w:r>
          </w:p>
        </w:tc>
      </w:tr>
      <w:tr>
        <w:trPr>
          <w:trHeight w:val="382" w:hRule="exact"/>
        </w:trPr>
        <w:tc>
          <w:tcPr>
            <w:tcW w:w="1164" w:type="dxa"/>
          </w:tcPr>
          <w:p>
            <w:pPr>
              <w:pStyle w:val="TableParagraph"/>
              <w:spacing w:before="158"/>
              <w:ind w:left="458" w:right="456"/>
              <w:jc w:val="center"/>
              <w:rPr>
                <w:sz w:val="18"/>
              </w:rPr>
            </w:pPr>
            <w:r>
              <w:rPr>
                <w:sz w:val="18"/>
              </w:rPr>
              <w:t>17</w:t>
            </w:r>
          </w:p>
        </w:tc>
        <w:tc>
          <w:tcPr>
            <w:tcW w:w="2545" w:type="dxa"/>
          </w:tcPr>
          <w:p>
            <w:pPr/>
          </w:p>
        </w:tc>
        <w:tc>
          <w:tcPr>
            <w:tcW w:w="2544" w:type="dxa"/>
          </w:tcPr>
          <w:p>
            <w:pPr/>
          </w:p>
        </w:tc>
        <w:tc>
          <w:tcPr>
            <w:tcW w:w="2547" w:type="dxa"/>
          </w:tcPr>
          <w:p>
            <w:pPr/>
          </w:p>
        </w:tc>
      </w:tr>
      <w:tr>
        <w:trPr>
          <w:trHeight w:val="380" w:hRule="exact"/>
        </w:trPr>
        <w:tc>
          <w:tcPr>
            <w:tcW w:w="1164" w:type="dxa"/>
          </w:tcPr>
          <w:p>
            <w:pPr>
              <w:pStyle w:val="TableParagraph"/>
              <w:spacing w:before="159"/>
              <w:ind w:left="458" w:right="456"/>
              <w:jc w:val="center"/>
              <w:rPr>
                <w:sz w:val="18"/>
              </w:rPr>
            </w:pPr>
            <w:r>
              <w:rPr>
                <w:sz w:val="18"/>
              </w:rPr>
              <w:t>18</w:t>
            </w:r>
          </w:p>
        </w:tc>
        <w:tc>
          <w:tcPr>
            <w:tcW w:w="2545" w:type="dxa"/>
          </w:tcPr>
          <w:p>
            <w:pPr/>
          </w:p>
        </w:tc>
        <w:tc>
          <w:tcPr>
            <w:tcW w:w="2544" w:type="dxa"/>
          </w:tcPr>
          <w:p>
            <w:pPr/>
          </w:p>
        </w:tc>
        <w:tc>
          <w:tcPr>
            <w:tcW w:w="2547" w:type="dxa"/>
          </w:tcPr>
          <w:p>
            <w:pPr/>
          </w:p>
        </w:tc>
      </w:tr>
    </w:tbl>
    <w:p>
      <w:pPr>
        <w:spacing w:after="0"/>
        <w:sectPr>
          <w:footerReference w:type="default" r:id="rId40"/>
          <w:pgSz w:w="12240" w:h="15840"/>
          <w:pgMar w:footer="629" w:header="0" w:top="1420" w:bottom="82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64"/>
        <w:gridCol w:w="2545"/>
        <w:gridCol w:w="2544"/>
        <w:gridCol w:w="2547"/>
      </w:tblGrid>
      <w:tr>
        <w:trPr>
          <w:trHeight w:val="382" w:hRule="exact"/>
        </w:trPr>
        <w:tc>
          <w:tcPr>
            <w:tcW w:w="1164" w:type="dxa"/>
            <w:vMerge w:val="restart"/>
          </w:tcPr>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3"/>
              </w:rPr>
            </w:pPr>
          </w:p>
          <w:p>
            <w:pPr>
              <w:pStyle w:val="TableParagraph"/>
              <w:ind w:left="151" w:right="104" w:hanging="46"/>
              <w:jc w:val="both"/>
              <w:rPr>
                <w:b/>
                <w:sz w:val="18"/>
              </w:rPr>
            </w:pPr>
            <w:r>
              <w:rPr>
                <w:b/>
                <w:sz w:val="18"/>
              </w:rPr>
              <w:t>Número de unidad de análisis</w:t>
            </w:r>
          </w:p>
        </w:tc>
        <w:tc>
          <w:tcPr>
            <w:tcW w:w="7636" w:type="dxa"/>
            <w:gridSpan w:val="3"/>
          </w:tcPr>
          <w:p>
            <w:pPr>
              <w:pStyle w:val="TableParagraph"/>
              <w:spacing w:before="88"/>
              <w:ind w:left="1149"/>
              <w:rPr>
                <w:b/>
                <w:sz w:val="24"/>
              </w:rPr>
            </w:pPr>
            <w:r>
              <w:rPr>
                <w:b/>
                <w:sz w:val="24"/>
              </w:rPr>
              <w:t>Sección 4. Aspectos técnicos de investigación</w:t>
            </w:r>
          </w:p>
        </w:tc>
      </w:tr>
      <w:tr>
        <w:trPr>
          <w:trHeight w:val="317" w:hRule="exact"/>
        </w:trPr>
        <w:tc>
          <w:tcPr>
            <w:tcW w:w="1164" w:type="dxa"/>
            <w:vMerge/>
          </w:tcPr>
          <w:p>
            <w:pPr/>
          </w:p>
        </w:tc>
        <w:tc>
          <w:tcPr>
            <w:tcW w:w="2545" w:type="dxa"/>
          </w:tcPr>
          <w:p>
            <w:pPr>
              <w:pStyle w:val="TableParagraph"/>
              <w:spacing w:before="91"/>
              <w:ind w:left="100" w:right="100"/>
              <w:jc w:val="center"/>
              <w:rPr>
                <w:b/>
                <w:sz w:val="18"/>
              </w:rPr>
            </w:pPr>
            <w:r>
              <w:rPr>
                <w:b/>
                <w:sz w:val="18"/>
              </w:rPr>
              <w:t>variable 1</w:t>
            </w:r>
          </w:p>
        </w:tc>
        <w:tc>
          <w:tcPr>
            <w:tcW w:w="2544" w:type="dxa"/>
          </w:tcPr>
          <w:p>
            <w:pPr>
              <w:pStyle w:val="TableParagraph"/>
              <w:spacing w:before="91"/>
              <w:ind w:left="124" w:right="125"/>
              <w:jc w:val="center"/>
              <w:rPr>
                <w:b/>
                <w:sz w:val="18"/>
              </w:rPr>
            </w:pPr>
            <w:r>
              <w:rPr>
                <w:b/>
                <w:sz w:val="18"/>
              </w:rPr>
              <w:t>variable 2</w:t>
            </w:r>
          </w:p>
        </w:tc>
        <w:tc>
          <w:tcPr>
            <w:tcW w:w="2547" w:type="dxa"/>
          </w:tcPr>
          <w:p>
            <w:pPr>
              <w:pStyle w:val="TableParagraph"/>
              <w:spacing w:before="91"/>
              <w:ind w:left="148" w:right="148"/>
              <w:jc w:val="center"/>
              <w:rPr>
                <w:b/>
                <w:sz w:val="18"/>
              </w:rPr>
            </w:pPr>
            <w:r>
              <w:rPr>
                <w:b/>
                <w:sz w:val="18"/>
              </w:rPr>
              <w:t>variable 3</w:t>
            </w:r>
          </w:p>
        </w:tc>
      </w:tr>
      <w:tr>
        <w:trPr>
          <w:trHeight w:val="631" w:hRule="exact"/>
        </w:trPr>
        <w:tc>
          <w:tcPr>
            <w:tcW w:w="1164" w:type="dxa"/>
            <w:vMerge/>
          </w:tcPr>
          <w:p>
            <w:pPr/>
          </w:p>
        </w:tc>
        <w:tc>
          <w:tcPr>
            <w:tcW w:w="2545" w:type="dxa"/>
          </w:tcPr>
          <w:p>
            <w:pPr>
              <w:pStyle w:val="TableParagraph"/>
              <w:rPr>
                <w:rFonts w:ascii="Times New Roman"/>
                <w:sz w:val="18"/>
              </w:rPr>
            </w:pPr>
          </w:p>
          <w:p>
            <w:pPr>
              <w:pStyle w:val="TableParagraph"/>
              <w:spacing w:before="3"/>
              <w:rPr>
                <w:rFonts w:ascii="Times New Roman"/>
                <w:sz w:val="17"/>
              </w:rPr>
            </w:pPr>
          </w:p>
          <w:p>
            <w:pPr>
              <w:pStyle w:val="TableParagraph"/>
              <w:ind w:left="100" w:right="100"/>
              <w:jc w:val="center"/>
              <w:rPr>
                <w:b/>
                <w:sz w:val="18"/>
              </w:rPr>
            </w:pPr>
            <w:r>
              <w:rPr>
                <w:b/>
                <w:sz w:val="18"/>
              </w:rPr>
              <w:t>Técnica de investigación</w:t>
            </w:r>
          </w:p>
        </w:tc>
        <w:tc>
          <w:tcPr>
            <w:tcW w:w="2544" w:type="dxa"/>
          </w:tcPr>
          <w:p>
            <w:pPr>
              <w:pStyle w:val="TableParagraph"/>
              <w:rPr>
                <w:rFonts w:ascii="Times New Roman"/>
                <w:sz w:val="18"/>
              </w:rPr>
            </w:pPr>
          </w:p>
          <w:p>
            <w:pPr>
              <w:pStyle w:val="TableParagraph"/>
              <w:spacing w:before="3"/>
              <w:rPr>
                <w:rFonts w:ascii="Times New Roman"/>
                <w:sz w:val="17"/>
              </w:rPr>
            </w:pPr>
          </w:p>
          <w:p>
            <w:pPr>
              <w:pStyle w:val="TableParagraph"/>
              <w:ind w:left="124" w:right="124"/>
              <w:jc w:val="center"/>
              <w:rPr>
                <w:b/>
                <w:sz w:val="18"/>
              </w:rPr>
            </w:pPr>
            <w:r>
              <w:rPr>
                <w:b/>
                <w:sz w:val="18"/>
              </w:rPr>
              <w:t>Fuente de datos</w:t>
            </w:r>
          </w:p>
        </w:tc>
        <w:tc>
          <w:tcPr>
            <w:tcW w:w="2547" w:type="dxa"/>
          </w:tcPr>
          <w:p>
            <w:pPr>
              <w:pStyle w:val="TableParagraph"/>
              <w:ind w:left="148" w:right="151"/>
              <w:jc w:val="center"/>
              <w:rPr>
                <w:b/>
                <w:sz w:val="18"/>
              </w:rPr>
            </w:pPr>
            <w:r>
              <w:rPr>
                <w:b/>
                <w:sz w:val="18"/>
              </w:rPr>
              <w:t>Nombre de adscripción si es proyecto de investigación</w:t>
            </w:r>
          </w:p>
        </w:tc>
      </w:tr>
      <w:tr>
        <w:trPr>
          <w:trHeight w:val="653" w:hRule="exact"/>
        </w:trPr>
        <w:tc>
          <w:tcPr>
            <w:tcW w:w="1164" w:type="dxa"/>
          </w:tcPr>
          <w:p>
            <w:pPr>
              <w:pStyle w:val="TableParagraph"/>
              <w:rPr>
                <w:rFonts w:ascii="Times New Roman"/>
                <w:sz w:val="18"/>
              </w:rPr>
            </w:pPr>
          </w:p>
          <w:p>
            <w:pPr>
              <w:pStyle w:val="TableParagraph"/>
              <w:spacing w:before="6"/>
              <w:rPr>
                <w:rFonts w:ascii="Times New Roman"/>
                <w:sz w:val="19"/>
              </w:rPr>
            </w:pPr>
          </w:p>
          <w:p>
            <w:pPr>
              <w:pStyle w:val="TableParagraph"/>
              <w:ind w:left="458" w:right="456"/>
              <w:jc w:val="center"/>
              <w:rPr>
                <w:sz w:val="18"/>
              </w:rPr>
            </w:pPr>
            <w:r>
              <w:rPr>
                <w:sz w:val="18"/>
              </w:rPr>
              <w:t>19</w:t>
            </w:r>
          </w:p>
        </w:tc>
        <w:tc>
          <w:tcPr>
            <w:tcW w:w="2545" w:type="dxa"/>
          </w:tcPr>
          <w:p>
            <w:pPr>
              <w:pStyle w:val="TableParagraph"/>
              <w:spacing w:before="16"/>
              <w:ind w:left="97" w:right="100"/>
              <w:jc w:val="center"/>
              <w:rPr>
                <w:sz w:val="18"/>
              </w:rPr>
            </w:pPr>
            <w:r>
              <w:rPr>
                <w:sz w:val="18"/>
              </w:rPr>
              <w:t>Estadístico distribución del ingreso, índice de desarrollo humano</w:t>
            </w:r>
          </w:p>
        </w:tc>
        <w:tc>
          <w:tcPr>
            <w:tcW w:w="2544" w:type="dxa"/>
          </w:tcPr>
          <w:p>
            <w:pPr>
              <w:pStyle w:val="TableParagraph"/>
              <w:rPr>
                <w:rFonts w:ascii="Times New Roman"/>
                <w:sz w:val="18"/>
              </w:rPr>
            </w:pPr>
          </w:p>
          <w:p>
            <w:pPr>
              <w:pStyle w:val="TableParagraph"/>
              <w:spacing w:before="6"/>
              <w:rPr>
                <w:rFonts w:ascii="Times New Roman"/>
                <w:sz w:val="19"/>
              </w:rPr>
            </w:pPr>
          </w:p>
          <w:p>
            <w:pPr>
              <w:pStyle w:val="TableParagraph"/>
              <w:ind w:left="124" w:right="124"/>
              <w:jc w:val="center"/>
              <w:rPr>
                <w:sz w:val="18"/>
              </w:rPr>
            </w:pPr>
            <w:r>
              <w:rPr>
                <w:sz w:val="18"/>
              </w:rPr>
              <w:t>Censos</w:t>
            </w:r>
          </w:p>
        </w:tc>
        <w:tc>
          <w:tcPr>
            <w:tcW w:w="2547" w:type="dxa"/>
          </w:tcPr>
          <w:p>
            <w:pPr/>
          </w:p>
        </w:tc>
      </w:tr>
      <w:tr>
        <w:trPr>
          <w:trHeight w:val="706" w:hRule="exact"/>
        </w:trPr>
        <w:tc>
          <w:tcPr>
            <w:tcW w:w="1164" w:type="dxa"/>
          </w:tcPr>
          <w:p>
            <w:pPr>
              <w:pStyle w:val="TableParagraph"/>
              <w:rPr>
                <w:rFonts w:ascii="Times New Roman"/>
                <w:sz w:val="18"/>
              </w:rPr>
            </w:pPr>
          </w:p>
          <w:p>
            <w:pPr>
              <w:pStyle w:val="TableParagraph"/>
              <w:spacing w:before="1"/>
              <w:rPr>
                <w:rFonts w:ascii="Times New Roman"/>
                <w:sz w:val="24"/>
              </w:rPr>
            </w:pPr>
          </w:p>
          <w:p>
            <w:pPr>
              <w:pStyle w:val="TableParagraph"/>
              <w:spacing w:before="1"/>
              <w:ind w:left="458" w:right="456"/>
              <w:jc w:val="center"/>
              <w:rPr>
                <w:sz w:val="18"/>
              </w:rPr>
            </w:pPr>
            <w:r>
              <w:rPr>
                <w:sz w:val="18"/>
              </w:rPr>
              <w:t>20</w:t>
            </w:r>
          </w:p>
        </w:tc>
        <w:tc>
          <w:tcPr>
            <w:tcW w:w="2545" w:type="dxa"/>
          </w:tcPr>
          <w:p>
            <w:pPr>
              <w:pStyle w:val="TableParagraph"/>
              <w:spacing w:before="72"/>
              <w:ind w:left="271" w:right="270" w:hanging="3"/>
              <w:jc w:val="center"/>
              <w:rPr>
                <w:sz w:val="18"/>
              </w:rPr>
            </w:pPr>
            <w:r>
              <w:rPr>
                <w:sz w:val="18"/>
              </w:rPr>
              <w:t>Indicadores de calidad ambiental, método de componentes principales</w:t>
            </w:r>
          </w:p>
        </w:tc>
        <w:tc>
          <w:tcPr>
            <w:tcW w:w="2544" w:type="dxa"/>
          </w:tcPr>
          <w:p>
            <w:pPr>
              <w:pStyle w:val="TableParagraph"/>
              <w:rPr>
                <w:rFonts w:ascii="Times New Roman"/>
                <w:sz w:val="18"/>
              </w:rPr>
            </w:pPr>
          </w:p>
          <w:p>
            <w:pPr>
              <w:pStyle w:val="TableParagraph"/>
              <w:spacing w:before="1"/>
              <w:rPr>
                <w:rFonts w:ascii="Times New Roman"/>
                <w:sz w:val="24"/>
              </w:rPr>
            </w:pPr>
          </w:p>
          <w:p>
            <w:pPr>
              <w:pStyle w:val="TableParagraph"/>
              <w:spacing w:before="1"/>
              <w:ind w:left="124" w:right="124"/>
              <w:jc w:val="center"/>
              <w:rPr>
                <w:sz w:val="18"/>
              </w:rPr>
            </w:pPr>
            <w:r>
              <w:rPr>
                <w:sz w:val="18"/>
              </w:rPr>
              <w:t>censos</w:t>
            </w:r>
          </w:p>
        </w:tc>
        <w:tc>
          <w:tcPr>
            <w:tcW w:w="2547" w:type="dxa"/>
          </w:tcPr>
          <w:p>
            <w:pPr/>
          </w:p>
        </w:tc>
      </w:tr>
      <w:tr>
        <w:trPr>
          <w:trHeight w:val="562" w:hRule="exact"/>
        </w:trPr>
        <w:tc>
          <w:tcPr>
            <w:tcW w:w="1164" w:type="dxa"/>
          </w:tcPr>
          <w:p>
            <w:pPr>
              <w:pStyle w:val="TableParagraph"/>
              <w:rPr>
                <w:rFonts w:ascii="Times New Roman"/>
                <w:sz w:val="18"/>
              </w:rPr>
            </w:pPr>
          </w:p>
          <w:p>
            <w:pPr>
              <w:pStyle w:val="TableParagraph"/>
              <w:spacing w:before="131"/>
              <w:ind w:left="458" w:right="456"/>
              <w:jc w:val="center"/>
              <w:rPr>
                <w:sz w:val="18"/>
              </w:rPr>
            </w:pPr>
            <w:r>
              <w:rPr>
                <w:sz w:val="18"/>
              </w:rPr>
              <w:t>21</w:t>
            </w:r>
          </w:p>
        </w:tc>
        <w:tc>
          <w:tcPr>
            <w:tcW w:w="2545" w:type="dxa"/>
          </w:tcPr>
          <w:p>
            <w:pPr>
              <w:pStyle w:val="TableParagraph"/>
              <w:spacing w:before="132"/>
              <w:ind w:left="902" w:right="133" w:hanging="752"/>
              <w:rPr>
                <w:sz w:val="18"/>
              </w:rPr>
            </w:pPr>
            <w:r>
              <w:rPr>
                <w:sz w:val="18"/>
              </w:rPr>
              <w:t>Estadístico sobre vivienda y encuesta</w:t>
            </w:r>
          </w:p>
        </w:tc>
        <w:tc>
          <w:tcPr>
            <w:tcW w:w="2544" w:type="dxa"/>
          </w:tcPr>
          <w:p>
            <w:pPr>
              <w:pStyle w:val="TableParagraph"/>
              <w:rPr>
                <w:rFonts w:ascii="Times New Roman"/>
                <w:sz w:val="18"/>
              </w:rPr>
            </w:pPr>
          </w:p>
          <w:p>
            <w:pPr>
              <w:pStyle w:val="TableParagraph"/>
              <w:spacing w:before="131"/>
              <w:ind w:left="124" w:right="124"/>
              <w:jc w:val="center"/>
              <w:rPr>
                <w:sz w:val="18"/>
              </w:rPr>
            </w:pPr>
            <w:r>
              <w:rPr>
                <w:sz w:val="18"/>
              </w:rPr>
              <w:t>Censos</w:t>
            </w:r>
          </w:p>
        </w:tc>
        <w:tc>
          <w:tcPr>
            <w:tcW w:w="2547" w:type="dxa"/>
          </w:tcPr>
          <w:p>
            <w:pPr/>
          </w:p>
        </w:tc>
      </w:tr>
      <w:tr>
        <w:trPr>
          <w:trHeight w:val="380" w:hRule="exact"/>
        </w:trPr>
        <w:tc>
          <w:tcPr>
            <w:tcW w:w="1164" w:type="dxa"/>
          </w:tcPr>
          <w:p>
            <w:pPr>
              <w:pStyle w:val="TableParagraph"/>
              <w:spacing w:before="159"/>
              <w:ind w:left="458" w:right="456"/>
              <w:jc w:val="center"/>
              <w:rPr>
                <w:sz w:val="18"/>
              </w:rPr>
            </w:pPr>
            <w:r>
              <w:rPr>
                <w:sz w:val="18"/>
              </w:rPr>
              <w:t>22</w:t>
            </w:r>
          </w:p>
        </w:tc>
        <w:tc>
          <w:tcPr>
            <w:tcW w:w="2545" w:type="dxa"/>
          </w:tcPr>
          <w:p>
            <w:pPr/>
          </w:p>
        </w:tc>
        <w:tc>
          <w:tcPr>
            <w:tcW w:w="2544" w:type="dxa"/>
          </w:tcPr>
          <w:p>
            <w:pPr/>
          </w:p>
        </w:tc>
        <w:tc>
          <w:tcPr>
            <w:tcW w:w="2547" w:type="dxa"/>
          </w:tcPr>
          <w:p>
            <w:pPr/>
          </w:p>
        </w:tc>
      </w:tr>
      <w:tr>
        <w:trPr>
          <w:trHeight w:val="379" w:hRule="exact"/>
        </w:trPr>
        <w:tc>
          <w:tcPr>
            <w:tcW w:w="1164" w:type="dxa"/>
          </w:tcPr>
          <w:p>
            <w:pPr>
              <w:pStyle w:val="TableParagraph"/>
              <w:spacing w:before="158"/>
              <w:ind w:left="458" w:right="456"/>
              <w:jc w:val="center"/>
              <w:rPr>
                <w:sz w:val="18"/>
              </w:rPr>
            </w:pPr>
            <w:r>
              <w:rPr>
                <w:sz w:val="18"/>
              </w:rPr>
              <w:t>23</w:t>
            </w:r>
          </w:p>
        </w:tc>
        <w:tc>
          <w:tcPr>
            <w:tcW w:w="2545" w:type="dxa"/>
          </w:tcPr>
          <w:p>
            <w:pPr>
              <w:pStyle w:val="TableParagraph"/>
              <w:spacing w:before="158"/>
              <w:ind w:left="99" w:right="100"/>
              <w:jc w:val="center"/>
              <w:rPr>
                <w:sz w:val="18"/>
              </w:rPr>
            </w:pPr>
            <w:r>
              <w:rPr>
                <w:sz w:val="18"/>
              </w:rPr>
              <w:t>hologramas espaciales</w:t>
            </w:r>
          </w:p>
        </w:tc>
        <w:tc>
          <w:tcPr>
            <w:tcW w:w="2544" w:type="dxa"/>
          </w:tcPr>
          <w:p>
            <w:pPr/>
          </w:p>
        </w:tc>
        <w:tc>
          <w:tcPr>
            <w:tcW w:w="2547" w:type="dxa"/>
          </w:tcPr>
          <w:p>
            <w:pPr/>
          </w:p>
        </w:tc>
      </w:tr>
      <w:tr>
        <w:trPr>
          <w:trHeight w:val="382" w:hRule="exact"/>
        </w:trPr>
        <w:tc>
          <w:tcPr>
            <w:tcW w:w="1164" w:type="dxa"/>
          </w:tcPr>
          <w:p>
            <w:pPr>
              <w:pStyle w:val="TableParagraph"/>
              <w:spacing w:before="158"/>
              <w:ind w:left="458" w:right="456"/>
              <w:jc w:val="center"/>
              <w:rPr>
                <w:sz w:val="18"/>
              </w:rPr>
            </w:pPr>
            <w:r>
              <w:rPr>
                <w:sz w:val="18"/>
              </w:rPr>
              <w:t>24</w:t>
            </w:r>
          </w:p>
        </w:tc>
        <w:tc>
          <w:tcPr>
            <w:tcW w:w="2545" w:type="dxa"/>
          </w:tcPr>
          <w:p>
            <w:pPr/>
          </w:p>
        </w:tc>
        <w:tc>
          <w:tcPr>
            <w:tcW w:w="2544" w:type="dxa"/>
          </w:tcPr>
          <w:p>
            <w:pPr/>
          </w:p>
        </w:tc>
        <w:tc>
          <w:tcPr>
            <w:tcW w:w="2547" w:type="dxa"/>
          </w:tcPr>
          <w:p>
            <w:pPr/>
          </w:p>
        </w:tc>
      </w:tr>
      <w:tr>
        <w:trPr>
          <w:trHeight w:val="530" w:hRule="exact"/>
        </w:trPr>
        <w:tc>
          <w:tcPr>
            <w:tcW w:w="1164" w:type="dxa"/>
          </w:tcPr>
          <w:p>
            <w:pPr>
              <w:pStyle w:val="TableParagraph"/>
              <w:spacing w:before="8"/>
              <w:rPr>
                <w:rFonts w:ascii="Times New Roman"/>
                <w:sz w:val="26"/>
              </w:rPr>
            </w:pPr>
          </w:p>
          <w:p>
            <w:pPr>
              <w:pStyle w:val="TableParagraph"/>
              <w:ind w:left="458" w:right="456"/>
              <w:jc w:val="center"/>
              <w:rPr>
                <w:sz w:val="18"/>
              </w:rPr>
            </w:pPr>
            <w:r>
              <w:rPr>
                <w:sz w:val="18"/>
              </w:rPr>
              <w:t>25</w:t>
            </w:r>
          </w:p>
        </w:tc>
        <w:tc>
          <w:tcPr>
            <w:tcW w:w="2545" w:type="dxa"/>
          </w:tcPr>
          <w:p>
            <w:pPr>
              <w:pStyle w:val="TableParagraph"/>
              <w:spacing w:before="100"/>
              <w:ind w:left="304" w:right="289" w:firstLine="146"/>
              <w:rPr>
                <w:sz w:val="18"/>
              </w:rPr>
            </w:pPr>
            <w:r>
              <w:rPr>
                <w:sz w:val="18"/>
              </w:rPr>
              <w:t>estadístico variables económicas y población</w:t>
            </w:r>
          </w:p>
        </w:tc>
        <w:tc>
          <w:tcPr>
            <w:tcW w:w="2544" w:type="dxa"/>
          </w:tcPr>
          <w:p>
            <w:pPr>
              <w:pStyle w:val="TableParagraph"/>
              <w:spacing w:before="8"/>
              <w:rPr>
                <w:rFonts w:ascii="Times New Roman"/>
                <w:sz w:val="26"/>
              </w:rPr>
            </w:pPr>
          </w:p>
          <w:p>
            <w:pPr>
              <w:pStyle w:val="TableParagraph"/>
              <w:ind w:left="124" w:right="124"/>
              <w:jc w:val="center"/>
              <w:rPr>
                <w:sz w:val="18"/>
              </w:rPr>
            </w:pPr>
            <w:r>
              <w:rPr>
                <w:sz w:val="18"/>
              </w:rPr>
              <w:t>censos</w:t>
            </w:r>
          </w:p>
        </w:tc>
        <w:tc>
          <w:tcPr>
            <w:tcW w:w="2547" w:type="dxa"/>
          </w:tcPr>
          <w:p>
            <w:pPr/>
          </w:p>
        </w:tc>
      </w:tr>
      <w:tr>
        <w:trPr>
          <w:trHeight w:val="619" w:hRule="exact"/>
        </w:trPr>
        <w:tc>
          <w:tcPr>
            <w:tcW w:w="1164" w:type="dxa"/>
          </w:tcPr>
          <w:p>
            <w:pPr>
              <w:pStyle w:val="TableParagraph"/>
              <w:rPr>
                <w:rFonts w:ascii="Times New Roman"/>
                <w:sz w:val="18"/>
              </w:rPr>
            </w:pPr>
          </w:p>
          <w:p>
            <w:pPr>
              <w:pStyle w:val="TableParagraph"/>
              <w:spacing w:before="7"/>
              <w:rPr>
                <w:rFonts w:ascii="Times New Roman"/>
                <w:sz w:val="16"/>
              </w:rPr>
            </w:pPr>
          </w:p>
          <w:p>
            <w:pPr>
              <w:pStyle w:val="TableParagraph"/>
              <w:ind w:left="458" w:right="456"/>
              <w:jc w:val="center"/>
              <w:rPr>
                <w:sz w:val="18"/>
              </w:rPr>
            </w:pPr>
            <w:r>
              <w:rPr>
                <w:sz w:val="18"/>
              </w:rPr>
              <w:t>26</w:t>
            </w:r>
          </w:p>
        </w:tc>
        <w:tc>
          <w:tcPr>
            <w:tcW w:w="2545" w:type="dxa"/>
          </w:tcPr>
          <w:p>
            <w:pPr>
              <w:pStyle w:val="TableParagraph"/>
              <w:spacing w:before="7"/>
              <w:rPr>
                <w:rFonts w:ascii="Times New Roman"/>
                <w:sz w:val="16"/>
              </w:rPr>
            </w:pPr>
          </w:p>
          <w:p>
            <w:pPr>
              <w:pStyle w:val="TableParagraph"/>
              <w:spacing w:before="1"/>
              <w:ind w:left="304" w:right="289" w:firstLine="146"/>
              <w:rPr>
                <w:sz w:val="18"/>
              </w:rPr>
            </w:pPr>
            <w:r>
              <w:rPr>
                <w:sz w:val="18"/>
              </w:rPr>
              <w:t>estadístico variables económicas y población</w:t>
            </w:r>
          </w:p>
        </w:tc>
        <w:tc>
          <w:tcPr>
            <w:tcW w:w="2544" w:type="dxa"/>
          </w:tcPr>
          <w:p>
            <w:pPr>
              <w:pStyle w:val="TableParagraph"/>
              <w:rPr>
                <w:rFonts w:ascii="Times New Roman"/>
                <w:sz w:val="18"/>
              </w:rPr>
            </w:pPr>
          </w:p>
          <w:p>
            <w:pPr>
              <w:pStyle w:val="TableParagraph"/>
              <w:spacing w:before="7"/>
              <w:rPr>
                <w:rFonts w:ascii="Times New Roman"/>
                <w:sz w:val="16"/>
              </w:rPr>
            </w:pPr>
          </w:p>
          <w:p>
            <w:pPr>
              <w:pStyle w:val="TableParagraph"/>
              <w:ind w:left="124" w:right="124"/>
              <w:jc w:val="center"/>
              <w:rPr>
                <w:sz w:val="18"/>
              </w:rPr>
            </w:pPr>
            <w:r>
              <w:rPr>
                <w:sz w:val="18"/>
              </w:rPr>
              <w:t>censos</w:t>
            </w:r>
          </w:p>
        </w:tc>
        <w:tc>
          <w:tcPr>
            <w:tcW w:w="2547" w:type="dxa"/>
          </w:tcPr>
          <w:p>
            <w:pPr/>
          </w:p>
        </w:tc>
      </w:tr>
      <w:tr>
        <w:trPr>
          <w:trHeight w:val="382" w:hRule="exact"/>
        </w:trPr>
        <w:tc>
          <w:tcPr>
            <w:tcW w:w="1164" w:type="dxa"/>
          </w:tcPr>
          <w:p>
            <w:pPr>
              <w:pStyle w:val="TableParagraph"/>
              <w:spacing w:before="158"/>
              <w:ind w:left="458" w:right="456"/>
              <w:jc w:val="center"/>
              <w:rPr>
                <w:sz w:val="18"/>
              </w:rPr>
            </w:pPr>
            <w:r>
              <w:rPr>
                <w:sz w:val="18"/>
              </w:rPr>
              <w:t>27</w:t>
            </w:r>
          </w:p>
        </w:tc>
        <w:tc>
          <w:tcPr>
            <w:tcW w:w="2545" w:type="dxa"/>
          </w:tcPr>
          <w:p>
            <w:pPr/>
          </w:p>
        </w:tc>
        <w:tc>
          <w:tcPr>
            <w:tcW w:w="2544" w:type="dxa"/>
          </w:tcPr>
          <w:p>
            <w:pPr/>
          </w:p>
        </w:tc>
        <w:tc>
          <w:tcPr>
            <w:tcW w:w="2547" w:type="dxa"/>
          </w:tcPr>
          <w:p>
            <w:pPr/>
          </w:p>
        </w:tc>
      </w:tr>
      <w:tr>
        <w:trPr>
          <w:trHeight w:val="620" w:hRule="exact"/>
        </w:trPr>
        <w:tc>
          <w:tcPr>
            <w:tcW w:w="1164" w:type="dxa"/>
          </w:tcPr>
          <w:p>
            <w:pPr>
              <w:pStyle w:val="TableParagraph"/>
              <w:rPr>
                <w:rFonts w:ascii="Times New Roman"/>
                <w:sz w:val="18"/>
              </w:rPr>
            </w:pPr>
          </w:p>
          <w:p>
            <w:pPr>
              <w:pStyle w:val="TableParagraph"/>
              <w:spacing w:before="7"/>
              <w:rPr>
                <w:rFonts w:ascii="Times New Roman"/>
                <w:sz w:val="16"/>
              </w:rPr>
            </w:pPr>
          </w:p>
          <w:p>
            <w:pPr>
              <w:pStyle w:val="TableParagraph"/>
              <w:ind w:left="458" w:right="456"/>
              <w:jc w:val="center"/>
              <w:rPr>
                <w:sz w:val="18"/>
              </w:rPr>
            </w:pPr>
            <w:r>
              <w:rPr>
                <w:sz w:val="18"/>
              </w:rPr>
              <w:t>28</w:t>
            </w:r>
          </w:p>
        </w:tc>
        <w:tc>
          <w:tcPr>
            <w:tcW w:w="2545" w:type="dxa"/>
          </w:tcPr>
          <w:p>
            <w:pPr>
              <w:pStyle w:val="TableParagraph"/>
              <w:spacing w:before="7"/>
              <w:rPr>
                <w:rFonts w:ascii="Times New Roman"/>
                <w:sz w:val="16"/>
              </w:rPr>
            </w:pPr>
          </w:p>
          <w:p>
            <w:pPr>
              <w:pStyle w:val="TableParagraph"/>
              <w:spacing w:before="1"/>
              <w:ind w:left="304" w:right="289" w:firstLine="146"/>
              <w:rPr>
                <w:sz w:val="18"/>
              </w:rPr>
            </w:pPr>
            <w:r>
              <w:rPr>
                <w:sz w:val="18"/>
              </w:rPr>
              <w:t>estadístico variables económicas y población</w:t>
            </w:r>
          </w:p>
        </w:tc>
        <w:tc>
          <w:tcPr>
            <w:tcW w:w="2544" w:type="dxa"/>
          </w:tcPr>
          <w:p>
            <w:pPr>
              <w:pStyle w:val="TableParagraph"/>
              <w:rPr>
                <w:rFonts w:ascii="Times New Roman"/>
                <w:sz w:val="18"/>
              </w:rPr>
            </w:pPr>
          </w:p>
          <w:p>
            <w:pPr>
              <w:pStyle w:val="TableParagraph"/>
              <w:spacing w:before="7"/>
              <w:rPr>
                <w:rFonts w:ascii="Times New Roman"/>
                <w:sz w:val="16"/>
              </w:rPr>
            </w:pPr>
          </w:p>
          <w:p>
            <w:pPr>
              <w:pStyle w:val="TableParagraph"/>
              <w:ind w:left="124" w:right="124"/>
              <w:jc w:val="center"/>
              <w:rPr>
                <w:sz w:val="18"/>
              </w:rPr>
            </w:pPr>
            <w:r>
              <w:rPr>
                <w:sz w:val="18"/>
              </w:rPr>
              <w:t>censos</w:t>
            </w:r>
          </w:p>
        </w:tc>
        <w:tc>
          <w:tcPr>
            <w:tcW w:w="2547" w:type="dxa"/>
          </w:tcPr>
          <w:p>
            <w:pPr/>
          </w:p>
        </w:tc>
      </w:tr>
      <w:tr>
        <w:trPr>
          <w:trHeight w:val="622" w:hRule="exact"/>
        </w:trPr>
        <w:tc>
          <w:tcPr>
            <w:tcW w:w="1164" w:type="dxa"/>
          </w:tcPr>
          <w:p>
            <w:pPr>
              <w:pStyle w:val="TableParagraph"/>
              <w:rPr>
                <w:rFonts w:ascii="Times New Roman"/>
                <w:sz w:val="18"/>
              </w:rPr>
            </w:pPr>
          </w:p>
          <w:p>
            <w:pPr>
              <w:pStyle w:val="TableParagraph"/>
              <w:spacing w:before="9"/>
              <w:rPr>
                <w:rFonts w:ascii="Times New Roman"/>
                <w:sz w:val="16"/>
              </w:rPr>
            </w:pPr>
          </w:p>
          <w:p>
            <w:pPr>
              <w:pStyle w:val="TableParagraph"/>
              <w:ind w:left="458" w:right="456"/>
              <w:jc w:val="center"/>
              <w:rPr>
                <w:sz w:val="18"/>
              </w:rPr>
            </w:pPr>
            <w:r>
              <w:rPr>
                <w:sz w:val="18"/>
              </w:rPr>
              <w:t>29</w:t>
            </w:r>
          </w:p>
        </w:tc>
        <w:tc>
          <w:tcPr>
            <w:tcW w:w="2545" w:type="dxa"/>
          </w:tcPr>
          <w:p>
            <w:pPr>
              <w:pStyle w:val="TableParagraph"/>
              <w:spacing w:before="10"/>
              <w:rPr>
                <w:rFonts w:ascii="Times New Roman"/>
                <w:sz w:val="16"/>
              </w:rPr>
            </w:pPr>
          </w:p>
          <w:p>
            <w:pPr>
              <w:pStyle w:val="TableParagraph"/>
              <w:ind w:left="304" w:right="289" w:firstLine="146"/>
              <w:rPr>
                <w:sz w:val="18"/>
              </w:rPr>
            </w:pPr>
            <w:r>
              <w:rPr>
                <w:sz w:val="18"/>
              </w:rPr>
              <w:t>estadístico variables económicas y población</w:t>
            </w:r>
          </w:p>
        </w:tc>
        <w:tc>
          <w:tcPr>
            <w:tcW w:w="2544" w:type="dxa"/>
          </w:tcPr>
          <w:p>
            <w:pPr>
              <w:pStyle w:val="TableParagraph"/>
              <w:rPr>
                <w:rFonts w:ascii="Times New Roman"/>
                <w:sz w:val="18"/>
              </w:rPr>
            </w:pPr>
          </w:p>
          <w:p>
            <w:pPr>
              <w:pStyle w:val="TableParagraph"/>
              <w:spacing w:before="9"/>
              <w:rPr>
                <w:rFonts w:ascii="Times New Roman"/>
                <w:sz w:val="16"/>
              </w:rPr>
            </w:pPr>
          </w:p>
          <w:p>
            <w:pPr>
              <w:pStyle w:val="TableParagraph"/>
              <w:ind w:left="124" w:right="124"/>
              <w:jc w:val="center"/>
              <w:rPr>
                <w:sz w:val="18"/>
              </w:rPr>
            </w:pPr>
            <w:r>
              <w:rPr>
                <w:sz w:val="18"/>
              </w:rPr>
              <w:t>censos</w:t>
            </w:r>
          </w:p>
        </w:tc>
        <w:tc>
          <w:tcPr>
            <w:tcW w:w="2547" w:type="dxa"/>
          </w:tcPr>
          <w:p>
            <w:pPr/>
          </w:p>
        </w:tc>
      </w:tr>
      <w:tr>
        <w:trPr>
          <w:trHeight w:val="382" w:hRule="exact"/>
        </w:trPr>
        <w:tc>
          <w:tcPr>
            <w:tcW w:w="1164" w:type="dxa"/>
          </w:tcPr>
          <w:p>
            <w:pPr>
              <w:pStyle w:val="TableParagraph"/>
              <w:spacing w:before="158"/>
              <w:ind w:left="458" w:right="456"/>
              <w:jc w:val="center"/>
              <w:rPr>
                <w:sz w:val="18"/>
              </w:rPr>
            </w:pPr>
            <w:r>
              <w:rPr>
                <w:sz w:val="18"/>
              </w:rPr>
              <w:t>30</w:t>
            </w:r>
          </w:p>
        </w:tc>
        <w:tc>
          <w:tcPr>
            <w:tcW w:w="2545" w:type="dxa"/>
          </w:tcPr>
          <w:p>
            <w:pPr/>
          </w:p>
        </w:tc>
        <w:tc>
          <w:tcPr>
            <w:tcW w:w="2544" w:type="dxa"/>
          </w:tcPr>
          <w:p>
            <w:pPr/>
          </w:p>
        </w:tc>
        <w:tc>
          <w:tcPr>
            <w:tcW w:w="2547" w:type="dxa"/>
          </w:tcPr>
          <w:p>
            <w:pPr/>
          </w:p>
        </w:tc>
      </w:tr>
    </w:tbl>
    <w:sectPr>
      <w:footerReference w:type="default" r:id="rId41"/>
      <w:pgSz w:w="12240" w:h="15840"/>
      <w:pgMar w:footer="629" w:header="0" w:top="1420" w:bottom="82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46.543945pt;width:16pt;height:14pt;mso-position-horizontal-relative:page;mso-position-vertical-relative:page;z-index:-40108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019989pt;margin-top:746.543945pt;width:20pt;height:14pt;mso-position-horizontal-relative:page;mso-position-vertical-relative:page;z-index:-401056"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07.019989pt;margin-top:746.543945pt;width:22pt;height:14pt;mso-position-horizontal-relative:page;mso-position-vertical-relative:page;z-index:-40103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144</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019989pt;margin-top:746.543945pt;width:20pt;height:14pt;mso-position-horizontal-relative:page;mso-position-vertical-relative:page;z-index:-401008" type="#_x0000_t202" filled="false" stroked="false">
          <v:textbox inset="0,0,0,0">
            <w:txbxContent>
              <w:p>
                <w:pPr>
                  <w:pStyle w:val="BodyText"/>
                  <w:spacing w:line="265" w:lineRule="exact"/>
                  <w:ind w:left="20"/>
                  <w:rPr>
                    <w:rFonts w:ascii="Times New Roman"/>
                  </w:rPr>
                </w:pPr>
                <w:r>
                  <w:rPr>
                    <w:rFonts w:ascii="Times New Roman"/>
                  </w:rPr>
                  <w:t>200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019989pt;margin-top:746.543945pt;width:20pt;height:14pt;mso-position-horizontal-relative:page;mso-position-vertical-relative:page;z-index:-400984" type="#_x0000_t202" filled="false" stroked="false">
          <v:textbox inset="0,0,0,0">
            <w:txbxContent>
              <w:p>
                <w:pPr>
                  <w:pStyle w:val="BodyText"/>
                  <w:spacing w:line="265" w:lineRule="exact"/>
                  <w:ind w:left="20"/>
                  <w:rPr>
                    <w:rFonts w:ascii="Times New Roman"/>
                  </w:rPr>
                </w:pPr>
                <w:r>
                  <w:rPr>
                    <w:rFonts w:ascii="Times New Roman"/>
                  </w:rPr>
                  <w:t>201</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lowerLetter"/>
      <w:lvlText w:val="(%1)"/>
      <w:lvlJc w:val="left"/>
      <w:pPr>
        <w:ind w:left="345" w:hanging="271"/>
        <w:jc w:val="right"/>
      </w:pPr>
      <w:rPr>
        <w:rFonts w:hint="default" w:ascii="Arial" w:hAnsi="Arial" w:eastAsia="Arial" w:cs="Arial"/>
        <w:spacing w:val="-3"/>
        <w:w w:val="99"/>
        <w:sz w:val="18"/>
        <w:szCs w:val="18"/>
      </w:rPr>
    </w:lvl>
    <w:lvl w:ilvl="1">
      <w:start w:val="1"/>
      <w:numFmt w:val="bullet"/>
      <w:lvlText w:val="•"/>
      <w:lvlJc w:val="left"/>
      <w:pPr>
        <w:ind w:left="559" w:hanging="271"/>
      </w:pPr>
      <w:rPr>
        <w:rFonts w:hint="default"/>
      </w:rPr>
    </w:lvl>
    <w:lvl w:ilvl="2">
      <w:start w:val="1"/>
      <w:numFmt w:val="bullet"/>
      <w:lvlText w:val="•"/>
      <w:lvlJc w:val="left"/>
      <w:pPr>
        <w:ind w:left="779" w:hanging="271"/>
      </w:pPr>
      <w:rPr>
        <w:rFonts w:hint="default"/>
      </w:rPr>
    </w:lvl>
    <w:lvl w:ilvl="3">
      <w:start w:val="1"/>
      <w:numFmt w:val="bullet"/>
      <w:lvlText w:val="•"/>
      <w:lvlJc w:val="left"/>
      <w:pPr>
        <w:ind w:left="998" w:hanging="271"/>
      </w:pPr>
      <w:rPr>
        <w:rFonts w:hint="default"/>
      </w:rPr>
    </w:lvl>
    <w:lvl w:ilvl="4">
      <w:start w:val="1"/>
      <w:numFmt w:val="bullet"/>
      <w:lvlText w:val="•"/>
      <w:lvlJc w:val="left"/>
      <w:pPr>
        <w:ind w:left="1218" w:hanging="271"/>
      </w:pPr>
      <w:rPr>
        <w:rFonts w:hint="default"/>
      </w:rPr>
    </w:lvl>
    <w:lvl w:ilvl="5">
      <w:start w:val="1"/>
      <w:numFmt w:val="bullet"/>
      <w:lvlText w:val="•"/>
      <w:lvlJc w:val="left"/>
      <w:pPr>
        <w:ind w:left="1437" w:hanging="271"/>
      </w:pPr>
      <w:rPr>
        <w:rFonts w:hint="default"/>
      </w:rPr>
    </w:lvl>
    <w:lvl w:ilvl="6">
      <w:start w:val="1"/>
      <w:numFmt w:val="bullet"/>
      <w:lvlText w:val="•"/>
      <w:lvlJc w:val="left"/>
      <w:pPr>
        <w:ind w:left="1657" w:hanging="271"/>
      </w:pPr>
      <w:rPr>
        <w:rFonts w:hint="default"/>
      </w:rPr>
    </w:lvl>
    <w:lvl w:ilvl="7">
      <w:start w:val="1"/>
      <w:numFmt w:val="bullet"/>
      <w:lvlText w:val="•"/>
      <w:lvlJc w:val="left"/>
      <w:pPr>
        <w:ind w:left="1876" w:hanging="271"/>
      </w:pPr>
      <w:rPr>
        <w:rFonts w:hint="default"/>
      </w:rPr>
    </w:lvl>
    <w:lvl w:ilvl="8">
      <w:start w:val="1"/>
      <w:numFmt w:val="bullet"/>
      <w:lvlText w:val="•"/>
      <w:lvlJc w:val="left"/>
      <w:pPr>
        <w:ind w:left="2096" w:hanging="271"/>
      </w:pPr>
      <w:rPr>
        <w:rFonts w:hint="default"/>
      </w:rPr>
    </w:lvl>
  </w:abstractNum>
  <w:abstractNum w:abstractNumId="14">
    <w:multiLevelType w:val="hybridMultilevel"/>
    <w:lvl w:ilvl="0">
      <w:start w:val="11"/>
      <w:numFmt w:val="decimal"/>
      <w:lvlText w:val="%1)"/>
      <w:lvlJc w:val="left"/>
      <w:pPr>
        <w:ind w:left="182" w:hanging="382"/>
        <w:jc w:val="left"/>
      </w:pPr>
      <w:rPr>
        <w:rFonts w:hint="default" w:ascii="Arial" w:hAnsi="Arial" w:eastAsia="Arial" w:cs="Arial"/>
        <w:spacing w:val="-1"/>
        <w:w w:val="99"/>
        <w:sz w:val="20"/>
        <w:szCs w:val="20"/>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3">
    <w:multiLevelType w:val="hybridMultilevel"/>
    <w:lvl w:ilvl="0">
      <w:start w:val="1"/>
      <w:numFmt w:val="bullet"/>
      <w:lvlText w:val="•"/>
      <w:lvlJc w:val="left"/>
      <w:pPr>
        <w:ind w:left="102" w:hanging="209"/>
      </w:pPr>
      <w:rPr>
        <w:rFonts w:hint="default" w:ascii="Arial" w:hAnsi="Arial" w:eastAsia="Arial" w:cs="Arial"/>
        <w:w w:val="99"/>
        <w:sz w:val="24"/>
        <w:szCs w:val="24"/>
      </w:rPr>
    </w:lvl>
    <w:lvl w:ilvl="1">
      <w:start w:val="1"/>
      <w:numFmt w:val="bullet"/>
      <w:lvlText w:val="•"/>
      <w:lvlJc w:val="left"/>
      <w:pPr>
        <w:ind w:left="996" w:hanging="209"/>
      </w:pPr>
      <w:rPr>
        <w:rFonts w:hint="default"/>
      </w:rPr>
    </w:lvl>
    <w:lvl w:ilvl="2">
      <w:start w:val="1"/>
      <w:numFmt w:val="bullet"/>
      <w:lvlText w:val="•"/>
      <w:lvlJc w:val="left"/>
      <w:pPr>
        <w:ind w:left="1892" w:hanging="209"/>
      </w:pPr>
      <w:rPr>
        <w:rFonts w:hint="default"/>
      </w:rPr>
    </w:lvl>
    <w:lvl w:ilvl="3">
      <w:start w:val="1"/>
      <w:numFmt w:val="bullet"/>
      <w:lvlText w:val="•"/>
      <w:lvlJc w:val="left"/>
      <w:pPr>
        <w:ind w:left="2788" w:hanging="209"/>
      </w:pPr>
      <w:rPr>
        <w:rFonts w:hint="default"/>
      </w:rPr>
    </w:lvl>
    <w:lvl w:ilvl="4">
      <w:start w:val="1"/>
      <w:numFmt w:val="bullet"/>
      <w:lvlText w:val="•"/>
      <w:lvlJc w:val="left"/>
      <w:pPr>
        <w:ind w:left="3684" w:hanging="209"/>
      </w:pPr>
      <w:rPr>
        <w:rFonts w:hint="default"/>
      </w:rPr>
    </w:lvl>
    <w:lvl w:ilvl="5">
      <w:start w:val="1"/>
      <w:numFmt w:val="bullet"/>
      <w:lvlText w:val="•"/>
      <w:lvlJc w:val="left"/>
      <w:pPr>
        <w:ind w:left="4580" w:hanging="209"/>
      </w:pPr>
      <w:rPr>
        <w:rFonts w:hint="default"/>
      </w:rPr>
    </w:lvl>
    <w:lvl w:ilvl="6">
      <w:start w:val="1"/>
      <w:numFmt w:val="bullet"/>
      <w:lvlText w:val="•"/>
      <w:lvlJc w:val="left"/>
      <w:pPr>
        <w:ind w:left="5476" w:hanging="209"/>
      </w:pPr>
      <w:rPr>
        <w:rFonts w:hint="default"/>
      </w:rPr>
    </w:lvl>
    <w:lvl w:ilvl="7">
      <w:start w:val="1"/>
      <w:numFmt w:val="bullet"/>
      <w:lvlText w:val="•"/>
      <w:lvlJc w:val="left"/>
      <w:pPr>
        <w:ind w:left="6372" w:hanging="209"/>
      </w:pPr>
      <w:rPr>
        <w:rFonts w:hint="default"/>
      </w:rPr>
    </w:lvl>
    <w:lvl w:ilvl="8">
      <w:start w:val="1"/>
      <w:numFmt w:val="bullet"/>
      <w:lvlText w:val="•"/>
      <w:lvlJc w:val="left"/>
      <w:pPr>
        <w:ind w:left="7268" w:hanging="209"/>
      </w:pPr>
      <w:rPr>
        <w:rFonts w:hint="default"/>
      </w:rPr>
    </w:lvl>
  </w:abstractNum>
  <w:abstractNum w:abstractNumId="12">
    <w:multiLevelType w:val="hybridMultilevel"/>
    <w:lvl w:ilvl="0">
      <w:start w:val="1"/>
      <w:numFmt w:val="decimal"/>
      <w:lvlText w:val="%1."/>
      <w:lvlJc w:val="left"/>
      <w:pPr>
        <w:ind w:left="102" w:hanging="278"/>
        <w:jc w:val="left"/>
      </w:pPr>
      <w:rPr>
        <w:rFonts w:hint="default" w:ascii="Arial" w:hAnsi="Arial" w:eastAsia="Arial" w:cs="Arial"/>
        <w:w w:val="99"/>
        <w:sz w:val="24"/>
        <w:szCs w:val="24"/>
      </w:rPr>
    </w:lvl>
    <w:lvl w:ilvl="1">
      <w:start w:val="1"/>
      <w:numFmt w:val="bullet"/>
      <w:lvlText w:val="•"/>
      <w:lvlJc w:val="left"/>
      <w:pPr>
        <w:ind w:left="996" w:hanging="278"/>
      </w:pPr>
      <w:rPr>
        <w:rFonts w:hint="default"/>
      </w:rPr>
    </w:lvl>
    <w:lvl w:ilvl="2">
      <w:start w:val="1"/>
      <w:numFmt w:val="bullet"/>
      <w:lvlText w:val="•"/>
      <w:lvlJc w:val="left"/>
      <w:pPr>
        <w:ind w:left="1892" w:hanging="278"/>
      </w:pPr>
      <w:rPr>
        <w:rFonts w:hint="default"/>
      </w:rPr>
    </w:lvl>
    <w:lvl w:ilvl="3">
      <w:start w:val="1"/>
      <w:numFmt w:val="bullet"/>
      <w:lvlText w:val="•"/>
      <w:lvlJc w:val="left"/>
      <w:pPr>
        <w:ind w:left="2788" w:hanging="278"/>
      </w:pPr>
      <w:rPr>
        <w:rFonts w:hint="default"/>
      </w:rPr>
    </w:lvl>
    <w:lvl w:ilvl="4">
      <w:start w:val="1"/>
      <w:numFmt w:val="bullet"/>
      <w:lvlText w:val="•"/>
      <w:lvlJc w:val="left"/>
      <w:pPr>
        <w:ind w:left="3684" w:hanging="278"/>
      </w:pPr>
      <w:rPr>
        <w:rFonts w:hint="default"/>
      </w:rPr>
    </w:lvl>
    <w:lvl w:ilvl="5">
      <w:start w:val="1"/>
      <w:numFmt w:val="bullet"/>
      <w:lvlText w:val="•"/>
      <w:lvlJc w:val="left"/>
      <w:pPr>
        <w:ind w:left="4580" w:hanging="278"/>
      </w:pPr>
      <w:rPr>
        <w:rFonts w:hint="default"/>
      </w:rPr>
    </w:lvl>
    <w:lvl w:ilvl="6">
      <w:start w:val="1"/>
      <w:numFmt w:val="bullet"/>
      <w:lvlText w:val="•"/>
      <w:lvlJc w:val="left"/>
      <w:pPr>
        <w:ind w:left="5476" w:hanging="278"/>
      </w:pPr>
      <w:rPr>
        <w:rFonts w:hint="default"/>
      </w:rPr>
    </w:lvl>
    <w:lvl w:ilvl="7">
      <w:start w:val="1"/>
      <w:numFmt w:val="bullet"/>
      <w:lvlText w:val="•"/>
      <w:lvlJc w:val="left"/>
      <w:pPr>
        <w:ind w:left="6372" w:hanging="278"/>
      </w:pPr>
      <w:rPr>
        <w:rFonts w:hint="default"/>
      </w:rPr>
    </w:lvl>
    <w:lvl w:ilvl="8">
      <w:start w:val="1"/>
      <w:numFmt w:val="bullet"/>
      <w:lvlText w:val="•"/>
      <w:lvlJc w:val="left"/>
      <w:pPr>
        <w:ind w:left="7268" w:hanging="278"/>
      </w:pPr>
      <w:rPr>
        <w:rFonts w:hint="default"/>
      </w:rPr>
    </w:lvl>
  </w:abstractNum>
  <w:abstractNum w:abstractNumId="11">
    <w:multiLevelType w:val="hybridMultilevel"/>
    <w:lvl w:ilvl="0">
      <w:start w:val="4"/>
      <w:numFmt w:val="decimal"/>
      <w:lvlText w:val="%1"/>
      <w:lvlJc w:val="left"/>
      <w:pPr>
        <w:ind w:left="505" w:hanging="404"/>
        <w:jc w:val="left"/>
      </w:pPr>
      <w:rPr>
        <w:rFonts w:hint="default"/>
      </w:rPr>
    </w:lvl>
    <w:lvl w:ilvl="1">
      <w:start w:val="2"/>
      <w:numFmt w:val="decimal"/>
      <w:lvlText w:val="%1.%2"/>
      <w:lvlJc w:val="left"/>
      <w:pPr>
        <w:ind w:left="505" w:hanging="404"/>
        <w:jc w:val="left"/>
      </w:pPr>
      <w:rPr>
        <w:rFonts w:hint="default" w:ascii="Arial" w:hAnsi="Arial" w:eastAsia="Arial" w:cs="Arial"/>
        <w:b/>
        <w:bCs/>
        <w:w w:val="99"/>
        <w:sz w:val="24"/>
        <w:szCs w:val="24"/>
      </w:rPr>
    </w:lvl>
    <w:lvl w:ilvl="2">
      <w:start w:val="1"/>
      <w:numFmt w:val="bullet"/>
      <w:lvlText w:val=""/>
      <w:lvlJc w:val="left"/>
      <w:pPr>
        <w:ind w:left="961" w:hanging="360"/>
      </w:pPr>
      <w:rPr>
        <w:rFonts w:hint="default" w:ascii="Symbol" w:hAnsi="Symbol" w:eastAsia="Symbol" w:cs="Symbol"/>
        <w:w w:val="100"/>
        <w:sz w:val="24"/>
        <w:szCs w:val="24"/>
      </w:rPr>
    </w:lvl>
    <w:lvl w:ilvl="3">
      <w:start w:val="1"/>
      <w:numFmt w:val="bullet"/>
      <w:lvlText w:val="•"/>
      <w:lvlJc w:val="left"/>
      <w:pPr>
        <w:ind w:left="2760" w:hanging="360"/>
      </w:pPr>
      <w:rPr>
        <w:rFonts w:hint="default"/>
      </w:rPr>
    </w:lvl>
    <w:lvl w:ilvl="4">
      <w:start w:val="1"/>
      <w:numFmt w:val="bullet"/>
      <w:lvlText w:val="•"/>
      <w:lvlJc w:val="left"/>
      <w:pPr>
        <w:ind w:left="3660" w:hanging="360"/>
      </w:pPr>
      <w:rPr>
        <w:rFonts w:hint="default"/>
      </w:rPr>
    </w:lvl>
    <w:lvl w:ilvl="5">
      <w:start w:val="1"/>
      <w:numFmt w:val="bullet"/>
      <w:lvlText w:val="•"/>
      <w:lvlJc w:val="left"/>
      <w:pPr>
        <w:ind w:left="4560" w:hanging="360"/>
      </w:pPr>
      <w:rPr>
        <w:rFonts w:hint="default"/>
      </w:rPr>
    </w:lvl>
    <w:lvl w:ilvl="6">
      <w:start w:val="1"/>
      <w:numFmt w:val="bullet"/>
      <w:lvlText w:val="•"/>
      <w:lvlJc w:val="left"/>
      <w:pPr>
        <w:ind w:left="5460"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60" w:hanging="360"/>
      </w:pPr>
      <w:rPr>
        <w:rFonts w:hint="default"/>
      </w:rPr>
    </w:lvl>
  </w:abstractNum>
  <w:abstractNum w:abstractNumId="10">
    <w:multiLevelType w:val="hybridMultilevel"/>
    <w:lvl w:ilvl="0">
      <w:start w:val="2"/>
      <w:numFmt w:val="decimal"/>
      <w:lvlText w:val="%1)"/>
      <w:lvlJc w:val="left"/>
      <w:pPr>
        <w:ind w:left="122" w:hanging="281"/>
        <w:jc w:val="right"/>
      </w:pPr>
      <w:rPr>
        <w:rFonts w:hint="default"/>
        <w:spacing w:val="-3"/>
        <w:w w:val="99"/>
      </w:rPr>
    </w:lvl>
    <w:lvl w:ilvl="1">
      <w:start w:val="1"/>
      <w:numFmt w:val="bullet"/>
      <w:lvlText w:val="•"/>
      <w:lvlJc w:val="left"/>
      <w:pPr>
        <w:ind w:left="1014" w:hanging="281"/>
      </w:pPr>
      <w:rPr>
        <w:rFonts w:hint="default"/>
      </w:rPr>
    </w:lvl>
    <w:lvl w:ilvl="2">
      <w:start w:val="1"/>
      <w:numFmt w:val="bullet"/>
      <w:lvlText w:val="•"/>
      <w:lvlJc w:val="left"/>
      <w:pPr>
        <w:ind w:left="1908" w:hanging="281"/>
      </w:pPr>
      <w:rPr>
        <w:rFonts w:hint="default"/>
      </w:rPr>
    </w:lvl>
    <w:lvl w:ilvl="3">
      <w:start w:val="1"/>
      <w:numFmt w:val="bullet"/>
      <w:lvlText w:val="•"/>
      <w:lvlJc w:val="left"/>
      <w:pPr>
        <w:ind w:left="2802" w:hanging="281"/>
      </w:pPr>
      <w:rPr>
        <w:rFonts w:hint="default"/>
      </w:rPr>
    </w:lvl>
    <w:lvl w:ilvl="4">
      <w:start w:val="1"/>
      <w:numFmt w:val="bullet"/>
      <w:lvlText w:val="•"/>
      <w:lvlJc w:val="left"/>
      <w:pPr>
        <w:ind w:left="3696" w:hanging="281"/>
      </w:pPr>
      <w:rPr>
        <w:rFonts w:hint="default"/>
      </w:rPr>
    </w:lvl>
    <w:lvl w:ilvl="5">
      <w:start w:val="1"/>
      <w:numFmt w:val="bullet"/>
      <w:lvlText w:val="•"/>
      <w:lvlJc w:val="left"/>
      <w:pPr>
        <w:ind w:left="4590" w:hanging="281"/>
      </w:pPr>
      <w:rPr>
        <w:rFonts w:hint="default"/>
      </w:rPr>
    </w:lvl>
    <w:lvl w:ilvl="6">
      <w:start w:val="1"/>
      <w:numFmt w:val="bullet"/>
      <w:lvlText w:val="•"/>
      <w:lvlJc w:val="left"/>
      <w:pPr>
        <w:ind w:left="5484" w:hanging="281"/>
      </w:pPr>
      <w:rPr>
        <w:rFonts w:hint="default"/>
      </w:rPr>
    </w:lvl>
    <w:lvl w:ilvl="7">
      <w:start w:val="1"/>
      <w:numFmt w:val="bullet"/>
      <w:lvlText w:val="•"/>
      <w:lvlJc w:val="left"/>
      <w:pPr>
        <w:ind w:left="6378" w:hanging="281"/>
      </w:pPr>
      <w:rPr>
        <w:rFonts w:hint="default"/>
      </w:rPr>
    </w:lvl>
    <w:lvl w:ilvl="8">
      <w:start w:val="1"/>
      <w:numFmt w:val="bullet"/>
      <w:lvlText w:val="•"/>
      <w:lvlJc w:val="left"/>
      <w:pPr>
        <w:ind w:left="7272" w:hanging="281"/>
      </w:pPr>
      <w:rPr>
        <w:rFonts w:hint="default"/>
      </w:rPr>
    </w:lvl>
  </w:abstractNum>
  <w:abstractNum w:abstractNumId="9">
    <w:multiLevelType w:val="hybridMultilevel"/>
    <w:lvl w:ilvl="0">
      <w:start w:val="1"/>
      <w:numFmt w:val="bullet"/>
      <w:lvlText w:val=""/>
      <w:lvlJc w:val="left"/>
      <w:pPr>
        <w:ind w:left="122" w:hanging="360"/>
      </w:pPr>
      <w:rPr>
        <w:rFonts w:hint="default" w:ascii="Symbol" w:hAnsi="Symbol" w:eastAsia="Symbol" w:cs="Symbol"/>
        <w:w w:val="100"/>
        <w:sz w:val="24"/>
        <w:szCs w:val="24"/>
      </w:rPr>
    </w:lvl>
    <w:lvl w:ilvl="1">
      <w:start w:val="1"/>
      <w:numFmt w:val="bullet"/>
      <w:lvlText w:val="•"/>
      <w:lvlJc w:val="left"/>
      <w:pPr>
        <w:ind w:left="1016" w:hanging="360"/>
      </w:pPr>
      <w:rPr>
        <w:rFonts w:hint="default"/>
      </w:rPr>
    </w:lvl>
    <w:lvl w:ilvl="2">
      <w:start w:val="1"/>
      <w:numFmt w:val="bullet"/>
      <w:lvlText w:val="•"/>
      <w:lvlJc w:val="left"/>
      <w:pPr>
        <w:ind w:left="1912" w:hanging="360"/>
      </w:pPr>
      <w:rPr>
        <w:rFonts w:hint="default"/>
      </w:rPr>
    </w:lvl>
    <w:lvl w:ilvl="3">
      <w:start w:val="1"/>
      <w:numFmt w:val="bullet"/>
      <w:lvlText w:val="•"/>
      <w:lvlJc w:val="left"/>
      <w:pPr>
        <w:ind w:left="2808" w:hanging="360"/>
      </w:pPr>
      <w:rPr>
        <w:rFonts w:hint="default"/>
      </w:rPr>
    </w:lvl>
    <w:lvl w:ilvl="4">
      <w:start w:val="1"/>
      <w:numFmt w:val="bullet"/>
      <w:lvlText w:val="•"/>
      <w:lvlJc w:val="left"/>
      <w:pPr>
        <w:ind w:left="3704" w:hanging="360"/>
      </w:pPr>
      <w:rPr>
        <w:rFonts w:hint="default"/>
      </w:rPr>
    </w:lvl>
    <w:lvl w:ilvl="5">
      <w:start w:val="1"/>
      <w:numFmt w:val="bullet"/>
      <w:lvlText w:val="•"/>
      <w:lvlJc w:val="left"/>
      <w:pPr>
        <w:ind w:left="4600" w:hanging="360"/>
      </w:pPr>
      <w:rPr>
        <w:rFonts w:hint="default"/>
      </w:rPr>
    </w:lvl>
    <w:lvl w:ilvl="6">
      <w:start w:val="1"/>
      <w:numFmt w:val="bullet"/>
      <w:lvlText w:val="•"/>
      <w:lvlJc w:val="left"/>
      <w:pPr>
        <w:ind w:left="5496" w:hanging="360"/>
      </w:pPr>
      <w:rPr>
        <w:rFonts w:hint="default"/>
      </w:rPr>
    </w:lvl>
    <w:lvl w:ilvl="7">
      <w:start w:val="1"/>
      <w:numFmt w:val="bullet"/>
      <w:lvlText w:val="•"/>
      <w:lvlJc w:val="left"/>
      <w:pPr>
        <w:ind w:left="6392" w:hanging="360"/>
      </w:pPr>
      <w:rPr>
        <w:rFonts w:hint="default"/>
      </w:rPr>
    </w:lvl>
    <w:lvl w:ilvl="8">
      <w:start w:val="1"/>
      <w:numFmt w:val="bullet"/>
      <w:lvlText w:val="•"/>
      <w:lvlJc w:val="left"/>
      <w:pPr>
        <w:ind w:left="7288" w:hanging="360"/>
      </w:pPr>
      <w:rPr>
        <w:rFonts w:hint="default"/>
      </w:rPr>
    </w:lvl>
  </w:abstractNum>
  <w:abstractNum w:abstractNumId="8">
    <w:multiLevelType w:val="hybridMultilevel"/>
    <w:lvl w:ilvl="0">
      <w:start w:val="3"/>
      <w:numFmt w:val="lowerLetter"/>
      <w:lvlText w:val="%1)"/>
      <w:lvlJc w:val="left"/>
      <w:pPr>
        <w:ind w:left="102" w:hanging="303"/>
        <w:jc w:val="left"/>
      </w:pPr>
      <w:rPr>
        <w:rFonts w:hint="default" w:ascii="Arial" w:hAnsi="Arial" w:eastAsia="Arial" w:cs="Arial"/>
        <w:spacing w:val="-32"/>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7">
    <w:multiLevelType w:val="hybridMultilevel"/>
    <w:lvl w:ilvl="0">
      <w:start w:val="2"/>
      <w:numFmt w:val="decimal"/>
      <w:lvlText w:val="%1)"/>
      <w:lvlJc w:val="left"/>
      <w:pPr>
        <w:ind w:left="382" w:hanging="281"/>
        <w:jc w:val="left"/>
      </w:pPr>
      <w:rPr>
        <w:rFonts w:hint="default" w:ascii="Arial" w:hAnsi="Arial" w:eastAsia="Arial" w:cs="Arial"/>
        <w:spacing w:val="-3"/>
        <w:w w:val="99"/>
        <w:sz w:val="24"/>
        <w:szCs w:val="24"/>
      </w:rPr>
    </w:lvl>
    <w:lvl w:ilvl="1">
      <w:start w:val="1"/>
      <w:numFmt w:val="lowerLetter"/>
      <w:lvlText w:val="%2)"/>
      <w:lvlJc w:val="left"/>
      <w:pPr>
        <w:ind w:left="102" w:hanging="324"/>
        <w:jc w:val="left"/>
      </w:pPr>
      <w:rPr>
        <w:rFonts w:hint="default" w:ascii="Arial" w:hAnsi="Arial" w:eastAsia="Arial" w:cs="Arial"/>
        <w:spacing w:val="-27"/>
        <w:w w:val="99"/>
        <w:sz w:val="24"/>
        <w:szCs w:val="24"/>
      </w:rPr>
    </w:lvl>
    <w:lvl w:ilvl="2">
      <w:start w:val="1"/>
      <w:numFmt w:val="bullet"/>
      <w:lvlText w:val="•"/>
      <w:lvlJc w:val="left"/>
      <w:pPr>
        <w:ind w:left="1344" w:hanging="324"/>
      </w:pPr>
      <w:rPr>
        <w:rFonts w:hint="default"/>
      </w:rPr>
    </w:lvl>
    <w:lvl w:ilvl="3">
      <w:start w:val="1"/>
      <w:numFmt w:val="bullet"/>
      <w:lvlText w:val="•"/>
      <w:lvlJc w:val="left"/>
      <w:pPr>
        <w:ind w:left="2308" w:hanging="324"/>
      </w:pPr>
      <w:rPr>
        <w:rFonts w:hint="default"/>
      </w:rPr>
    </w:lvl>
    <w:lvl w:ilvl="4">
      <w:start w:val="1"/>
      <w:numFmt w:val="bullet"/>
      <w:lvlText w:val="•"/>
      <w:lvlJc w:val="left"/>
      <w:pPr>
        <w:ind w:left="3273" w:hanging="324"/>
      </w:pPr>
      <w:rPr>
        <w:rFonts w:hint="default"/>
      </w:rPr>
    </w:lvl>
    <w:lvl w:ilvl="5">
      <w:start w:val="1"/>
      <w:numFmt w:val="bullet"/>
      <w:lvlText w:val="•"/>
      <w:lvlJc w:val="left"/>
      <w:pPr>
        <w:ind w:left="4237" w:hanging="324"/>
      </w:pPr>
      <w:rPr>
        <w:rFonts w:hint="default"/>
      </w:rPr>
    </w:lvl>
    <w:lvl w:ilvl="6">
      <w:start w:val="1"/>
      <w:numFmt w:val="bullet"/>
      <w:lvlText w:val="•"/>
      <w:lvlJc w:val="left"/>
      <w:pPr>
        <w:ind w:left="5202" w:hanging="324"/>
      </w:pPr>
      <w:rPr>
        <w:rFonts w:hint="default"/>
      </w:rPr>
    </w:lvl>
    <w:lvl w:ilvl="7">
      <w:start w:val="1"/>
      <w:numFmt w:val="bullet"/>
      <w:lvlText w:val="•"/>
      <w:lvlJc w:val="left"/>
      <w:pPr>
        <w:ind w:left="6166" w:hanging="324"/>
      </w:pPr>
      <w:rPr>
        <w:rFonts w:hint="default"/>
      </w:rPr>
    </w:lvl>
    <w:lvl w:ilvl="8">
      <w:start w:val="1"/>
      <w:numFmt w:val="bullet"/>
      <w:lvlText w:val="•"/>
      <w:lvlJc w:val="left"/>
      <w:pPr>
        <w:ind w:left="7131" w:hanging="324"/>
      </w:pPr>
      <w:rPr>
        <w:rFonts w:hint="default"/>
      </w:rPr>
    </w:lvl>
  </w:abstractNum>
  <w:abstractNum w:abstractNumId="6">
    <w:multiLevelType w:val="hybridMultilevel"/>
    <w:lvl w:ilvl="0">
      <w:start w:val="3"/>
      <w:numFmt w:val="decimal"/>
      <w:lvlText w:val="%1"/>
      <w:lvlJc w:val="left"/>
      <w:pPr>
        <w:ind w:left="572" w:hanging="471"/>
        <w:jc w:val="left"/>
      </w:pPr>
      <w:rPr>
        <w:rFonts w:hint="default"/>
      </w:rPr>
    </w:lvl>
    <w:lvl w:ilvl="1">
      <w:start w:val="1"/>
      <w:numFmt w:val="decimal"/>
      <w:lvlText w:val="%1.%2."/>
      <w:lvlJc w:val="left"/>
      <w:pPr>
        <w:ind w:left="572" w:hanging="471"/>
        <w:jc w:val="left"/>
      </w:pPr>
      <w:rPr>
        <w:rFonts w:hint="default" w:ascii="Arial" w:hAnsi="Arial" w:eastAsia="Arial" w:cs="Arial"/>
        <w:b/>
        <w:bCs/>
        <w:w w:val="99"/>
        <w:sz w:val="24"/>
        <w:szCs w:val="24"/>
      </w:rPr>
    </w:lvl>
    <w:lvl w:ilvl="2">
      <w:start w:val="1"/>
      <w:numFmt w:val="bullet"/>
      <w:lvlText w:val="•"/>
      <w:lvlJc w:val="left"/>
      <w:pPr>
        <w:ind w:left="1628" w:hanging="471"/>
      </w:pPr>
      <w:rPr>
        <w:rFonts w:hint="default"/>
      </w:rPr>
    </w:lvl>
    <w:lvl w:ilvl="3">
      <w:start w:val="1"/>
      <w:numFmt w:val="bullet"/>
      <w:lvlText w:val="•"/>
      <w:lvlJc w:val="left"/>
      <w:pPr>
        <w:ind w:left="2557" w:hanging="471"/>
      </w:pPr>
      <w:rPr>
        <w:rFonts w:hint="default"/>
      </w:rPr>
    </w:lvl>
    <w:lvl w:ilvl="4">
      <w:start w:val="1"/>
      <w:numFmt w:val="bullet"/>
      <w:lvlText w:val="•"/>
      <w:lvlJc w:val="left"/>
      <w:pPr>
        <w:ind w:left="3486" w:hanging="471"/>
      </w:pPr>
      <w:rPr>
        <w:rFonts w:hint="default"/>
      </w:rPr>
    </w:lvl>
    <w:lvl w:ilvl="5">
      <w:start w:val="1"/>
      <w:numFmt w:val="bullet"/>
      <w:lvlText w:val="•"/>
      <w:lvlJc w:val="left"/>
      <w:pPr>
        <w:ind w:left="4415" w:hanging="471"/>
      </w:pPr>
      <w:rPr>
        <w:rFonts w:hint="default"/>
      </w:rPr>
    </w:lvl>
    <w:lvl w:ilvl="6">
      <w:start w:val="1"/>
      <w:numFmt w:val="bullet"/>
      <w:lvlText w:val="•"/>
      <w:lvlJc w:val="left"/>
      <w:pPr>
        <w:ind w:left="5344" w:hanging="471"/>
      </w:pPr>
      <w:rPr>
        <w:rFonts w:hint="default"/>
      </w:rPr>
    </w:lvl>
    <w:lvl w:ilvl="7">
      <w:start w:val="1"/>
      <w:numFmt w:val="bullet"/>
      <w:lvlText w:val="•"/>
      <w:lvlJc w:val="left"/>
      <w:pPr>
        <w:ind w:left="6273" w:hanging="471"/>
      </w:pPr>
      <w:rPr>
        <w:rFonts w:hint="default"/>
      </w:rPr>
    </w:lvl>
    <w:lvl w:ilvl="8">
      <w:start w:val="1"/>
      <w:numFmt w:val="bullet"/>
      <w:lvlText w:val="•"/>
      <w:lvlJc w:val="left"/>
      <w:pPr>
        <w:ind w:left="7202" w:hanging="471"/>
      </w:pPr>
      <w:rPr>
        <w:rFonts w:hint="default"/>
      </w:rPr>
    </w:lvl>
  </w:abstractNum>
  <w:abstractNum w:abstractNumId="5">
    <w:multiLevelType w:val="hybridMultilevel"/>
    <w:lvl w:ilvl="0">
      <w:start w:val="2"/>
      <w:numFmt w:val="decimal"/>
      <w:lvlText w:val="%1"/>
      <w:lvlJc w:val="left"/>
      <w:pPr>
        <w:ind w:left="590" w:hanging="468"/>
        <w:jc w:val="left"/>
      </w:pPr>
      <w:rPr>
        <w:rFonts w:hint="default"/>
      </w:rPr>
    </w:lvl>
    <w:lvl w:ilvl="1">
      <w:start w:val="1"/>
      <w:numFmt w:val="decimal"/>
      <w:lvlText w:val="%1.%2."/>
      <w:lvlJc w:val="left"/>
      <w:pPr>
        <w:ind w:left="590" w:hanging="468"/>
        <w:jc w:val="left"/>
      </w:pPr>
      <w:rPr>
        <w:rFonts w:hint="default" w:ascii="Arial" w:hAnsi="Arial" w:eastAsia="Arial" w:cs="Arial"/>
        <w:b/>
        <w:bCs/>
        <w:w w:val="99"/>
        <w:sz w:val="24"/>
        <w:szCs w:val="24"/>
      </w:rPr>
    </w:lvl>
    <w:lvl w:ilvl="2">
      <w:start w:val="1"/>
      <w:numFmt w:val="lowerLetter"/>
      <w:lvlText w:val="%3)"/>
      <w:lvlJc w:val="left"/>
      <w:pPr>
        <w:ind w:left="822" w:hanging="360"/>
        <w:jc w:val="left"/>
      </w:pPr>
      <w:rPr>
        <w:rFonts w:hint="default" w:ascii="Arial" w:hAnsi="Arial" w:eastAsia="Arial" w:cs="Arial"/>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4">
    <w:multiLevelType w:val="hybridMultilevel"/>
    <w:lvl w:ilvl="0">
      <w:start w:val="1"/>
      <w:numFmt w:val="decimal"/>
      <w:lvlText w:val="%1"/>
      <w:lvlJc w:val="left"/>
      <w:pPr>
        <w:ind w:left="574" w:hanging="473"/>
        <w:jc w:val="left"/>
      </w:pPr>
      <w:rPr>
        <w:rFonts w:hint="default"/>
      </w:rPr>
    </w:lvl>
    <w:lvl w:ilvl="1">
      <w:start w:val="2"/>
      <w:numFmt w:val="decimal"/>
      <w:lvlText w:val="%1.%2."/>
      <w:lvlJc w:val="left"/>
      <w:pPr>
        <w:ind w:left="574" w:hanging="473"/>
        <w:jc w:val="left"/>
      </w:pPr>
      <w:rPr>
        <w:rFonts w:hint="default" w:ascii="Arial" w:hAnsi="Arial" w:eastAsia="Arial" w:cs="Arial"/>
        <w:b/>
        <w:bCs/>
        <w:w w:val="99"/>
        <w:sz w:val="24"/>
        <w:szCs w:val="24"/>
      </w:rPr>
    </w:lvl>
    <w:lvl w:ilvl="2">
      <w:start w:val="1"/>
      <w:numFmt w:val="bullet"/>
      <w:lvlText w:val="•"/>
      <w:lvlJc w:val="left"/>
      <w:pPr>
        <w:ind w:left="2276" w:hanging="473"/>
      </w:pPr>
      <w:rPr>
        <w:rFonts w:hint="default"/>
      </w:rPr>
    </w:lvl>
    <w:lvl w:ilvl="3">
      <w:start w:val="1"/>
      <w:numFmt w:val="bullet"/>
      <w:lvlText w:val="•"/>
      <w:lvlJc w:val="left"/>
      <w:pPr>
        <w:ind w:left="3124" w:hanging="473"/>
      </w:pPr>
      <w:rPr>
        <w:rFonts w:hint="default"/>
      </w:rPr>
    </w:lvl>
    <w:lvl w:ilvl="4">
      <w:start w:val="1"/>
      <w:numFmt w:val="bullet"/>
      <w:lvlText w:val="•"/>
      <w:lvlJc w:val="left"/>
      <w:pPr>
        <w:ind w:left="3972" w:hanging="473"/>
      </w:pPr>
      <w:rPr>
        <w:rFonts w:hint="default"/>
      </w:rPr>
    </w:lvl>
    <w:lvl w:ilvl="5">
      <w:start w:val="1"/>
      <w:numFmt w:val="bullet"/>
      <w:lvlText w:val="•"/>
      <w:lvlJc w:val="left"/>
      <w:pPr>
        <w:ind w:left="4820" w:hanging="473"/>
      </w:pPr>
      <w:rPr>
        <w:rFonts w:hint="default"/>
      </w:rPr>
    </w:lvl>
    <w:lvl w:ilvl="6">
      <w:start w:val="1"/>
      <w:numFmt w:val="bullet"/>
      <w:lvlText w:val="•"/>
      <w:lvlJc w:val="left"/>
      <w:pPr>
        <w:ind w:left="5668" w:hanging="473"/>
      </w:pPr>
      <w:rPr>
        <w:rFonts w:hint="default"/>
      </w:rPr>
    </w:lvl>
    <w:lvl w:ilvl="7">
      <w:start w:val="1"/>
      <w:numFmt w:val="bullet"/>
      <w:lvlText w:val="•"/>
      <w:lvlJc w:val="left"/>
      <w:pPr>
        <w:ind w:left="6516" w:hanging="473"/>
      </w:pPr>
      <w:rPr>
        <w:rFonts w:hint="default"/>
      </w:rPr>
    </w:lvl>
    <w:lvl w:ilvl="8">
      <w:start w:val="1"/>
      <w:numFmt w:val="bullet"/>
      <w:lvlText w:val="•"/>
      <w:lvlJc w:val="left"/>
      <w:pPr>
        <w:ind w:left="7364" w:hanging="473"/>
      </w:pPr>
      <w:rPr>
        <w:rFonts w:hint="default"/>
      </w:rPr>
    </w:lvl>
  </w:abstractNum>
  <w:abstractNum w:abstractNumId="3">
    <w:multiLevelType w:val="hybridMultilevel"/>
    <w:lvl w:ilvl="0">
      <w:start w:val="1"/>
      <w:numFmt w:val="decimal"/>
      <w:lvlText w:val="%1"/>
      <w:lvlJc w:val="left"/>
      <w:pPr>
        <w:ind w:left="791" w:hanging="670"/>
        <w:jc w:val="left"/>
      </w:pPr>
      <w:rPr>
        <w:rFonts w:hint="default"/>
      </w:rPr>
    </w:lvl>
    <w:lvl w:ilvl="1">
      <w:start w:val="1"/>
      <w:numFmt w:val="decimal"/>
      <w:lvlText w:val="%1.%2"/>
      <w:lvlJc w:val="left"/>
      <w:pPr>
        <w:ind w:left="791" w:hanging="670"/>
        <w:jc w:val="left"/>
      </w:pPr>
      <w:rPr>
        <w:rFonts w:hint="default"/>
      </w:rPr>
    </w:lvl>
    <w:lvl w:ilvl="2">
      <w:start w:val="1"/>
      <w:numFmt w:val="decimal"/>
      <w:lvlText w:val="%2.%3."/>
      <w:lvlJc w:val="left"/>
      <w:pPr>
        <w:ind w:left="102" w:hanging="401"/>
        <w:jc w:val="left"/>
      </w:pPr>
      <w:rPr>
        <w:rFonts w:hint="default" w:ascii="Arial" w:hAnsi="Arial" w:eastAsia="Arial" w:cs="Arial"/>
        <w:b/>
        <w:bCs/>
        <w:spacing w:val="-2"/>
        <w:w w:val="99"/>
        <w:sz w:val="24"/>
        <w:szCs w:val="24"/>
      </w:rPr>
    </w:lvl>
    <w:lvl w:ilvl="3">
      <w:start w:val="1"/>
      <w:numFmt w:val="bullet"/>
      <w:lvlText w:val="•"/>
      <w:lvlJc w:val="left"/>
      <w:pPr>
        <w:ind w:left="2640" w:hanging="401"/>
      </w:pPr>
      <w:rPr>
        <w:rFonts w:hint="default"/>
      </w:rPr>
    </w:lvl>
    <w:lvl w:ilvl="4">
      <w:start w:val="1"/>
      <w:numFmt w:val="bullet"/>
      <w:lvlText w:val="•"/>
      <w:lvlJc w:val="left"/>
      <w:pPr>
        <w:ind w:left="3560" w:hanging="401"/>
      </w:pPr>
      <w:rPr>
        <w:rFonts w:hint="default"/>
      </w:rPr>
    </w:lvl>
    <w:lvl w:ilvl="5">
      <w:start w:val="1"/>
      <w:numFmt w:val="bullet"/>
      <w:lvlText w:val="•"/>
      <w:lvlJc w:val="left"/>
      <w:pPr>
        <w:ind w:left="4480" w:hanging="401"/>
      </w:pPr>
      <w:rPr>
        <w:rFonts w:hint="default"/>
      </w:rPr>
    </w:lvl>
    <w:lvl w:ilvl="6">
      <w:start w:val="1"/>
      <w:numFmt w:val="bullet"/>
      <w:lvlText w:val="•"/>
      <w:lvlJc w:val="left"/>
      <w:pPr>
        <w:ind w:left="5400" w:hanging="401"/>
      </w:pPr>
      <w:rPr>
        <w:rFonts w:hint="default"/>
      </w:rPr>
    </w:lvl>
    <w:lvl w:ilvl="7">
      <w:start w:val="1"/>
      <w:numFmt w:val="bullet"/>
      <w:lvlText w:val="•"/>
      <w:lvlJc w:val="left"/>
      <w:pPr>
        <w:ind w:left="6320" w:hanging="401"/>
      </w:pPr>
      <w:rPr>
        <w:rFonts w:hint="default"/>
      </w:rPr>
    </w:lvl>
    <w:lvl w:ilvl="8">
      <w:start w:val="1"/>
      <w:numFmt w:val="bullet"/>
      <w:lvlText w:val="•"/>
      <w:lvlJc w:val="left"/>
      <w:pPr>
        <w:ind w:left="7240" w:hanging="401"/>
      </w:pPr>
      <w:rPr>
        <w:rFonts w:hint="default"/>
      </w:rPr>
    </w:lvl>
  </w:abstractNum>
  <w:abstractNum w:abstractNumId="2">
    <w:multiLevelType w:val="hybridMultilevel"/>
    <w:lvl w:ilvl="0">
      <w:start w:val="11"/>
      <w:numFmt w:val="lowerLetter"/>
      <w:lvlText w:val="%1)"/>
      <w:lvlJc w:val="left"/>
      <w:pPr>
        <w:ind w:left="102" w:hanging="343"/>
        <w:jc w:val="left"/>
      </w:pPr>
      <w:rPr>
        <w:rFonts w:hint="default" w:ascii="Arial" w:hAnsi="Arial" w:eastAsia="Arial" w:cs="Arial"/>
        <w:spacing w:val="-3"/>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decimal"/>
      <w:lvlText w:val="%1."/>
      <w:lvlJc w:val="left"/>
      <w:pPr>
        <w:ind w:left="822" w:hanging="360"/>
        <w:jc w:val="left"/>
      </w:pPr>
      <w:rPr>
        <w:rFonts w:hint="default" w:ascii="Arial" w:hAnsi="Arial" w:eastAsia="Arial" w:cs="Arial"/>
        <w:b/>
        <w:bCs/>
        <w:i/>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jc w:val="center"/>
      <w:outlineLvl w:val="1"/>
    </w:pPr>
    <w:rPr>
      <w:rFonts w:ascii="Arial" w:hAnsi="Arial" w:eastAsia="Arial" w:cs="Arial"/>
      <w:b/>
      <w:bCs/>
      <w:sz w:val="24"/>
      <w:szCs w:val="24"/>
    </w:rPr>
  </w:style>
  <w:style w:styleId="ListParagraph" w:type="paragraph">
    <w:name w:val="List Paragraph"/>
    <w:basedOn w:val="Normal"/>
    <w:uiPriority w:val="1"/>
    <w:qFormat/>
    <w:pPr>
      <w:spacing w:before="135"/>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png"/><Relationship Id="rId9" Type="http://schemas.openxmlformats.org/officeDocument/2006/relationships/hyperlink" Target="http://www.eure.cl/" TargetMode="External"/><Relationship Id="rId10" Type="http://schemas.openxmlformats.org/officeDocument/2006/relationships/hyperlink" Target="http://wokinfo.com/" TargetMode="External"/><Relationship Id="rId11" Type="http://schemas.openxmlformats.org/officeDocument/2006/relationships/hyperlink" Target="http://wokinfo.com/products_tools/multidisciplinary/webofscience/" TargetMode="External"/><Relationship Id="rId12" Type="http://schemas.openxmlformats.org/officeDocument/2006/relationships/hyperlink" Target="http://wokinfo.com/products_" TargetMode="External"/><Relationship Id="rId13" Type="http://schemas.openxmlformats.org/officeDocument/2006/relationships/image" Target="media/image4.jpeg"/><Relationship Id="rId14" Type="http://schemas.openxmlformats.org/officeDocument/2006/relationships/image" Target="media/image5.png"/><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image" Target="media/image9.png"/><Relationship Id="rId19" Type="http://schemas.openxmlformats.org/officeDocument/2006/relationships/image" Target="media/image10.png"/><Relationship Id="rId20" Type="http://schemas.openxmlformats.org/officeDocument/2006/relationships/image" Target="media/image11.jpe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image" Target="media/image14.png"/><Relationship Id="rId24" Type="http://schemas.openxmlformats.org/officeDocument/2006/relationships/footer" Target="footer2.xml"/><Relationship Id="rId25" Type="http://schemas.openxmlformats.org/officeDocument/2006/relationships/footer" Target="footer3.xml"/><Relationship Id="rId26" Type="http://schemas.openxmlformats.org/officeDocument/2006/relationships/image" Target="media/image15.png"/><Relationship Id="rId27" Type="http://schemas.openxmlformats.org/officeDocument/2006/relationships/hyperlink" Target="http://wokinfo.com/products_tools/multidisciplinary/webofscience/contentexp/la/#backtotop" TargetMode="External"/><Relationship Id="rId28" Type="http://schemas.openxmlformats.org/officeDocument/2006/relationships/image" Target="media/image16.png"/><Relationship Id="rId29" Type="http://schemas.openxmlformats.org/officeDocument/2006/relationships/image" Target="media/image17.png"/><Relationship Id="rId30" Type="http://schemas.openxmlformats.org/officeDocument/2006/relationships/image" Target="media/image18.png"/><Relationship Id="rId31" Type="http://schemas.openxmlformats.org/officeDocument/2006/relationships/image" Target="media/image19.png"/><Relationship Id="rId32" Type="http://schemas.openxmlformats.org/officeDocument/2006/relationships/image" Target="media/image20.png"/><Relationship Id="rId33" Type="http://schemas.openxmlformats.org/officeDocument/2006/relationships/image" Target="media/image21.png"/><Relationship Id="rId34" Type="http://schemas.openxmlformats.org/officeDocument/2006/relationships/image" Target="media/image22.png"/><Relationship Id="rId35" Type="http://schemas.openxmlformats.org/officeDocument/2006/relationships/hyperlink" Target="http://wdi.worldbank.org/table/3.12" TargetMode="External"/><Relationship Id="rId36" Type="http://schemas.openxmlformats.org/officeDocument/2006/relationships/hyperlink" Target="http://www.edupsi.com/index2.htm" TargetMode="External"/><Relationship Id="rId37" Type="http://schemas.openxmlformats.org/officeDocument/2006/relationships/hyperlink" Target="http://www.scielo.cl/scielo.php?script=sci_arttext&amp;amp;pid=S0250-71612002008500002&amp;amp;lng=es&amp;amp;nrm=iso&amp;amp;tlng=es&amp;amp;a1" TargetMode="External"/><Relationship Id="rId38" Type="http://schemas.openxmlformats.org/officeDocument/2006/relationships/hyperlink" Target="http://www.scielo.cl/scielo.php?script=sci_arttext&amp;amp;pid=S0250-71612003008700006&amp;amp;lng=es&amp;amp;nrm=iso&amp;amp;tlng=es&amp;amp;z" TargetMode="External"/><Relationship Id="rId39" Type="http://schemas.openxmlformats.org/officeDocument/2006/relationships/hyperlink" Target="http://www.scielo.cl/scielo.php?script=sci_arttext&amp;amp;pid=S0250-71612002008500004&amp;amp;lng=es&amp;amp;nrm=iso&amp;amp;tlng=es&amp;amp;2" TargetMode="External"/><Relationship Id="rId40" Type="http://schemas.openxmlformats.org/officeDocument/2006/relationships/footer" Target="footer4.xml"/><Relationship Id="rId41" Type="http://schemas.openxmlformats.org/officeDocument/2006/relationships/footer" Target="footer5.xml"/><Relationship Id="rId4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RODRIGO</dc:creator>
  <dcterms:created xsi:type="dcterms:W3CDTF">2017-05-24T02:19:13Z</dcterms:created>
  <dcterms:modified xsi:type="dcterms:W3CDTF">2017-05-24T02:19:13Z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2016-06-28T00:00:00Z</vt:filetime>
  </property>
  <property fmtid="{D5CDD505-2E9C-101B-9397-08002B2CF9AE}" pid="3" name="Creator">
    <vt:lpwstr>Microsoft® Word 2010 Versión de Evaluación</vt:lpwstr>
  </property>
  <property fmtid="{D5CDD505-2E9C-101B-9397-08002B2CF9AE}" pid="4" name="LastSaved">
    <vt:filetime>2017-05-24T00:00:00Z</vt:filetime>
  </property>
</Properties>
</file>