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jpeg" ContentType="image/jpeg"/>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
        <w:rPr>
          <w:rFonts w:ascii="Times New Roman"/>
          <w:sz w:val="21"/>
        </w:rPr>
      </w:pPr>
    </w:p>
    <w:p>
      <w:pPr>
        <w:spacing w:line="360" w:lineRule="auto" w:before="65"/>
        <w:ind w:left="2184" w:right="104" w:firstLine="0"/>
        <w:jc w:val="center"/>
        <w:rPr>
          <w:sz w:val="28"/>
        </w:rPr>
      </w:pPr>
      <w:r>
        <w:rPr/>
        <w:drawing>
          <wp:anchor distT="0" distB="0" distL="0" distR="0" allowOverlap="1" layoutInCell="1" locked="0" behindDoc="0" simplePos="0" relativeHeight="1072">
            <wp:simplePos x="0" y="0"/>
            <wp:positionH relativeFrom="page">
              <wp:posOffset>868680</wp:posOffset>
            </wp:positionH>
            <wp:positionV relativeFrom="paragraph">
              <wp:posOffset>-75668</wp:posOffset>
            </wp:positionV>
            <wp:extent cx="1223771" cy="1045464"/>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223771" cy="1045464"/>
                    </a:xfrm>
                    <a:prstGeom prst="rect">
                      <a:avLst/>
                    </a:prstGeom>
                  </pic:spPr>
                </pic:pic>
              </a:graphicData>
            </a:graphic>
          </wp:anchor>
        </w:drawing>
      </w:r>
      <w:r>
        <w:rPr>
          <w:sz w:val="28"/>
        </w:rPr>
        <w:t>UNIVERSIDAD AUTÓNOMA DEL ESTADO DE MÉXICO MAESTRÍA Y DOCTORADO EN CIENCIAS AGROPECUARIAS Y RECURSOS NATURALES</w:t>
      </w:r>
    </w:p>
    <w:p>
      <w:pPr>
        <w:pStyle w:val="BodyText"/>
        <w:rPr>
          <w:sz w:val="28"/>
        </w:rPr>
      </w:pPr>
    </w:p>
    <w:p>
      <w:pPr>
        <w:pStyle w:val="BodyText"/>
        <w:rPr>
          <w:sz w:val="28"/>
        </w:rPr>
      </w:pPr>
    </w:p>
    <w:p>
      <w:pPr>
        <w:pStyle w:val="BodyText"/>
        <w:spacing w:before="7"/>
        <w:rPr>
          <w:sz w:val="28"/>
        </w:rPr>
      </w:pPr>
    </w:p>
    <w:p>
      <w:pPr>
        <w:spacing w:line="360" w:lineRule="auto" w:before="0"/>
        <w:ind w:left="2181" w:right="104" w:firstLine="0"/>
        <w:jc w:val="center"/>
        <w:rPr>
          <w:sz w:val="26"/>
        </w:rPr>
      </w:pPr>
      <w:r>
        <w:rPr/>
        <w:pict>
          <v:shape style="position:absolute;margin-left:101.040001pt;margin-top:-10.926169pt;width:4pt;height:359.35pt;mso-position-horizontal-relative:page;mso-position-vertical-relative:paragraph;z-index:0" coordorigin="2021,-219" coordsize="80,7187" path="m2077,-219l2041,-219,2021,6968,2057,6968,2077,-219xm2101,-219l2089,-219,2069,6968,2081,6968,2101,-219xe" filled="true" fillcolor="#0d0d0d" stroked="false">
            <v:path arrowok="t"/>
            <v:fill type="solid"/>
            <w10:wrap type="none"/>
          </v:shape>
        </w:pict>
      </w:r>
      <w:r>
        <w:rPr/>
        <w:pict>
          <v:shape style="position:absolute;margin-left:115.800003pt;margin-top:-10.346169pt;width:6.25pt;height:300.05pt;mso-position-horizontal-relative:page;mso-position-vertical-relative:paragraph;z-index:1048" coordorigin="2316,-207" coordsize="125,6001" path="m2429,-206l2364,5794,2376,5794,2441,-206,2429,-206xm2381,-207l2316,5793,2352,5793,2417,-207,2381,-207xe" filled="true" fillcolor="#0d0d0d" stroked="false">
            <v:path arrowok="t"/>
            <v:fill type="solid"/>
            <w10:wrap type="none"/>
          </v:shape>
        </w:pict>
      </w:r>
      <w:r>
        <w:rPr>
          <w:sz w:val="26"/>
        </w:rPr>
        <w:t>CARACTERIZACIÓN MOLOLECULAR DE </w:t>
      </w:r>
      <w:r>
        <w:rPr>
          <w:i/>
          <w:sz w:val="26"/>
        </w:rPr>
        <w:t>Corynebacterium </w:t>
      </w:r>
      <w:r>
        <w:rPr>
          <w:i/>
          <w:sz w:val="26"/>
        </w:rPr>
        <w:t>pseudotuberculosis </w:t>
      </w:r>
      <w:r>
        <w:rPr>
          <w:sz w:val="26"/>
        </w:rPr>
        <w:t>AISLADOS DE MUESTRAS DE CASOS CLÍNICOS DE LINFADENITIS CASEOSA EN OVINOS Y CAPRINOS</w:t>
      </w:r>
    </w:p>
    <w:p>
      <w:pPr>
        <w:pStyle w:val="BodyText"/>
        <w:rPr>
          <w:sz w:val="26"/>
        </w:rPr>
      </w:pPr>
    </w:p>
    <w:p>
      <w:pPr>
        <w:spacing w:before="150"/>
        <w:ind w:left="2184" w:right="103" w:firstLine="0"/>
        <w:jc w:val="center"/>
        <w:rPr>
          <w:b/>
          <w:sz w:val="52"/>
        </w:rPr>
      </w:pPr>
      <w:r>
        <w:rPr>
          <w:b/>
          <w:sz w:val="52"/>
        </w:rPr>
        <w:t>TESIS</w:t>
      </w:r>
    </w:p>
    <w:p>
      <w:pPr>
        <w:pStyle w:val="BodyText"/>
        <w:spacing w:before="2"/>
        <w:rPr>
          <w:b/>
          <w:sz w:val="65"/>
        </w:rPr>
      </w:pPr>
    </w:p>
    <w:p>
      <w:pPr>
        <w:spacing w:line="360" w:lineRule="auto" w:before="1"/>
        <w:ind w:left="2244" w:right="166" w:firstLine="2"/>
        <w:jc w:val="center"/>
        <w:rPr>
          <w:sz w:val="26"/>
        </w:rPr>
      </w:pPr>
      <w:r>
        <w:rPr>
          <w:sz w:val="26"/>
        </w:rPr>
        <w:t>QUE PARA OBTENER EL GRADO DE MAESTRO EN CIENCIAS AGROPECUARIAS Y RECURSOS</w:t>
      </w:r>
      <w:r>
        <w:rPr>
          <w:spacing w:val="-12"/>
          <w:sz w:val="26"/>
        </w:rPr>
        <w:t> </w:t>
      </w:r>
      <w:r>
        <w:rPr>
          <w:sz w:val="26"/>
        </w:rPr>
        <w:t>NATURALES</w:t>
      </w:r>
    </w:p>
    <w:p>
      <w:pPr>
        <w:pStyle w:val="BodyText"/>
        <w:rPr>
          <w:sz w:val="26"/>
        </w:rPr>
      </w:pPr>
    </w:p>
    <w:p>
      <w:pPr>
        <w:spacing w:before="152"/>
        <w:ind w:left="5002" w:right="0" w:firstLine="0"/>
        <w:jc w:val="left"/>
        <w:rPr>
          <w:sz w:val="26"/>
        </w:rPr>
      </w:pPr>
      <w:r>
        <w:rPr>
          <w:sz w:val="26"/>
        </w:rPr>
        <w:t>PRESENTA:</w:t>
      </w:r>
    </w:p>
    <w:p>
      <w:pPr>
        <w:pStyle w:val="BodyText"/>
        <w:rPr>
          <w:sz w:val="26"/>
        </w:rPr>
      </w:pPr>
    </w:p>
    <w:p>
      <w:pPr>
        <w:pStyle w:val="BodyText"/>
        <w:rPr>
          <w:sz w:val="26"/>
        </w:rPr>
      </w:pPr>
    </w:p>
    <w:p>
      <w:pPr>
        <w:pStyle w:val="BodyText"/>
        <w:rPr>
          <w:sz w:val="26"/>
        </w:rPr>
      </w:pPr>
    </w:p>
    <w:p>
      <w:pPr>
        <w:pStyle w:val="BodyText"/>
        <w:rPr>
          <w:sz w:val="26"/>
        </w:rPr>
      </w:pPr>
    </w:p>
    <w:p>
      <w:pPr>
        <w:pStyle w:val="BodyText"/>
        <w:spacing w:before="1"/>
        <w:rPr>
          <w:sz w:val="26"/>
        </w:rPr>
      </w:pPr>
    </w:p>
    <w:p>
      <w:pPr>
        <w:spacing w:before="1"/>
        <w:ind w:left="2181" w:right="104" w:firstLine="0"/>
        <w:jc w:val="center"/>
        <w:rPr>
          <w:sz w:val="26"/>
        </w:rPr>
      </w:pPr>
      <w:r>
        <w:rPr>
          <w:sz w:val="26"/>
        </w:rPr>
        <w:t>FERNANDO HERNÁNDEZ LEÓN</w:t>
      </w:r>
    </w:p>
    <w:p>
      <w:pPr>
        <w:pStyle w:val="BodyText"/>
        <w:rPr>
          <w:sz w:val="26"/>
        </w:rPr>
      </w:pPr>
    </w:p>
    <w:p>
      <w:pPr>
        <w:pStyle w:val="BodyText"/>
        <w:rPr>
          <w:sz w:val="26"/>
        </w:rPr>
      </w:pPr>
    </w:p>
    <w:p>
      <w:pPr>
        <w:pStyle w:val="BodyText"/>
        <w:spacing w:before="9"/>
        <w:rPr>
          <w:sz w:val="38"/>
        </w:rPr>
      </w:pPr>
    </w:p>
    <w:p>
      <w:pPr>
        <w:pStyle w:val="BodyText"/>
        <w:ind w:left="2184" w:right="104"/>
        <w:jc w:val="center"/>
      </w:pPr>
      <w:r>
        <w:rPr/>
        <w:t>El Cerrillo Piedras Blancas, Estado de México diciembre de 2015.</w:t>
      </w:r>
    </w:p>
    <w:p>
      <w:pPr>
        <w:spacing w:after="0"/>
        <w:jc w:val="center"/>
        <w:sectPr>
          <w:type w:val="continuous"/>
          <w:pgSz w:w="12240" w:h="15840"/>
          <w:pgMar w:top="1500" w:bottom="280" w:left="1260" w:right="1580"/>
        </w:sectPr>
      </w:pPr>
    </w:p>
    <w:p>
      <w:pPr>
        <w:pStyle w:val="BodyText"/>
        <w:spacing w:before="5"/>
        <w:rPr>
          <w:sz w:val="21"/>
        </w:rPr>
      </w:pPr>
    </w:p>
    <w:p>
      <w:pPr>
        <w:spacing w:line="360" w:lineRule="auto" w:before="65"/>
        <w:ind w:left="2184" w:right="264" w:firstLine="0"/>
        <w:jc w:val="center"/>
        <w:rPr>
          <w:sz w:val="28"/>
        </w:rPr>
      </w:pPr>
      <w:r>
        <w:rPr/>
        <w:drawing>
          <wp:anchor distT="0" distB="0" distL="0" distR="0" allowOverlap="1" layoutInCell="1" locked="0" behindDoc="0" simplePos="0" relativeHeight="1144">
            <wp:simplePos x="0" y="0"/>
            <wp:positionH relativeFrom="page">
              <wp:posOffset>868680</wp:posOffset>
            </wp:positionH>
            <wp:positionV relativeFrom="paragraph">
              <wp:posOffset>-75668</wp:posOffset>
            </wp:positionV>
            <wp:extent cx="1223771" cy="1045464"/>
            <wp:effectExtent l="0" t="0" r="0" b="0"/>
            <wp:wrapNone/>
            <wp:docPr id="3" name="image1.png" descr=""/>
            <wp:cNvGraphicFramePr>
              <a:graphicFrameLocks noChangeAspect="1"/>
            </wp:cNvGraphicFramePr>
            <a:graphic>
              <a:graphicData uri="http://schemas.openxmlformats.org/drawingml/2006/picture">
                <pic:pic>
                  <pic:nvPicPr>
                    <pic:cNvPr id="4" name="image1.png"/>
                    <pic:cNvPicPr/>
                  </pic:nvPicPr>
                  <pic:blipFill>
                    <a:blip r:embed="rId5" cstate="print"/>
                    <a:stretch>
                      <a:fillRect/>
                    </a:stretch>
                  </pic:blipFill>
                  <pic:spPr>
                    <a:xfrm>
                      <a:off x="0" y="0"/>
                      <a:ext cx="1223771" cy="1045464"/>
                    </a:xfrm>
                    <a:prstGeom prst="rect">
                      <a:avLst/>
                    </a:prstGeom>
                  </pic:spPr>
                </pic:pic>
              </a:graphicData>
            </a:graphic>
          </wp:anchor>
        </w:drawing>
      </w:r>
      <w:r>
        <w:rPr>
          <w:sz w:val="28"/>
        </w:rPr>
        <w:t>UNIVERSIDAD AUTÓNOMA DEL ESTADO DE MÉXICO MAESTRÍA Y DOCTORADO EN CIENCIAS AGROPECUARIAS Y RECURSOS NATURALES</w:t>
      </w:r>
    </w:p>
    <w:p>
      <w:pPr>
        <w:pStyle w:val="BodyText"/>
        <w:rPr>
          <w:sz w:val="28"/>
        </w:rPr>
      </w:pPr>
    </w:p>
    <w:p>
      <w:pPr>
        <w:spacing w:line="360" w:lineRule="auto" w:before="169"/>
        <w:ind w:left="2181" w:right="264" w:firstLine="0"/>
        <w:jc w:val="center"/>
        <w:rPr>
          <w:sz w:val="26"/>
        </w:rPr>
      </w:pPr>
      <w:r>
        <w:rPr/>
        <w:pict>
          <v:shape style="position:absolute;margin-left:101.040001pt;margin-top:21.643826pt;width:4pt;height:359.35pt;mso-position-horizontal-relative:page;mso-position-vertical-relative:paragraph;z-index:1096" coordorigin="2021,433" coordsize="80,7187" path="m2077,433l2041,433,2021,7620,2057,7620,2077,433xm2101,433l2089,433,2069,7620,2081,7620,2101,433xe" filled="true" fillcolor="#0d0d0d" stroked="false">
            <v:path arrowok="t"/>
            <v:fill type="solid"/>
            <w10:wrap type="none"/>
          </v:shape>
        </w:pict>
      </w:r>
      <w:r>
        <w:rPr/>
        <w:pict>
          <v:shape style="position:absolute;margin-left:115.800003pt;margin-top:22.223825pt;width:6.25pt;height:300.05pt;mso-position-horizontal-relative:page;mso-position-vertical-relative:paragraph;z-index:1120" coordorigin="2316,444" coordsize="125,6001" path="m2429,445l2364,6445,2376,6445,2441,445,2429,445xm2381,444l2316,6444,2352,6445,2417,445,2381,444xe" filled="true" fillcolor="#0d0d0d" stroked="false">
            <v:path arrowok="t"/>
            <v:fill type="solid"/>
            <w10:wrap type="none"/>
          </v:shape>
        </w:pict>
      </w:r>
      <w:r>
        <w:rPr>
          <w:sz w:val="26"/>
        </w:rPr>
        <w:t>CARACTERIZACIÓN MOLOLECULAR DE </w:t>
      </w:r>
      <w:r>
        <w:rPr>
          <w:i/>
          <w:sz w:val="26"/>
        </w:rPr>
        <w:t>Corynebacterium </w:t>
      </w:r>
      <w:r>
        <w:rPr>
          <w:i/>
          <w:sz w:val="26"/>
        </w:rPr>
        <w:t>pseudotuberculosis </w:t>
      </w:r>
      <w:r>
        <w:rPr>
          <w:sz w:val="26"/>
        </w:rPr>
        <w:t>AISLADOS DE MUESTRAS DE CASOS CLÍNICOS DE LINFADENITIS CASEOSA EN OVINOS Y CAPRINOS</w:t>
      </w:r>
    </w:p>
    <w:p>
      <w:pPr>
        <w:pStyle w:val="BodyText"/>
        <w:rPr>
          <w:sz w:val="26"/>
        </w:rPr>
      </w:pPr>
    </w:p>
    <w:p>
      <w:pPr>
        <w:spacing w:before="186"/>
        <w:ind w:left="2184" w:right="263" w:firstLine="0"/>
        <w:jc w:val="center"/>
        <w:rPr>
          <w:b/>
          <w:sz w:val="52"/>
        </w:rPr>
      </w:pPr>
      <w:r>
        <w:rPr>
          <w:b/>
          <w:sz w:val="52"/>
        </w:rPr>
        <w:t>TESIS</w:t>
      </w:r>
    </w:p>
    <w:p>
      <w:pPr>
        <w:pStyle w:val="BodyText"/>
        <w:spacing w:before="1"/>
        <w:rPr>
          <w:b/>
          <w:sz w:val="68"/>
        </w:rPr>
      </w:pPr>
    </w:p>
    <w:p>
      <w:pPr>
        <w:spacing w:line="360" w:lineRule="auto" w:before="0"/>
        <w:ind w:left="2244" w:right="326" w:hanging="3"/>
        <w:jc w:val="center"/>
        <w:rPr>
          <w:sz w:val="26"/>
        </w:rPr>
      </w:pPr>
      <w:r>
        <w:rPr>
          <w:sz w:val="26"/>
        </w:rPr>
        <w:t>QUE PARA OBTENER EL GRADO DE MAESTRO EN CIENCIAS AGROPECUARIAS Y RECURSOS</w:t>
      </w:r>
      <w:r>
        <w:rPr>
          <w:spacing w:val="-12"/>
          <w:sz w:val="26"/>
        </w:rPr>
        <w:t> </w:t>
      </w:r>
      <w:r>
        <w:rPr>
          <w:sz w:val="26"/>
        </w:rPr>
        <w:t>NATURALES</w:t>
      </w:r>
    </w:p>
    <w:p>
      <w:pPr>
        <w:pStyle w:val="BodyText"/>
        <w:rPr>
          <w:sz w:val="26"/>
        </w:rPr>
      </w:pPr>
    </w:p>
    <w:p>
      <w:pPr>
        <w:pStyle w:val="Heading2"/>
        <w:spacing w:line="360" w:lineRule="auto" w:before="152"/>
        <w:ind w:left="3752" w:right="1623" w:firstLine="1243"/>
        <w:jc w:val="left"/>
      </w:pPr>
      <w:r>
        <w:rPr/>
        <w:t>PRESENTA</w:t>
      </w:r>
      <w:r>
        <w:rPr>
          <w:b w:val="0"/>
        </w:rPr>
        <w:t>: </w:t>
      </w:r>
      <w:r>
        <w:rPr/>
        <w:t>FERNANDO HERNÁNDEZ LEÓN</w:t>
      </w:r>
    </w:p>
    <w:p>
      <w:pPr>
        <w:pStyle w:val="BodyText"/>
        <w:rPr>
          <w:b/>
          <w:sz w:val="26"/>
        </w:rPr>
      </w:pPr>
    </w:p>
    <w:p>
      <w:pPr>
        <w:spacing w:before="154"/>
        <w:ind w:left="2179" w:right="264" w:firstLine="0"/>
        <w:jc w:val="center"/>
        <w:rPr>
          <w:b/>
          <w:sz w:val="26"/>
        </w:rPr>
      </w:pPr>
      <w:r>
        <w:rPr>
          <w:b/>
          <w:sz w:val="26"/>
        </w:rPr>
        <w:t>COMITÉ DE TUTORES</w:t>
      </w:r>
    </w:p>
    <w:p>
      <w:pPr>
        <w:spacing w:line="360" w:lineRule="auto" w:before="150"/>
        <w:ind w:left="2554" w:right="636" w:firstLine="0"/>
        <w:jc w:val="center"/>
        <w:rPr>
          <w:sz w:val="26"/>
        </w:rPr>
      </w:pPr>
      <w:r>
        <w:rPr>
          <w:sz w:val="26"/>
        </w:rPr>
        <w:t>Dr. Roberto Montes de Oca Jiménez. Tutor Académico Dr. Jorge Pablo Acosta Dibarrat. Tutor Adjunto</w:t>
      </w:r>
    </w:p>
    <w:p>
      <w:pPr>
        <w:spacing w:before="4"/>
        <w:ind w:left="2179" w:right="264" w:firstLine="0"/>
        <w:jc w:val="center"/>
        <w:rPr>
          <w:sz w:val="26"/>
        </w:rPr>
      </w:pPr>
      <w:r>
        <w:rPr>
          <w:sz w:val="26"/>
        </w:rPr>
        <w:t>Dr. Juan Carlos Vázquez Chagoyán.</w:t>
      </w:r>
    </w:p>
    <w:p>
      <w:pPr>
        <w:pStyle w:val="BodyText"/>
        <w:rPr>
          <w:sz w:val="26"/>
        </w:rPr>
      </w:pPr>
    </w:p>
    <w:p>
      <w:pPr>
        <w:pStyle w:val="BodyText"/>
        <w:rPr>
          <w:sz w:val="26"/>
        </w:rPr>
      </w:pPr>
    </w:p>
    <w:p>
      <w:pPr>
        <w:pStyle w:val="BodyText"/>
        <w:rPr>
          <w:sz w:val="26"/>
        </w:rPr>
      </w:pPr>
    </w:p>
    <w:p>
      <w:pPr>
        <w:pStyle w:val="BodyText"/>
        <w:spacing w:before="150"/>
        <w:ind w:left="2458"/>
      </w:pPr>
      <w:r>
        <w:rPr/>
        <w:t>El Cerrillo Piedras Blancas, Estado de México diciembre de 2015.</w:t>
      </w:r>
    </w:p>
    <w:p>
      <w:pPr>
        <w:spacing w:after="0"/>
        <w:sectPr>
          <w:pgSz w:w="12240" w:h="15840"/>
          <w:pgMar w:top="1500" w:bottom="280" w:left="126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1"/>
        </w:rPr>
      </w:pPr>
    </w:p>
    <w:p>
      <w:pPr>
        <w:pStyle w:val="Heading3"/>
        <w:spacing w:before="70"/>
        <w:ind w:left="175" w:right="139"/>
        <w:jc w:val="center"/>
      </w:pPr>
      <w:bookmarkStart w:name="_bookmark0" w:id="1"/>
      <w:bookmarkEnd w:id="1"/>
      <w:r>
        <w:rPr>
          <w:b w:val="0"/>
        </w:rPr>
      </w:r>
      <w:r>
        <w:rPr/>
        <w:t>DEDICATORIAS</w:t>
      </w:r>
    </w:p>
    <w:p>
      <w:pPr>
        <w:pStyle w:val="BodyText"/>
        <w:spacing w:line="360" w:lineRule="auto" w:before="41"/>
        <w:ind w:left="152" w:right="111"/>
        <w:jc w:val="both"/>
      </w:pPr>
      <w:r>
        <w:rPr/>
        <w:t>A mis padres, por haberme brindado la oportunidad y el apoyo económico para cursar con muchos esfuerzos una Licenciatura, fue el primer paso para estar  ahora en un posgrado. Los</w:t>
      </w:r>
      <w:r>
        <w:rPr>
          <w:spacing w:val="-15"/>
        </w:rPr>
        <w:t> </w:t>
      </w:r>
      <w:r>
        <w:rPr/>
        <w:t>amo.</w:t>
      </w:r>
    </w:p>
    <w:p>
      <w:pPr>
        <w:pStyle w:val="BodyText"/>
        <w:spacing w:line="360" w:lineRule="auto" w:before="204"/>
        <w:ind w:left="152" w:right="115"/>
        <w:jc w:val="both"/>
      </w:pPr>
      <w:r>
        <w:rPr/>
        <w:t>A mis Hermanos, que creen en mi capacidad para lograr mis objetivos y siempre son un apoyo indiscutible.</w:t>
      </w:r>
    </w:p>
    <w:p>
      <w:pPr>
        <w:pStyle w:val="BodyText"/>
        <w:spacing w:before="204"/>
        <w:ind w:left="152"/>
        <w:jc w:val="both"/>
      </w:pPr>
      <w:r>
        <w:rPr/>
        <w:t>A mis amigos, por hacer los días más estresantes en momentos inolvidables.</w:t>
      </w:r>
    </w:p>
    <w:p>
      <w:pPr>
        <w:pStyle w:val="BodyText"/>
        <w:spacing w:before="4"/>
        <w:rPr>
          <w:sz w:val="29"/>
        </w:rPr>
      </w:pPr>
    </w:p>
    <w:p>
      <w:pPr>
        <w:pStyle w:val="BodyText"/>
        <w:spacing w:line="360" w:lineRule="auto" w:before="1"/>
        <w:ind w:left="152" w:right="112"/>
        <w:jc w:val="both"/>
      </w:pPr>
      <w:r>
        <w:rPr/>
        <w:t>A mis Tutores: Dr. Roberto Montes de Oca, Dr. Jorge Pablo Acosta y Dr. Juan Carlos Vázquez Chagoyán por brindarme la oportunidad de desarrollar esta investigación y creer en mi capacidad para llevarla a cabo; además del valioso aprendizaje que siempre me brindaron.</w:t>
      </w:r>
    </w:p>
    <w:p>
      <w:pPr>
        <w:spacing w:after="0" w:line="360" w:lineRule="auto"/>
        <w:jc w:val="both"/>
        <w:sectPr>
          <w:footerReference w:type="default" r:id="rId6"/>
          <w:pgSz w:w="12240" w:h="15840"/>
          <w:pgMar w:footer="1656" w:header="0" w:top="1500" w:bottom="1840" w:left="1720" w:right="1420"/>
          <w:pgNumType w:start="1"/>
        </w:sectPr>
      </w:pPr>
    </w:p>
    <w:p>
      <w:pPr>
        <w:pStyle w:val="BodyText"/>
        <w:spacing w:before="11"/>
        <w:rPr>
          <w:sz w:val="20"/>
        </w:rPr>
      </w:pPr>
    </w:p>
    <w:p>
      <w:pPr>
        <w:pStyle w:val="Heading3"/>
        <w:ind w:left="181" w:right="139"/>
        <w:jc w:val="center"/>
      </w:pPr>
      <w:bookmarkStart w:name="_bookmark1" w:id="2"/>
      <w:bookmarkEnd w:id="2"/>
      <w:r>
        <w:rPr>
          <w:b w:val="0"/>
        </w:rPr>
      </w:r>
      <w:r>
        <w:rPr/>
        <w:t>RESUMEN</w:t>
      </w:r>
    </w:p>
    <w:p>
      <w:pPr>
        <w:spacing w:line="360" w:lineRule="auto" w:before="43"/>
        <w:ind w:left="181" w:right="139" w:firstLine="0"/>
        <w:jc w:val="center"/>
        <w:rPr>
          <w:b/>
          <w:sz w:val="24"/>
        </w:rPr>
      </w:pPr>
      <w:r>
        <w:rPr>
          <w:b/>
          <w:sz w:val="24"/>
        </w:rPr>
        <w:t>Caracterización Molecular de </w:t>
      </w:r>
      <w:r>
        <w:rPr>
          <w:b/>
          <w:i/>
          <w:sz w:val="24"/>
        </w:rPr>
        <w:t>Corynebacterium pseudotuberculosis </w:t>
      </w:r>
      <w:r>
        <w:rPr>
          <w:b/>
          <w:sz w:val="24"/>
        </w:rPr>
        <w:t>Aislados de Muestras de Casos Clínicos de Linfadenitis Caseosa en Ovinos y Caprinos</w:t>
      </w:r>
    </w:p>
    <w:p>
      <w:pPr>
        <w:pStyle w:val="BodyText"/>
        <w:spacing w:line="360" w:lineRule="auto" w:before="204"/>
        <w:ind w:left="152" w:right="104"/>
        <w:jc w:val="both"/>
      </w:pPr>
      <w:r>
        <w:rPr/>
        <w:t>La Linfadenitis caseosa (LC) o pseudotuberculosis es una enfermedad infectocontagiosa, de evolución crónica, causada por </w:t>
      </w:r>
      <w:r>
        <w:rPr>
          <w:i/>
        </w:rPr>
        <w:t>Corynebacterium </w:t>
      </w:r>
      <w:r>
        <w:rPr>
          <w:i/>
        </w:rPr>
        <w:t>pseudotuberculosis</w:t>
      </w:r>
      <w:r>
        <w:rPr/>
        <w:t>. Debido a su curso crónico y poca respuesta al tratamiento es difícil erradicar la infección una vez que se establece. Por ello, las estrategias para establecer los programas de prevención, control y erradicación de la enfermedad deben ser integrales. Algunos de los aspectos limitantes para el control de LC es que no existen pruebas de diagnóstico suficientemente sensibles y específicas para establecer el diagnóstico en la fase precoz y fase clínica visceral; además,  las vacunas y bacterinas no han arrojado resultados satisfactorios en modelos de animales experimentales. En investigaciones previas se han aislado cepas de diferentes lesiones que afectan a cabras y ovinos, estas han sido secuenciadas totalmente o parte de sus genes. Sin embargo, hasta ahora en México no existe  un estudio establecido donde se identifique mediante técnicas moleculares y filogenéticas las cepas circulantes en nuestras explotaciones y por tanto no se sabe</w:t>
      </w:r>
      <w:r>
        <w:rPr>
          <w:spacing w:val="23"/>
        </w:rPr>
        <w:t> </w:t>
      </w:r>
      <w:r>
        <w:rPr/>
        <w:t>si</w:t>
      </w:r>
      <w:r>
        <w:rPr>
          <w:spacing w:val="21"/>
        </w:rPr>
        <w:t> </w:t>
      </w:r>
      <w:r>
        <w:rPr/>
        <w:t>la</w:t>
      </w:r>
      <w:r>
        <w:rPr>
          <w:spacing w:val="22"/>
        </w:rPr>
        <w:t> </w:t>
      </w:r>
      <w:r>
        <w:rPr/>
        <w:t>enfermedad</w:t>
      </w:r>
      <w:r>
        <w:rPr>
          <w:spacing w:val="20"/>
        </w:rPr>
        <w:t> </w:t>
      </w:r>
      <w:r>
        <w:rPr/>
        <w:t>es</w:t>
      </w:r>
      <w:r>
        <w:rPr>
          <w:spacing w:val="22"/>
        </w:rPr>
        <w:t> </w:t>
      </w:r>
      <w:r>
        <w:rPr/>
        <w:t>sub-diagnosticada.</w:t>
      </w:r>
      <w:r>
        <w:rPr>
          <w:spacing w:val="20"/>
        </w:rPr>
        <w:t> </w:t>
      </w:r>
      <w:r>
        <w:rPr/>
        <w:t>En</w:t>
      </w:r>
      <w:r>
        <w:rPr>
          <w:spacing w:val="23"/>
        </w:rPr>
        <w:t> </w:t>
      </w:r>
      <w:r>
        <w:rPr/>
        <w:t>el</w:t>
      </w:r>
      <w:r>
        <w:rPr>
          <w:spacing w:val="21"/>
        </w:rPr>
        <w:t> </w:t>
      </w:r>
      <w:r>
        <w:rPr/>
        <w:t>presente</w:t>
      </w:r>
      <w:r>
        <w:rPr>
          <w:spacing w:val="23"/>
        </w:rPr>
        <w:t> </w:t>
      </w:r>
      <w:r>
        <w:rPr/>
        <w:t>estudio</w:t>
      </w:r>
      <w:r>
        <w:rPr>
          <w:spacing w:val="23"/>
        </w:rPr>
        <w:t> </w:t>
      </w:r>
      <w:r>
        <w:rPr/>
        <w:t>se</w:t>
      </w:r>
      <w:r>
        <w:rPr>
          <w:spacing w:val="23"/>
        </w:rPr>
        <w:t> </w:t>
      </w:r>
      <w:r>
        <w:rPr/>
        <w:t>partió</w:t>
      </w:r>
      <w:r>
        <w:rPr>
          <w:spacing w:val="23"/>
        </w:rPr>
        <w:t> </w:t>
      </w:r>
      <w:r>
        <w:rPr/>
        <w:t>de</w:t>
      </w:r>
    </w:p>
    <w:p>
      <w:pPr>
        <w:pStyle w:val="BodyText"/>
        <w:spacing w:line="360" w:lineRule="auto"/>
        <w:ind w:left="152" w:right="107"/>
        <w:jc w:val="both"/>
      </w:pPr>
      <w:r>
        <w:rPr/>
        <w:t>69 aislamientos de </w:t>
      </w:r>
      <w:r>
        <w:rPr>
          <w:i/>
        </w:rPr>
        <w:t>C. pseudotuberculosis </w:t>
      </w:r>
      <w:r>
        <w:rPr/>
        <w:t>para realizar la identificación bacteriológica, bioquímica y molecular, se utilizaron pruebas bacteriológicas y bioquímicas convencionales, un Kit comercial Api Coryne, PCR Multiplex con los genes </w:t>
      </w:r>
      <w:r>
        <w:rPr>
          <w:i/>
        </w:rPr>
        <w:t>16s</w:t>
      </w:r>
      <w:r>
        <w:rPr/>
        <w:t>, </w:t>
      </w:r>
      <w:r>
        <w:rPr>
          <w:i/>
        </w:rPr>
        <w:t>rpoB </w:t>
      </w:r>
      <w:r>
        <w:rPr/>
        <w:t>y </w:t>
      </w:r>
      <w:r>
        <w:rPr>
          <w:i/>
        </w:rPr>
        <w:t>pld </w:t>
      </w:r>
      <w:r>
        <w:rPr/>
        <w:t>e identificación por PCR punto final genes involucrados en  la virulencia y patogenicidad </w:t>
      </w:r>
      <w:r>
        <w:rPr>
          <w:i/>
        </w:rPr>
        <w:t>Fag A, Fag B, Fag C y Fag D </w:t>
      </w:r>
      <w:r>
        <w:rPr/>
        <w:t>además de un análisis filogenético basado en la secuencia parcial del gen </w:t>
      </w:r>
      <w:r>
        <w:rPr>
          <w:i/>
        </w:rPr>
        <w:t>rpoB. </w:t>
      </w:r>
      <w:r>
        <w:rPr/>
        <w:t>Se logró caracterizar fenotípica y genotípicamente el 86.95% (60/69) de los aislados de campo de </w:t>
      </w:r>
      <w:r>
        <w:rPr>
          <w:i/>
        </w:rPr>
        <w:t>Corynebacterium pseudotuberculosis</w:t>
      </w:r>
      <w:r>
        <w:rPr/>
        <w:t>, además de identificar en el 98.3 % (59/60) de los aislados los genes involucrados en la virulencia y patogenicidad. Se logró identificar el 100% (60/60) de los aislamientos mediante el análisis filogenético   </w:t>
      </w:r>
      <w:r>
        <w:rPr>
          <w:spacing w:val="3"/>
        </w:rPr>
        <w:t> </w:t>
      </w:r>
      <w:r>
        <w:rPr/>
        <w:t>la</w:t>
      </w:r>
    </w:p>
    <w:p>
      <w:pPr>
        <w:spacing w:after="0" w:line="360" w:lineRule="auto"/>
        <w:jc w:val="both"/>
        <w:sectPr>
          <w:pgSz w:w="12240" w:h="15840"/>
          <w:pgMar w:header="0" w:footer="1656" w:top="1500" w:bottom="1840" w:left="1720" w:right="1420"/>
        </w:sectPr>
      </w:pPr>
    </w:p>
    <w:p>
      <w:pPr>
        <w:pStyle w:val="BodyText"/>
        <w:spacing w:before="2"/>
        <w:rPr>
          <w:sz w:val="21"/>
        </w:rPr>
      </w:pPr>
    </w:p>
    <w:p>
      <w:pPr>
        <w:pStyle w:val="BodyText"/>
        <w:spacing w:line="357" w:lineRule="auto" w:before="69"/>
        <w:ind w:left="152"/>
      </w:pPr>
      <w:r>
        <w:rPr/>
        <w:t>especie y subespecie a la que pertenecen. Además se logró identificar por primera vez un asilado de </w:t>
      </w:r>
      <w:r>
        <w:rPr>
          <w:i/>
        </w:rPr>
        <w:t>C. xerosis </w:t>
      </w:r>
      <w:r>
        <w:rPr/>
        <w:t>en un absceso cutáneo de ovino.</w:t>
      </w:r>
    </w:p>
    <w:p>
      <w:pPr>
        <w:pStyle w:val="BodyText"/>
      </w:pPr>
    </w:p>
    <w:p>
      <w:pPr>
        <w:spacing w:line="362" w:lineRule="auto" w:before="144"/>
        <w:ind w:left="152" w:right="0" w:firstLine="0"/>
        <w:jc w:val="left"/>
        <w:rPr>
          <w:sz w:val="24"/>
        </w:rPr>
      </w:pPr>
      <w:r>
        <w:rPr>
          <w:b/>
          <w:sz w:val="24"/>
        </w:rPr>
        <w:t>Palabras clave</w:t>
      </w:r>
      <w:r>
        <w:rPr>
          <w:sz w:val="24"/>
        </w:rPr>
        <w:t>: Linfadenitis caseosa, </w:t>
      </w:r>
      <w:r>
        <w:rPr>
          <w:i/>
          <w:sz w:val="24"/>
        </w:rPr>
        <w:t>Corynebacterium pseudotuberculosis, </w:t>
      </w:r>
      <w:r>
        <w:rPr>
          <w:sz w:val="24"/>
        </w:rPr>
        <w:t>PCR Multiplex, Análisis filogenético.</w:t>
      </w:r>
    </w:p>
    <w:p>
      <w:pPr>
        <w:spacing w:after="0" w:line="362" w:lineRule="auto"/>
        <w:jc w:val="left"/>
        <w:rPr>
          <w:sz w:val="24"/>
        </w:rPr>
        <w:sectPr>
          <w:pgSz w:w="12240" w:h="15840"/>
          <w:pgMar w:header="0" w:footer="1656" w:top="1500" w:bottom="1840" w:left="1720" w:right="1420"/>
        </w:sectPr>
      </w:pPr>
    </w:p>
    <w:p>
      <w:pPr>
        <w:pStyle w:val="BodyText"/>
        <w:spacing w:before="11"/>
        <w:rPr>
          <w:sz w:val="20"/>
        </w:rPr>
      </w:pPr>
    </w:p>
    <w:p>
      <w:pPr>
        <w:pStyle w:val="Heading3"/>
        <w:ind w:left="177" w:right="139"/>
        <w:jc w:val="center"/>
      </w:pPr>
      <w:bookmarkStart w:name="_bookmark2" w:id="3"/>
      <w:bookmarkEnd w:id="3"/>
      <w:r>
        <w:rPr>
          <w:b w:val="0"/>
        </w:rPr>
      </w:r>
      <w:r>
        <w:rPr/>
        <w:t>SUMMARY</w:t>
      </w:r>
    </w:p>
    <w:p>
      <w:pPr>
        <w:pStyle w:val="BodyText"/>
        <w:spacing w:line="336" w:lineRule="auto" w:before="41"/>
        <w:ind w:left="152" w:right="105"/>
        <w:jc w:val="both"/>
      </w:pPr>
      <w:r>
        <w:rPr/>
        <w:t>The caseous lymphadenitis (CL) or paratuberculosis is an infectious chronic disease, caused by Corynebacterium pseudotuberculosis. Due to its chronic  course and poor treatment response it’s difficult to eradicate the infection once it is set. Therefore, strategies to establish prevention, control and eradication programs for the disease must be comprehensive. Some of the limiting factors for controlling CL is that there are no sufficiently sensitive and specific diagnostic tests in early clinical and visceral phases; in addition, vaccines and bacterins have not yielded satisfactory results in experimental animal models. In previous investigations strains have been isolated from different lesions that affect goats and sheep, isolates genes have been completely or partially sequenced. However, until now there is no a well-established study where CL can be identified though molecular and phylogenetic techniques for the circulating strains in our farms and therefore, it is not known if the disease is sub-diagnosed in Mexico. In the present study 69 isolates were conducted for C. pseudotuberculosis to perform bacteriological, biochemistry and molecular identification, </w:t>
      </w:r>
      <w:r>
        <w:rPr>
          <w:spacing w:val="4"/>
        </w:rPr>
        <w:t>We </w:t>
      </w:r>
      <w:r>
        <w:rPr/>
        <w:t>used for the conventional bacteriological and biochemical tests, an API Coryne commercial kit, Multiplex  PCR for the </w:t>
      </w:r>
      <w:r>
        <w:rPr>
          <w:i/>
        </w:rPr>
        <w:t>16s</w:t>
      </w:r>
      <w:r>
        <w:rPr/>
        <w:t>, </w:t>
      </w:r>
      <w:r>
        <w:rPr>
          <w:i/>
        </w:rPr>
        <w:t>rpoB </w:t>
      </w:r>
      <w:r>
        <w:rPr/>
        <w:t>and </w:t>
      </w:r>
      <w:r>
        <w:rPr>
          <w:i/>
        </w:rPr>
        <w:t>pld </w:t>
      </w:r>
      <w:r>
        <w:rPr/>
        <w:t>genes, genes involved in the pathogenicity and virulence </w:t>
      </w:r>
      <w:r>
        <w:rPr>
          <w:i/>
        </w:rPr>
        <w:t>Fag A, Fag B, Fag C </w:t>
      </w:r>
      <w:r>
        <w:rPr/>
        <w:t>and </w:t>
      </w:r>
      <w:r>
        <w:rPr>
          <w:i/>
        </w:rPr>
        <w:t>D </w:t>
      </w:r>
      <w:r>
        <w:rPr/>
        <w:t>were identified by end point PCR, additionally, a phylogenetic analysis based on the partial sequence of the </w:t>
      </w:r>
      <w:r>
        <w:rPr>
          <w:i/>
        </w:rPr>
        <w:t>rpoB </w:t>
      </w:r>
      <w:r>
        <w:rPr/>
        <w:t>gene. Phenotypic and genotypic characterization was achieved for 86.95 % (60/69) of the field isolates for Corynebacterium pseudotuberculosis, moreover the identification of 98.3 % (59/60) of the isolated genes involved in virulence and pathogenicity. </w:t>
      </w:r>
      <w:r>
        <w:rPr>
          <w:spacing w:val="4"/>
        </w:rPr>
        <w:t>We </w:t>
      </w:r>
      <w:r>
        <w:rPr/>
        <w:t>achieved identify 100% (60/60) of all isolates through phylogenetic analysis the species and subspecies to which they  belong. Additionally we identified for the first time a </w:t>
      </w:r>
      <w:r>
        <w:rPr>
          <w:i/>
        </w:rPr>
        <w:t>C. xerosis </w:t>
      </w:r>
      <w:r>
        <w:rPr/>
        <w:t>isolate in sheep  skin abscess</w:t>
      </w:r>
      <w:r>
        <w:rPr>
          <w:spacing w:val="-3"/>
        </w:rPr>
        <w:t> </w:t>
      </w:r>
      <w:r>
        <w:rPr/>
        <w:t>of.</w:t>
      </w:r>
    </w:p>
    <w:p>
      <w:pPr>
        <w:pStyle w:val="BodyText"/>
        <w:spacing w:before="7"/>
        <w:rPr>
          <w:sz w:val="33"/>
        </w:rPr>
      </w:pPr>
    </w:p>
    <w:p>
      <w:pPr>
        <w:spacing w:line="338" w:lineRule="auto" w:before="0"/>
        <w:ind w:left="152" w:right="105" w:firstLine="0"/>
        <w:jc w:val="both"/>
        <w:rPr>
          <w:sz w:val="24"/>
        </w:rPr>
      </w:pPr>
      <w:r>
        <w:rPr>
          <w:b/>
          <w:sz w:val="24"/>
        </w:rPr>
        <w:t>Key Words: </w:t>
      </w:r>
      <w:r>
        <w:rPr>
          <w:i/>
          <w:sz w:val="24"/>
        </w:rPr>
        <w:t>caseous lymphadenitis</w:t>
      </w:r>
      <w:r>
        <w:rPr>
          <w:sz w:val="24"/>
        </w:rPr>
        <w:t>, </w:t>
      </w:r>
      <w:r>
        <w:rPr>
          <w:i/>
          <w:sz w:val="24"/>
        </w:rPr>
        <w:t>Corynebacterium pseudotuberculosis</w:t>
      </w:r>
      <w:r>
        <w:rPr>
          <w:sz w:val="24"/>
        </w:rPr>
        <w:t>, Multiplex PCR, phylogenetic analysis.</w:t>
      </w:r>
    </w:p>
    <w:p>
      <w:pPr>
        <w:spacing w:after="0" w:line="338" w:lineRule="auto"/>
        <w:jc w:val="both"/>
        <w:rPr>
          <w:sz w:val="24"/>
        </w:rPr>
        <w:sectPr>
          <w:pgSz w:w="12240" w:h="15840"/>
          <w:pgMar w:header="0" w:footer="1656" w:top="1500" w:bottom="1840" w:left="1720" w:right="1420"/>
        </w:sectPr>
      </w:pPr>
    </w:p>
    <w:p>
      <w:pPr>
        <w:pStyle w:val="BodyText"/>
        <w:spacing w:before="11"/>
        <w:rPr>
          <w:sz w:val="20"/>
        </w:rPr>
      </w:pPr>
    </w:p>
    <w:p>
      <w:pPr>
        <w:pStyle w:val="Heading3"/>
      </w:pPr>
      <w:bookmarkStart w:name="_bookmark3" w:id="4"/>
      <w:bookmarkEnd w:id="4"/>
      <w:r>
        <w:rPr>
          <w:b w:val="0"/>
        </w:rPr>
      </w:r>
      <w:r>
        <w:rPr/>
        <w:t>AGRADECIMIENTOS</w:t>
      </w:r>
    </w:p>
    <w:p>
      <w:pPr>
        <w:pStyle w:val="BodyText"/>
        <w:rPr>
          <w:b/>
        </w:rPr>
      </w:pPr>
    </w:p>
    <w:p>
      <w:pPr>
        <w:pStyle w:val="BodyText"/>
        <w:spacing w:line="360" w:lineRule="auto" w:before="182"/>
        <w:ind w:left="152" w:right="115"/>
        <w:jc w:val="both"/>
      </w:pPr>
      <w:r>
        <w:rPr/>
        <w:t>A la Universidad Autónoma del Estado de México por favorecer mi crecimiento como profesionista y persona.</w:t>
      </w:r>
    </w:p>
    <w:p>
      <w:pPr>
        <w:pStyle w:val="BodyText"/>
      </w:pPr>
    </w:p>
    <w:p>
      <w:pPr>
        <w:pStyle w:val="BodyText"/>
        <w:spacing w:line="360" w:lineRule="auto" w:before="142"/>
        <w:ind w:left="152" w:right="115"/>
        <w:jc w:val="both"/>
      </w:pPr>
      <w:r>
        <w:rPr/>
        <w:t>A la Facultad de Medicina Veterinaria y Zootecnia, Centro de Investigación y Estudios Avanzados en Salud Animal (CIESA), por el conocimiento adquirido con su cuerpo Académico e Instalaciones.</w:t>
      </w:r>
    </w:p>
    <w:p>
      <w:pPr>
        <w:pStyle w:val="BodyText"/>
      </w:pPr>
    </w:p>
    <w:p>
      <w:pPr>
        <w:pStyle w:val="BodyText"/>
        <w:spacing w:line="360" w:lineRule="auto" w:before="142"/>
        <w:ind w:left="152" w:right="117"/>
        <w:jc w:val="both"/>
      </w:pPr>
      <w:r>
        <w:rPr/>
        <w:t>Al CONACYT, por el apoyo como becario dentro de Programa de Maestría en Ciencias Agropecuarias y Recursos Naturales.</w:t>
      </w:r>
    </w:p>
    <w:p>
      <w:pPr>
        <w:pStyle w:val="BodyText"/>
      </w:pPr>
    </w:p>
    <w:p>
      <w:pPr>
        <w:pStyle w:val="BodyText"/>
        <w:spacing w:before="142"/>
        <w:ind w:left="152"/>
        <w:jc w:val="both"/>
      </w:pPr>
      <w:r>
        <w:rPr/>
        <w:t>Al PCARN por su apoyo en todos trámites y documentos semestre a semestre.</w:t>
      </w:r>
    </w:p>
    <w:p>
      <w:pPr>
        <w:pStyle w:val="BodyText"/>
      </w:pPr>
    </w:p>
    <w:p>
      <w:pPr>
        <w:pStyle w:val="BodyText"/>
      </w:pPr>
    </w:p>
    <w:p>
      <w:pPr>
        <w:spacing w:line="360" w:lineRule="auto" w:before="0"/>
        <w:ind w:left="152" w:right="103" w:firstLine="0"/>
        <w:jc w:val="both"/>
        <w:rPr>
          <w:sz w:val="24"/>
        </w:rPr>
      </w:pPr>
      <w:r>
        <w:rPr>
          <w:sz w:val="24"/>
        </w:rPr>
        <w:t>La realización de esta tesis fue posible gracias al financiamiento recibido por parte del proyecto con Financiamiento UAEM intitulado </w:t>
      </w:r>
      <w:r>
        <w:rPr>
          <w:b/>
          <w:sz w:val="24"/>
        </w:rPr>
        <w:t>“Epidemiología, aislamiento y caracterización molecular de </w:t>
      </w:r>
      <w:r>
        <w:rPr>
          <w:b/>
          <w:i/>
          <w:sz w:val="24"/>
        </w:rPr>
        <w:t>Corynebacterium pseudotuberculosis </w:t>
      </w:r>
      <w:r>
        <w:rPr>
          <w:b/>
          <w:sz w:val="24"/>
        </w:rPr>
        <w:t>en cuadros clínicos de Linfadenitis caseosa en ovinos en sistema de producción intensiva: aspectos epidemiológicos y microbiológicos” </w:t>
      </w:r>
      <w:r>
        <w:rPr>
          <w:sz w:val="24"/>
        </w:rPr>
        <w:t>con clave: 3249/2012U, y el proyecto intitulado </w:t>
      </w:r>
      <w:r>
        <w:rPr>
          <w:b/>
          <w:sz w:val="24"/>
        </w:rPr>
        <w:t>Identificación de genes de patogenicidad de </w:t>
      </w:r>
      <w:r>
        <w:rPr>
          <w:b/>
          <w:i/>
          <w:sz w:val="24"/>
        </w:rPr>
        <w:t>Corynebacterium pseudotuberculosis </w:t>
      </w:r>
      <w:r>
        <w:rPr>
          <w:b/>
          <w:sz w:val="24"/>
        </w:rPr>
        <w:t>y desarrollo de una bacterina multicomponente, </w:t>
      </w:r>
      <w:r>
        <w:rPr>
          <w:sz w:val="24"/>
        </w:rPr>
        <w:t>ambos bajo la responsabilidad del Dr. Roberto Montes de Oca</w:t>
      </w:r>
      <w:r>
        <w:rPr>
          <w:spacing w:val="-13"/>
          <w:sz w:val="24"/>
        </w:rPr>
        <w:t> </w:t>
      </w:r>
      <w:r>
        <w:rPr>
          <w:sz w:val="24"/>
        </w:rPr>
        <w:t>Jiménez.</w:t>
      </w:r>
    </w:p>
    <w:p>
      <w:pPr>
        <w:spacing w:after="0" w:line="360" w:lineRule="auto"/>
        <w:jc w:val="both"/>
        <w:rPr>
          <w:sz w:val="24"/>
        </w:rPr>
        <w:sectPr>
          <w:pgSz w:w="12240" w:h="15840"/>
          <w:pgMar w:header="0" w:footer="1656" w:top="1500" w:bottom="1840" w:left="1720" w:right="1420"/>
        </w:sectPr>
      </w:pPr>
    </w:p>
    <w:p>
      <w:pPr>
        <w:pStyle w:val="BodyText"/>
        <w:spacing w:before="2"/>
        <w:rPr>
          <w:sz w:val="21"/>
        </w:rPr>
      </w:pPr>
    </w:p>
    <w:p>
      <w:pPr>
        <w:spacing w:before="65"/>
        <w:ind w:left="181" w:right="139" w:firstLine="0"/>
        <w:jc w:val="center"/>
        <w:rPr>
          <w:sz w:val="28"/>
        </w:rPr>
      </w:pPr>
      <w:r>
        <w:rPr>
          <w:sz w:val="28"/>
        </w:rPr>
        <w:t>INDICE</w:t>
      </w:r>
    </w:p>
    <w:p>
      <w:pPr>
        <w:spacing w:after="0"/>
        <w:jc w:val="center"/>
        <w:rPr>
          <w:sz w:val="28"/>
        </w:rPr>
        <w:sectPr>
          <w:pgSz w:w="12240" w:h="15840"/>
          <w:pgMar w:header="0" w:footer="1656" w:top="1500" w:bottom="2230" w:left="1720" w:right="1420"/>
        </w:sectPr>
      </w:pPr>
    </w:p>
    <w:sdt>
      <w:sdtPr>
        <w:docPartObj>
          <w:docPartGallery w:val="Table of Contents"/>
          <w:docPartUnique/>
        </w:docPartObj>
      </w:sdtPr>
      <w:sdtEndPr/>
      <w:sdtContent>
        <w:p>
          <w:pPr>
            <w:pStyle w:val="TOC1"/>
            <w:tabs>
              <w:tab w:pos="8981" w:val="right" w:leader="dot"/>
            </w:tabs>
            <w:spacing w:before="559"/>
            <w:rPr>
              <w:rFonts w:ascii="Calibri"/>
            </w:rPr>
          </w:pPr>
          <w:hyperlink w:history="true" w:anchor="_bookmark0">
            <w:r>
              <w:rPr/>
              <w:t>DEDICATORIAS</w:t>
            </w:r>
            <w:r>
              <w:rPr>
                <w:rFonts w:ascii="Calibri"/>
              </w:rPr>
              <w:tab/>
              <w:t>i</w:t>
            </w:r>
          </w:hyperlink>
        </w:p>
        <w:p>
          <w:pPr>
            <w:pStyle w:val="TOC1"/>
            <w:tabs>
              <w:tab w:pos="8981" w:val="right" w:leader="dot"/>
            </w:tabs>
            <w:rPr>
              <w:rFonts w:ascii="Calibri"/>
            </w:rPr>
          </w:pPr>
          <w:hyperlink w:history="true" w:anchor="_bookmark1">
            <w:r>
              <w:rPr/>
              <w:t>RESUMEN</w:t>
            </w:r>
            <w:r>
              <w:rPr>
                <w:rFonts w:ascii="Calibri"/>
              </w:rPr>
              <w:tab/>
              <w:t>ii</w:t>
            </w:r>
          </w:hyperlink>
        </w:p>
        <w:p>
          <w:pPr>
            <w:pStyle w:val="TOC1"/>
            <w:tabs>
              <w:tab w:pos="8982" w:val="right" w:leader="dot"/>
            </w:tabs>
            <w:spacing w:before="142"/>
            <w:rPr>
              <w:rFonts w:ascii="Calibri"/>
            </w:rPr>
          </w:pPr>
          <w:hyperlink w:history="true" w:anchor="_bookmark2">
            <w:r>
              <w:rPr/>
              <w:t>SUMMARY</w:t>
            </w:r>
            <w:r>
              <w:rPr>
                <w:rFonts w:ascii="Calibri"/>
              </w:rPr>
              <w:tab/>
              <w:t>iv</w:t>
            </w:r>
          </w:hyperlink>
        </w:p>
        <w:p>
          <w:pPr>
            <w:pStyle w:val="TOC1"/>
            <w:tabs>
              <w:tab w:pos="8982" w:val="right" w:leader="dot"/>
            </w:tabs>
            <w:rPr>
              <w:rFonts w:ascii="Calibri"/>
            </w:rPr>
          </w:pPr>
          <w:hyperlink w:history="true" w:anchor="_bookmark3">
            <w:r>
              <w:rPr/>
              <w:t>AGRADECIMIENTOS</w:t>
            </w:r>
            <w:r>
              <w:rPr>
                <w:rFonts w:ascii="Calibri"/>
              </w:rPr>
              <w:tab/>
              <w:t>v</w:t>
            </w:r>
          </w:hyperlink>
        </w:p>
        <w:p>
          <w:pPr>
            <w:pStyle w:val="TOC1"/>
            <w:tabs>
              <w:tab w:pos="8981" w:val="right" w:leader="dot"/>
            </w:tabs>
            <w:spacing w:before="142"/>
            <w:rPr>
              <w:rFonts w:ascii="Calibri" w:hAnsi="Calibri"/>
            </w:rPr>
          </w:pPr>
          <w:hyperlink w:history="true" w:anchor="_bookmark4">
            <w:r>
              <w:rPr/>
              <w:t>ÍNDICE</w:t>
            </w:r>
            <w:r>
              <w:rPr>
                <w:spacing w:val="-1"/>
              </w:rPr>
              <w:t> </w:t>
            </w:r>
            <w:r>
              <w:rPr/>
              <w:t>DE</w:t>
            </w:r>
            <w:r>
              <w:rPr>
                <w:spacing w:val="-1"/>
              </w:rPr>
              <w:t> </w:t>
            </w:r>
            <w:r>
              <w:rPr/>
              <w:t>CUADROS</w:t>
            </w:r>
            <w:r>
              <w:rPr>
                <w:rFonts w:ascii="Calibri" w:hAnsi="Calibri"/>
              </w:rPr>
              <w:tab/>
              <w:t>viii</w:t>
            </w:r>
          </w:hyperlink>
        </w:p>
        <w:p>
          <w:pPr>
            <w:pStyle w:val="TOC1"/>
            <w:tabs>
              <w:tab w:pos="8981" w:val="right" w:leader="dot"/>
            </w:tabs>
            <w:spacing w:before="140"/>
            <w:rPr>
              <w:rFonts w:ascii="Calibri" w:hAnsi="Calibri"/>
            </w:rPr>
          </w:pPr>
          <w:hyperlink w:history="true" w:anchor="_bookmark5">
            <w:r>
              <w:rPr/>
              <w:t>ÍNDICE</w:t>
            </w:r>
            <w:r>
              <w:rPr>
                <w:spacing w:val="-1"/>
              </w:rPr>
              <w:t> </w:t>
            </w:r>
            <w:r>
              <w:rPr/>
              <w:t>DE</w:t>
            </w:r>
            <w:r>
              <w:rPr>
                <w:spacing w:val="-1"/>
              </w:rPr>
              <w:t> </w:t>
            </w:r>
            <w:r>
              <w:rPr/>
              <w:t>FIGURAS</w:t>
            </w:r>
            <w:r>
              <w:rPr>
                <w:rFonts w:ascii="Calibri" w:hAnsi="Calibri"/>
              </w:rPr>
              <w:tab/>
              <w:t>viii</w:t>
            </w:r>
          </w:hyperlink>
        </w:p>
        <w:p>
          <w:pPr>
            <w:pStyle w:val="TOC1"/>
            <w:tabs>
              <w:tab w:pos="8982" w:val="right" w:leader="dot"/>
            </w:tabs>
            <w:rPr>
              <w:rFonts w:ascii="Calibri" w:hAnsi="Calibri"/>
            </w:rPr>
          </w:pPr>
          <w:hyperlink w:history="true" w:anchor="_bookmark6">
            <w:r>
              <w:rPr/>
              <w:t>INTRODUCCIÓN</w:t>
            </w:r>
            <w:r>
              <w:rPr>
                <w:rFonts w:ascii="Calibri" w:hAnsi="Calibri"/>
              </w:rPr>
              <w:tab/>
              <w:t>1</w:t>
            </w:r>
          </w:hyperlink>
        </w:p>
        <w:p>
          <w:pPr>
            <w:pStyle w:val="TOC1"/>
            <w:tabs>
              <w:tab w:pos="8982" w:val="right" w:leader="dot"/>
            </w:tabs>
            <w:spacing w:before="142"/>
            <w:rPr>
              <w:rFonts w:ascii="Calibri"/>
            </w:rPr>
          </w:pPr>
          <w:hyperlink w:history="true" w:anchor="_bookmark7">
            <w:r>
              <w:rPr/>
              <w:t>ANTECEDENTES</w:t>
            </w:r>
            <w:r>
              <w:rPr>
                <w:rFonts w:ascii="Calibri"/>
              </w:rPr>
              <w:tab/>
              <w:t>4</w:t>
            </w:r>
          </w:hyperlink>
        </w:p>
        <w:p>
          <w:pPr>
            <w:pStyle w:val="TOC2"/>
            <w:tabs>
              <w:tab w:pos="8982" w:val="right" w:leader="dot"/>
            </w:tabs>
            <w:rPr>
              <w:rFonts w:ascii="Calibri" w:hAnsi="Calibri"/>
            </w:rPr>
          </w:pPr>
          <w:hyperlink w:history="true" w:anchor="_bookmark8">
            <w:r>
              <w:rPr/>
              <w:t>Taxonomía</w:t>
            </w:r>
            <w:r>
              <w:rPr>
                <w:rFonts w:ascii="Calibri" w:hAnsi="Calibri"/>
              </w:rPr>
              <w:tab/>
              <w:t>5</w:t>
            </w:r>
          </w:hyperlink>
        </w:p>
        <w:p>
          <w:pPr>
            <w:pStyle w:val="TOC2"/>
            <w:tabs>
              <w:tab w:pos="8982" w:val="right" w:leader="dot"/>
            </w:tabs>
            <w:rPr>
              <w:rFonts w:ascii="Calibri" w:hAnsi="Calibri"/>
            </w:rPr>
          </w:pPr>
          <w:hyperlink w:history="true" w:anchor="_bookmark9">
            <w:r>
              <w:rPr/>
              <w:t>Inmunopatogénesis</w:t>
            </w:r>
            <w:r>
              <w:rPr>
                <w:rFonts w:ascii="Calibri" w:hAnsi="Calibri"/>
              </w:rPr>
              <w:tab/>
              <w:t>6</w:t>
            </w:r>
          </w:hyperlink>
        </w:p>
        <w:p>
          <w:pPr>
            <w:pStyle w:val="TOC2"/>
            <w:tabs>
              <w:tab w:pos="8983" w:val="right" w:leader="dot"/>
            </w:tabs>
            <w:spacing w:before="142"/>
            <w:rPr>
              <w:rFonts w:ascii="Calibri"/>
            </w:rPr>
          </w:pPr>
          <w:hyperlink w:history="true" w:anchor="_bookmark10">
            <w:r>
              <w:rPr/>
              <w:t>Prevalencia</w:t>
            </w:r>
            <w:r>
              <w:rPr>
                <w:rFonts w:ascii="Calibri"/>
              </w:rPr>
              <w:tab/>
              <w:t>10</w:t>
            </w:r>
          </w:hyperlink>
        </w:p>
        <w:p>
          <w:pPr>
            <w:pStyle w:val="TOC2"/>
            <w:tabs>
              <w:tab w:pos="8983" w:val="right" w:leader="dot"/>
            </w:tabs>
            <w:rPr>
              <w:rFonts w:ascii="Calibri" w:hAnsi="Calibri"/>
            </w:rPr>
          </w:pPr>
          <w:hyperlink w:history="true" w:anchor="_bookmark11">
            <w:r>
              <w:rPr/>
              <w:t>Importancia</w:t>
            </w:r>
            <w:r>
              <w:rPr>
                <w:spacing w:val="-2"/>
              </w:rPr>
              <w:t> </w:t>
            </w:r>
            <w:r>
              <w:rPr/>
              <w:t>económica</w:t>
            </w:r>
            <w:r>
              <w:rPr>
                <w:rFonts w:ascii="Calibri" w:hAnsi="Calibri"/>
              </w:rPr>
              <w:tab/>
              <w:t>12</w:t>
            </w:r>
          </w:hyperlink>
        </w:p>
        <w:p>
          <w:pPr>
            <w:pStyle w:val="TOC2"/>
            <w:tabs>
              <w:tab w:pos="8983" w:val="right" w:leader="dot"/>
            </w:tabs>
            <w:rPr>
              <w:rFonts w:ascii="Calibri" w:hAnsi="Calibri"/>
            </w:rPr>
          </w:pPr>
          <w:hyperlink w:history="true" w:anchor="_bookmark12">
            <w:r>
              <w:rPr/>
              <w:t>Diagnóstico</w:t>
            </w:r>
            <w:r>
              <w:rPr>
                <w:rFonts w:ascii="Calibri" w:hAnsi="Calibri"/>
              </w:rPr>
              <w:tab/>
              <w:t>12</w:t>
            </w:r>
          </w:hyperlink>
        </w:p>
        <w:p>
          <w:pPr>
            <w:pStyle w:val="TOC2"/>
            <w:tabs>
              <w:tab w:pos="8983" w:val="right" w:leader="dot"/>
            </w:tabs>
            <w:spacing w:before="142"/>
            <w:rPr>
              <w:rFonts w:ascii="Calibri" w:hAnsi="Calibri"/>
            </w:rPr>
          </w:pPr>
          <w:hyperlink w:history="true" w:anchor="_bookmark13">
            <w:r>
              <w:rPr/>
              <w:t>Diagnóstico</w:t>
            </w:r>
            <w:r>
              <w:rPr>
                <w:spacing w:val="-2"/>
              </w:rPr>
              <w:t> </w:t>
            </w:r>
            <w:r>
              <w:rPr/>
              <w:t>molecular</w:t>
            </w:r>
            <w:r>
              <w:rPr>
                <w:rFonts w:ascii="Calibri" w:hAnsi="Calibri"/>
              </w:rPr>
              <w:tab/>
              <w:t>15</w:t>
            </w:r>
          </w:hyperlink>
        </w:p>
        <w:p>
          <w:pPr>
            <w:pStyle w:val="TOC3"/>
            <w:tabs>
              <w:tab w:pos="8983" w:val="right" w:leader="dot"/>
            </w:tabs>
            <w:rPr>
              <w:rFonts w:ascii="Calibri" w:hAnsi="Calibri"/>
            </w:rPr>
          </w:pPr>
          <w:hyperlink w:history="true" w:anchor="_bookmark14">
            <w:r>
              <w:rPr/>
              <w:t>Secuenciación del gen</w:t>
            </w:r>
            <w:r>
              <w:rPr>
                <w:spacing w:val="-1"/>
              </w:rPr>
              <w:t> </w:t>
            </w:r>
            <w:r>
              <w:rPr>
                <w:i/>
              </w:rPr>
              <w:t>16s</w:t>
            </w:r>
            <w:r>
              <w:rPr>
                <w:rFonts w:ascii="Calibri" w:hAnsi="Calibri"/>
              </w:rPr>
              <w:tab/>
              <w:t>15</w:t>
            </w:r>
          </w:hyperlink>
        </w:p>
        <w:p>
          <w:pPr>
            <w:pStyle w:val="TOC3"/>
            <w:tabs>
              <w:tab w:pos="8983" w:val="right" w:leader="dot"/>
            </w:tabs>
            <w:rPr>
              <w:rFonts w:ascii="Calibri" w:hAnsi="Calibri"/>
            </w:rPr>
          </w:pPr>
          <w:hyperlink w:history="true" w:anchor="_bookmark15">
            <w:r>
              <w:rPr/>
              <w:t>Secuenciación del gen</w:t>
            </w:r>
            <w:r>
              <w:rPr>
                <w:spacing w:val="-1"/>
              </w:rPr>
              <w:t> </w:t>
            </w:r>
            <w:r>
              <w:rPr>
                <w:i/>
              </w:rPr>
              <w:t>rpoB</w:t>
            </w:r>
            <w:r>
              <w:rPr>
                <w:rFonts w:ascii="Calibri" w:hAnsi="Calibri"/>
              </w:rPr>
              <w:tab/>
              <w:t>16</w:t>
            </w:r>
          </w:hyperlink>
        </w:p>
        <w:p>
          <w:pPr>
            <w:pStyle w:val="TOC3"/>
            <w:tabs>
              <w:tab w:pos="8983" w:val="right" w:leader="dot"/>
            </w:tabs>
            <w:spacing w:before="142"/>
            <w:rPr>
              <w:rFonts w:ascii="Calibri" w:hAnsi="Calibri"/>
            </w:rPr>
          </w:pPr>
          <w:hyperlink w:history="true" w:anchor="_bookmark16">
            <w:r>
              <w:rPr/>
              <w:t>Secuenciación o identificación del</w:t>
            </w:r>
            <w:r>
              <w:rPr>
                <w:spacing w:val="-4"/>
              </w:rPr>
              <w:t> </w:t>
            </w:r>
            <w:r>
              <w:rPr/>
              <w:t>gen </w:t>
            </w:r>
            <w:r>
              <w:rPr>
                <w:i/>
              </w:rPr>
              <w:t>pld</w:t>
            </w:r>
            <w:r>
              <w:rPr>
                <w:rFonts w:ascii="Calibri" w:hAnsi="Calibri"/>
              </w:rPr>
              <w:tab/>
              <w:t>16</w:t>
            </w:r>
          </w:hyperlink>
        </w:p>
        <w:p>
          <w:pPr>
            <w:pStyle w:val="TOC2"/>
            <w:tabs>
              <w:tab w:pos="8983" w:val="right" w:leader="dot"/>
            </w:tabs>
            <w:rPr>
              <w:rFonts w:ascii="Calibri" w:hAnsi="Calibri"/>
            </w:rPr>
          </w:pPr>
          <w:hyperlink w:history="true" w:anchor="_bookmark17">
            <w:r>
              <w:rPr/>
              <w:t>Secuenciación completa</w:t>
            </w:r>
            <w:r>
              <w:rPr>
                <w:spacing w:val="-4"/>
              </w:rPr>
              <w:t> </w:t>
            </w:r>
            <w:r>
              <w:rPr/>
              <w:t>del genoma</w:t>
            </w:r>
            <w:r>
              <w:rPr>
                <w:rFonts w:ascii="Calibri" w:hAnsi="Calibri"/>
              </w:rPr>
              <w:tab/>
              <w:t>17</w:t>
            </w:r>
          </w:hyperlink>
        </w:p>
        <w:p>
          <w:pPr>
            <w:pStyle w:val="TOC2"/>
            <w:tabs>
              <w:tab w:pos="8983" w:val="right" w:leader="dot"/>
            </w:tabs>
            <w:rPr>
              <w:rFonts w:ascii="Calibri" w:hAnsi="Calibri"/>
            </w:rPr>
          </w:pPr>
          <w:hyperlink w:history="true" w:anchor="_bookmark18">
            <w:r>
              <w:rPr/>
              <w:t>Genes, proteínas</w:t>
            </w:r>
            <w:r>
              <w:rPr>
                <w:spacing w:val="-1"/>
              </w:rPr>
              <w:t> </w:t>
            </w:r>
            <w:r>
              <w:rPr/>
              <w:t>y</w:t>
            </w:r>
            <w:r>
              <w:rPr>
                <w:spacing w:val="-3"/>
              </w:rPr>
              <w:t> </w:t>
            </w:r>
            <w:r>
              <w:rPr/>
              <w:t>vacunas</w:t>
            </w:r>
            <w:r>
              <w:rPr>
                <w:rFonts w:ascii="Calibri" w:hAnsi="Calibri"/>
              </w:rPr>
              <w:tab/>
              <w:t>17</w:t>
            </w:r>
          </w:hyperlink>
        </w:p>
        <w:p>
          <w:pPr>
            <w:pStyle w:val="TOC2"/>
            <w:tabs>
              <w:tab w:pos="8983" w:val="right" w:leader="dot"/>
            </w:tabs>
            <w:spacing w:before="142"/>
            <w:rPr>
              <w:rFonts w:ascii="Calibri"/>
            </w:rPr>
          </w:pPr>
          <w:hyperlink w:history="true" w:anchor="_bookmark20">
            <w:r>
              <w:rPr/>
              <w:t>Estudios recientes</w:t>
            </w:r>
            <w:r>
              <w:rPr>
                <w:rFonts w:ascii="Calibri"/>
              </w:rPr>
              <w:tab/>
              <w:t>20</w:t>
            </w:r>
          </w:hyperlink>
        </w:p>
        <w:p>
          <w:pPr>
            <w:pStyle w:val="TOC2"/>
            <w:tabs>
              <w:tab w:pos="8983" w:val="right" w:leader="dot"/>
            </w:tabs>
            <w:rPr>
              <w:rFonts w:ascii="Calibri" w:hAnsi="Calibri"/>
            </w:rPr>
          </w:pPr>
          <w:hyperlink w:history="true" w:anchor="_bookmark22">
            <w:r>
              <w:rPr/>
              <w:t>Variaciones</w:t>
            </w:r>
            <w:r>
              <w:rPr>
                <w:spacing w:val="-2"/>
              </w:rPr>
              <w:t> </w:t>
            </w:r>
            <w:r>
              <w:rPr/>
              <w:t>genotípicas encontradas</w:t>
            </w:r>
            <w:r>
              <w:rPr>
                <w:rFonts w:ascii="Calibri" w:hAnsi="Calibri"/>
              </w:rPr>
              <w:tab/>
              <w:t>24</w:t>
            </w:r>
          </w:hyperlink>
        </w:p>
        <w:p>
          <w:pPr>
            <w:pStyle w:val="TOC1"/>
            <w:tabs>
              <w:tab w:pos="8983" w:val="right" w:leader="dot"/>
            </w:tabs>
            <w:spacing w:before="140"/>
            <w:rPr>
              <w:rFonts w:ascii="Calibri" w:hAnsi="Calibri"/>
            </w:rPr>
          </w:pPr>
          <w:hyperlink w:history="true" w:anchor="_bookmark23">
            <w:r>
              <w:rPr/>
              <w:t>JUSTIFICACIÓN</w:t>
            </w:r>
            <w:r>
              <w:rPr>
                <w:rFonts w:ascii="Calibri" w:hAnsi="Calibri"/>
              </w:rPr>
              <w:tab/>
              <w:t>26</w:t>
            </w:r>
          </w:hyperlink>
        </w:p>
        <w:p>
          <w:pPr>
            <w:pStyle w:val="TOC1"/>
            <w:tabs>
              <w:tab w:pos="8983" w:val="right" w:leader="dot"/>
            </w:tabs>
            <w:spacing w:before="142"/>
            <w:rPr>
              <w:rFonts w:ascii="Calibri"/>
            </w:rPr>
          </w:pPr>
          <w:hyperlink w:history="true" w:anchor="_bookmark24">
            <w:r>
              <w:rPr/>
              <w:t>OBJETIVOS</w:t>
            </w:r>
            <w:r>
              <w:rPr>
                <w:rFonts w:ascii="Calibri"/>
              </w:rPr>
              <w:tab/>
              <w:t>28</w:t>
            </w:r>
          </w:hyperlink>
        </w:p>
        <w:p>
          <w:pPr>
            <w:pStyle w:val="TOC1"/>
            <w:tabs>
              <w:tab w:pos="8983" w:val="right" w:leader="dot"/>
            </w:tabs>
            <w:rPr>
              <w:rFonts w:ascii="Calibri"/>
            </w:rPr>
          </w:pPr>
          <w:hyperlink w:history="true" w:anchor="_bookmark25">
            <w:r>
              <w:rPr/>
              <w:t>HIPOTESIS</w:t>
            </w:r>
            <w:r>
              <w:rPr>
                <w:rFonts w:ascii="Calibri"/>
              </w:rPr>
              <w:tab/>
              <w:t>29</w:t>
            </w:r>
          </w:hyperlink>
        </w:p>
        <w:p>
          <w:pPr>
            <w:pStyle w:val="TOC1"/>
            <w:tabs>
              <w:tab w:pos="8983" w:val="right" w:leader="dot"/>
            </w:tabs>
            <w:spacing w:before="142"/>
            <w:rPr>
              <w:rFonts w:ascii="Calibri"/>
            </w:rPr>
          </w:pPr>
          <w:hyperlink w:history="true" w:anchor="_bookmark26">
            <w:r>
              <w:rPr/>
              <w:t>MATERIAL</w:t>
            </w:r>
            <w:r>
              <w:rPr>
                <w:spacing w:val="-1"/>
              </w:rPr>
              <w:t> </w:t>
            </w:r>
            <w:r>
              <w:rPr/>
              <w:t>Y</w:t>
            </w:r>
            <w:r>
              <w:rPr>
                <w:spacing w:val="-1"/>
              </w:rPr>
              <w:t> </w:t>
            </w:r>
            <w:r>
              <w:rPr/>
              <w:t>METODOS</w:t>
            </w:r>
            <w:r>
              <w:rPr>
                <w:rFonts w:ascii="Calibri"/>
              </w:rPr>
              <w:tab/>
              <w:t>30</w:t>
            </w:r>
          </w:hyperlink>
        </w:p>
        <w:p>
          <w:pPr>
            <w:pStyle w:val="TOC1"/>
            <w:tabs>
              <w:tab w:pos="8983" w:val="right" w:leader="dot"/>
            </w:tabs>
            <w:rPr>
              <w:rFonts w:ascii="Calibri"/>
            </w:rPr>
          </w:pPr>
          <w:hyperlink w:history="true" w:anchor="_bookmark29">
            <w:r>
              <w:rPr/>
              <w:t>RESULTADOS</w:t>
            </w:r>
            <w:r>
              <w:rPr>
                <w:rFonts w:ascii="Calibri"/>
              </w:rPr>
              <w:tab/>
              <w:t>38</w:t>
            </w:r>
          </w:hyperlink>
        </w:p>
        <w:p>
          <w:pPr>
            <w:pStyle w:val="TOC1"/>
            <w:tabs>
              <w:tab w:pos="8983" w:val="right" w:leader="dot"/>
            </w:tabs>
            <w:rPr>
              <w:rFonts w:ascii="Calibri" w:hAnsi="Calibri"/>
            </w:rPr>
          </w:pPr>
          <w:hyperlink w:history="true" w:anchor="_bookmark49">
            <w:r>
              <w:rPr/>
              <w:t>DISCUSIÓN</w:t>
            </w:r>
            <w:r>
              <w:rPr>
                <w:rFonts w:ascii="Calibri" w:hAnsi="Calibri"/>
              </w:rPr>
              <w:tab/>
              <w:t>52</w:t>
            </w:r>
          </w:hyperlink>
        </w:p>
        <w:p>
          <w:pPr>
            <w:pStyle w:val="TOC1"/>
            <w:tabs>
              <w:tab w:pos="8983" w:val="right" w:leader="dot"/>
            </w:tabs>
            <w:spacing w:before="311"/>
            <w:rPr>
              <w:rFonts w:ascii="Calibri"/>
            </w:rPr>
          </w:pPr>
          <w:hyperlink w:history="true" w:anchor="_bookmark50">
            <w:r>
              <w:rPr/>
              <w:t>CONCLUSIONES</w:t>
            </w:r>
            <w:r>
              <w:rPr>
                <w:rFonts w:ascii="Calibri"/>
              </w:rPr>
              <w:tab/>
              <w:t>57</w:t>
            </w:r>
          </w:hyperlink>
        </w:p>
        <w:p>
          <w:pPr>
            <w:pStyle w:val="TOC1"/>
            <w:tabs>
              <w:tab w:pos="8983" w:val="right" w:leader="dot"/>
            </w:tabs>
            <w:rPr>
              <w:rFonts w:ascii="Calibri" w:hAnsi="Calibri"/>
            </w:rPr>
          </w:pPr>
          <w:hyperlink w:history="true" w:anchor="_bookmark51">
            <w:r>
              <w:rPr/>
              <w:t>REFERENCIAS</w:t>
            </w:r>
            <w:r>
              <w:rPr>
                <w:spacing w:val="-1"/>
              </w:rPr>
              <w:t> </w:t>
            </w:r>
            <w:r>
              <w:rPr/>
              <w:t>BIBLIOGRÁFICAS</w:t>
            </w:r>
            <w:r>
              <w:rPr>
                <w:rFonts w:ascii="Calibri" w:hAnsi="Calibri"/>
              </w:rPr>
              <w:tab/>
              <w:t>58</w:t>
            </w:r>
          </w:hyperlink>
        </w:p>
        <w:p>
          <w:pPr>
            <w:pStyle w:val="TOC1"/>
            <w:tabs>
              <w:tab w:pos="8983" w:val="right" w:leader="dot"/>
            </w:tabs>
            <w:spacing w:before="142"/>
            <w:rPr>
              <w:rFonts w:ascii="Calibri"/>
            </w:rPr>
          </w:pPr>
          <w:hyperlink w:history="true" w:anchor="_bookmark52">
            <w:r>
              <w:rPr/>
              <w:t>ANEXOS</w:t>
            </w:r>
            <w:r>
              <w:rPr>
                <w:rFonts w:ascii="Calibri"/>
              </w:rPr>
              <w:tab/>
              <w:t>71</w:t>
            </w:r>
          </w:hyperlink>
        </w:p>
      </w:sdtContent>
    </w:sdt>
    <w:p>
      <w:pPr>
        <w:spacing w:after="0"/>
        <w:rPr>
          <w:rFonts w:ascii="Calibri"/>
        </w:rPr>
        <w:sectPr>
          <w:type w:val="continuous"/>
          <w:pgSz w:w="12240" w:h="15840"/>
          <w:pgMar w:top="1500" w:bottom="2230" w:left="1720" w:right="1420"/>
        </w:sectPr>
      </w:pPr>
    </w:p>
    <w:p>
      <w:pPr>
        <w:pStyle w:val="BodyText"/>
        <w:spacing w:before="3"/>
        <w:rPr>
          <w:rFonts w:ascii="Calibri"/>
          <w:sz w:val="25"/>
        </w:rPr>
      </w:pPr>
    </w:p>
    <w:p>
      <w:pPr>
        <w:pStyle w:val="Heading1"/>
        <w:spacing w:before="0"/>
        <w:jc w:val="left"/>
      </w:pPr>
      <w:bookmarkStart w:name="_bookmark4" w:id="5"/>
      <w:bookmarkEnd w:id="5"/>
      <w:r>
        <w:rPr>
          <w:b w:val="0"/>
        </w:rPr>
      </w:r>
      <w:r>
        <w:rPr/>
        <w:t>ÍNDICE DE CUADROS</w:t>
      </w:r>
    </w:p>
    <w:p>
      <w:pPr>
        <w:tabs>
          <w:tab w:pos="8757" w:val="left" w:leader="dot"/>
        </w:tabs>
        <w:spacing w:line="276" w:lineRule="auto" w:before="51"/>
        <w:ind w:left="152" w:right="114" w:firstLine="0"/>
        <w:jc w:val="left"/>
        <w:rPr>
          <w:rFonts w:ascii="Calibri"/>
          <w:sz w:val="22"/>
        </w:rPr>
      </w:pPr>
      <w:hyperlink w:history="true" w:anchor="_bookmark19">
        <w:r>
          <w:rPr>
            <w:sz w:val="22"/>
          </w:rPr>
          <w:t>Cuadro 1 Genes de </w:t>
        </w:r>
        <w:r>
          <w:rPr>
            <w:i/>
            <w:sz w:val="22"/>
          </w:rPr>
          <w:t>Corynebacterium pseudotuberculosis </w:t>
        </w:r>
        <w:r>
          <w:rPr>
            <w:sz w:val="22"/>
          </w:rPr>
          <w:t>depositados en el Gen Pept</w:t>
        </w:r>
      </w:hyperlink>
      <w:r>
        <w:rPr>
          <w:sz w:val="22"/>
        </w:rPr>
        <w:t> </w:t>
      </w:r>
      <w:hyperlink w:history="true" w:anchor="_bookmark19">
        <w:r>
          <w:rPr>
            <w:sz w:val="22"/>
          </w:rPr>
          <w:t>(NCBI)</w:t>
        </w:r>
        <w:r>
          <w:rPr>
            <w:rFonts w:ascii="Calibri"/>
            <w:sz w:val="22"/>
          </w:rPr>
          <w:tab/>
          <w:t>19</w:t>
        </w:r>
      </w:hyperlink>
    </w:p>
    <w:p>
      <w:pPr>
        <w:tabs>
          <w:tab w:pos="8757" w:val="left" w:leader="dot"/>
        </w:tabs>
        <w:spacing w:before="0"/>
        <w:ind w:left="152" w:right="0" w:firstLine="0"/>
        <w:jc w:val="left"/>
        <w:rPr>
          <w:rFonts w:ascii="Calibri" w:hAnsi="Calibri"/>
          <w:sz w:val="22"/>
        </w:rPr>
      </w:pPr>
      <w:hyperlink w:history="true" w:anchor="_bookmark21">
        <w:r>
          <w:rPr>
            <w:sz w:val="22"/>
          </w:rPr>
          <w:t>Cuadro 2 Lista de las 11 nuevas proteínas de</w:t>
        </w:r>
        <w:r>
          <w:rPr>
            <w:spacing w:val="-7"/>
            <w:sz w:val="22"/>
          </w:rPr>
          <w:t> </w:t>
        </w:r>
        <w:r>
          <w:rPr>
            <w:sz w:val="22"/>
          </w:rPr>
          <w:t>C.</w:t>
        </w:r>
        <w:r>
          <w:rPr>
            <w:spacing w:val="-4"/>
            <w:sz w:val="22"/>
          </w:rPr>
          <w:t> </w:t>
        </w:r>
        <w:r>
          <w:rPr>
            <w:sz w:val="22"/>
          </w:rPr>
          <w:t>pseudotuberculosis</w:t>
        </w:r>
        <w:r>
          <w:rPr>
            <w:rFonts w:ascii="Calibri" w:hAnsi="Calibri"/>
            <w:sz w:val="22"/>
          </w:rPr>
          <w:tab/>
          <w:t>23</w:t>
        </w:r>
      </w:hyperlink>
    </w:p>
    <w:p>
      <w:pPr>
        <w:tabs>
          <w:tab w:pos="8757" w:val="left" w:leader="dot"/>
        </w:tabs>
        <w:spacing w:before="41"/>
        <w:ind w:left="152" w:right="0" w:firstLine="0"/>
        <w:jc w:val="left"/>
        <w:rPr>
          <w:rFonts w:ascii="Calibri"/>
          <w:sz w:val="22"/>
        </w:rPr>
      </w:pPr>
      <w:hyperlink w:history="true" w:anchor="_bookmark28">
        <w:r>
          <w:rPr>
            <w:sz w:val="22"/>
          </w:rPr>
          <w:t>Cuadro 3 Cepas de referencia Gen Bank (NCBI) utilizadas en el</w:t>
        </w:r>
        <w:r>
          <w:rPr>
            <w:spacing w:val="-12"/>
            <w:sz w:val="22"/>
          </w:rPr>
          <w:t> </w:t>
        </w:r>
        <w:r>
          <w:rPr>
            <w:sz w:val="22"/>
          </w:rPr>
          <w:t>presente</w:t>
        </w:r>
        <w:r>
          <w:rPr>
            <w:spacing w:val="-5"/>
            <w:sz w:val="22"/>
          </w:rPr>
          <w:t> </w:t>
        </w:r>
        <w:r>
          <w:rPr>
            <w:sz w:val="22"/>
          </w:rPr>
          <w:t>estudio.</w:t>
        </w:r>
        <w:r>
          <w:rPr>
            <w:rFonts w:ascii="Calibri"/>
            <w:sz w:val="22"/>
          </w:rPr>
          <w:tab/>
          <w:t>37</w:t>
        </w:r>
      </w:hyperlink>
    </w:p>
    <w:p>
      <w:pPr>
        <w:tabs>
          <w:tab w:pos="8757" w:val="left" w:leader="dot"/>
        </w:tabs>
        <w:spacing w:line="276" w:lineRule="auto" w:before="39"/>
        <w:ind w:left="152" w:right="114" w:firstLine="0"/>
        <w:jc w:val="left"/>
        <w:rPr>
          <w:rFonts w:ascii="Calibri" w:hAnsi="Calibri"/>
          <w:sz w:val="22"/>
        </w:rPr>
      </w:pPr>
      <w:hyperlink w:history="true" w:anchor="_bookmark32">
        <w:r>
          <w:rPr>
            <w:sz w:val="22"/>
          </w:rPr>
          <w:t>Cuadro 4 Tamaño del absceso y aislamientos obtenidos en ovinos y caprinos del Estado</w:t>
        </w:r>
      </w:hyperlink>
      <w:r>
        <w:rPr>
          <w:sz w:val="22"/>
        </w:rPr>
        <w:t> </w:t>
      </w:r>
      <w:hyperlink w:history="true" w:anchor="_bookmark32">
        <w:r>
          <w:rPr>
            <w:sz w:val="22"/>
          </w:rPr>
          <w:t>de</w:t>
        </w:r>
        <w:r>
          <w:rPr>
            <w:spacing w:val="-2"/>
            <w:sz w:val="22"/>
          </w:rPr>
          <w:t> </w:t>
        </w:r>
        <w:r>
          <w:rPr>
            <w:sz w:val="22"/>
          </w:rPr>
          <w:t>Jalisco,</w:t>
        </w:r>
        <w:r>
          <w:rPr>
            <w:spacing w:val="-1"/>
            <w:sz w:val="22"/>
          </w:rPr>
          <w:t> </w:t>
        </w:r>
        <w:r>
          <w:rPr>
            <w:sz w:val="22"/>
          </w:rPr>
          <w:t>México.</w:t>
        </w:r>
        <w:r>
          <w:rPr>
            <w:rFonts w:ascii="Calibri" w:hAnsi="Calibri"/>
            <w:sz w:val="22"/>
          </w:rPr>
          <w:tab/>
          <w:t>39</w:t>
        </w:r>
      </w:hyperlink>
    </w:p>
    <w:p>
      <w:pPr>
        <w:tabs>
          <w:tab w:pos="8757" w:val="left" w:leader="dot"/>
        </w:tabs>
        <w:spacing w:line="276" w:lineRule="auto" w:before="0"/>
        <w:ind w:left="152" w:right="113" w:firstLine="0"/>
        <w:jc w:val="left"/>
        <w:rPr>
          <w:rFonts w:ascii="Calibri" w:hAnsi="Calibri"/>
          <w:sz w:val="22"/>
        </w:rPr>
      </w:pPr>
      <w:hyperlink w:history="true" w:anchor="_bookmark34">
        <w:r>
          <w:rPr>
            <w:sz w:val="22"/>
          </w:rPr>
          <w:t>Cuadro 5 Resultado Bacteriológico por tipo de exudado de abscesos cutáneos en ovinos y</w:t>
        </w:r>
      </w:hyperlink>
      <w:r>
        <w:rPr>
          <w:sz w:val="22"/>
        </w:rPr>
        <w:t> </w:t>
      </w:r>
      <w:hyperlink w:history="true" w:anchor="_bookmark34">
        <w:r>
          <w:rPr>
            <w:sz w:val="22"/>
          </w:rPr>
          <w:t>caprinos del estado de</w:t>
        </w:r>
        <w:r>
          <w:rPr>
            <w:spacing w:val="-8"/>
            <w:sz w:val="22"/>
          </w:rPr>
          <w:t> </w:t>
        </w:r>
        <w:r>
          <w:rPr>
            <w:sz w:val="22"/>
          </w:rPr>
          <w:t>Jalisco,</w:t>
        </w:r>
        <w:r>
          <w:rPr>
            <w:spacing w:val="-1"/>
            <w:sz w:val="22"/>
          </w:rPr>
          <w:t> </w:t>
        </w:r>
        <w:r>
          <w:rPr>
            <w:sz w:val="22"/>
          </w:rPr>
          <w:t>México.</w:t>
        </w:r>
        <w:r>
          <w:rPr>
            <w:rFonts w:ascii="Calibri" w:hAnsi="Calibri"/>
            <w:sz w:val="22"/>
          </w:rPr>
          <w:tab/>
          <w:t>40</w:t>
        </w:r>
      </w:hyperlink>
    </w:p>
    <w:p>
      <w:pPr>
        <w:tabs>
          <w:tab w:pos="8757" w:val="left" w:leader="dot"/>
        </w:tabs>
        <w:spacing w:line="276" w:lineRule="auto" w:before="0"/>
        <w:ind w:left="152" w:right="114" w:firstLine="0"/>
        <w:jc w:val="left"/>
        <w:rPr>
          <w:rFonts w:ascii="Calibri" w:hAnsi="Calibri"/>
          <w:sz w:val="22"/>
        </w:rPr>
      </w:pPr>
      <w:hyperlink w:history="true" w:anchor="_bookmark35">
        <w:r>
          <w:rPr>
            <w:sz w:val="22"/>
          </w:rPr>
          <w:t>Cuadro 6 Aislamientos por categoría y región anatómica de abscesos cutáneos en ovinos</w:t>
        </w:r>
      </w:hyperlink>
      <w:r>
        <w:rPr>
          <w:sz w:val="22"/>
        </w:rPr>
        <w:t> </w:t>
      </w:r>
      <w:hyperlink w:history="true" w:anchor="_bookmark35">
        <w:r>
          <w:rPr>
            <w:sz w:val="22"/>
          </w:rPr>
          <w:t>del Estado de</w:t>
        </w:r>
        <w:r>
          <w:rPr>
            <w:spacing w:val="-5"/>
            <w:sz w:val="22"/>
          </w:rPr>
          <w:t> </w:t>
        </w:r>
        <w:r>
          <w:rPr>
            <w:sz w:val="22"/>
          </w:rPr>
          <w:t>Jalisco,</w:t>
        </w:r>
        <w:r>
          <w:rPr>
            <w:spacing w:val="-2"/>
            <w:sz w:val="22"/>
          </w:rPr>
          <w:t> </w:t>
        </w:r>
        <w:r>
          <w:rPr>
            <w:sz w:val="22"/>
          </w:rPr>
          <w:t>México.</w:t>
        </w:r>
        <w:r>
          <w:rPr>
            <w:rFonts w:ascii="Calibri" w:hAnsi="Calibri"/>
            <w:sz w:val="22"/>
          </w:rPr>
          <w:tab/>
          <w:t>40</w:t>
        </w:r>
      </w:hyperlink>
    </w:p>
    <w:p>
      <w:pPr>
        <w:tabs>
          <w:tab w:pos="8757" w:val="left" w:leader="dot"/>
        </w:tabs>
        <w:spacing w:line="276" w:lineRule="auto" w:before="1"/>
        <w:ind w:left="152" w:right="114" w:firstLine="0"/>
        <w:jc w:val="left"/>
        <w:rPr>
          <w:rFonts w:ascii="Calibri" w:hAnsi="Calibri"/>
          <w:sz w:val="22"/>
        </w:rPr>
      </w:pPr>
      <w:hyperlink w:history="true" w:anchor="_bookmark36">
        <w:r>
          <w:rPr>
            <w:sz w:val="22"/>
          </w:rPr>
          <w:t>Cuadro 7 Perfiles bioquímicos en el sistema Api coryne. Aislamientos de Corynebacterium</w:t>
        </w:r>
      </w:hyperlink>
      <w:r>
        <w:rPr>
          <w:sz w:val="22"/>
        </w:rPr>
        <w:t> </w:t>
      </w:r>
      <w:hyperlink w:history="true" w:anchor="_bookmark36">
        <w:r>
          <w:rPr>
            <w:sz w:val="22"/>
          </w:rPr>
          <w:t>pseudotuberculosis obtenidos de abscesos ovinos</w:t>
        </w:r>
        <w:r>
          <w:rPr>
            <w:spacing w:val="-3"/>
            <w:sz w:val="22"/>
          </w:rPr>
          <w:t> </w:t>
        </w:r>
        <w:r>
          <w:rPr>
            <w:sz w:val="22"/>
          </w:rPr>
          <w:t>y</w:t>
        </w:r>
        <w:r>
          <w:rPr>
            <w:spacing w:val="-3"/>
            <w:sz w:val="22"/>
          </w:rPr>
          <w:t> </w:t>
        </w:r>
        <w:r>
          <w:rPr>
            <w:sz w:val="22"/>
          </w:rPr>
          <w:t>caprinos</w:t>
        </w:r>
        <w:r>
          <w:rPr>
            <w:rFonts w:ascii="Calibri" w:hAnsi="Calibri"/>
            <w:sz w:val="22"/>
          </w:rPr>
          <w:tab/>
          <w:t>42</w:t>
        </w:r>
      </w:hyperlink>
    </w:p>
    <w:p>
      <w:pPr>
        <w:tabs>
          <w:tab w:pos="8757" w:val="left" w:leader="dot"/>
        </w:tabs>
        <w:spacing w:before="0"/>
        <w:ind w:left="152" w:right="0" w:firstLine="0"/>
        <w:jc w:val="left"/>
        <w:rPr>
          <w:rFonts w:ascii="Calibri"/>
          <w:sz w:val="22"/>
        </w:rPr>
      </w:pPr>
      <w:hyperlink w:history="true" w:anchor="_bookmark37">
        <w:r>
          <w:rPr>
            <w:sz w:val="22"/>
          </w:rPr>
          <w:t>Cuadro 8 Variaciones</w:t>
        </w:r>
        <w:r>
          <w:rPr>
            <w:spacing w:val="-4"/>
            <w:sz w:val="22"/>
          </w:rPr>
          <w:t> </w:t>
        </w:r>
        <w:r>
          <w:rPr>
            <w:sz w:val="22"/>
          </w:rPr>
          <w:t>en</w:t>
        </w:r>
        <w:r>
          <w:rPr>
            <w:spacing w:val="-4"/>
            <w:sz w:val="22"/>
          </w:rPr>
          <w:t> </w:t>
        </w:r>
        <w:r>
          <w:rPr>
            <w:sz w:val="22"/>
          </w:rPr>
          <w:t>Nitrato.</w:t>
        </w:r>
        <w:r>
          <w:rPr>
            <w:rFonts w:ascii="Calibri"/>
            <w:sz w:val="22"/>
          </w:rPr>
          <w:tab/>
          <w:t>43</w:t>
        </w:r>
      </w:hyperlink>
    </w:p>
    <w:p>
      <w:pPr>
        <w:tabs>
          <w:tab w:pos="8757" w:val="left" w:leader="dot"/>
        </w:tabs>
        <w:spacing w:before="41"/>
        <w:ind w:left="152" w:right="0" w:firstLine="0"/>
        <w:jc w:val="left"/>
        <w:rPr>
          <w:rFonts w:ascii="Calibri" w:hAnsi="Calibri"/>
          <w:sz w:val="22"/>
        </w:rPr>
      </w:pPr>
      <w:hyperlink w:history="true" w:anchor="_bookmark42">
        <w:r>
          <w:rPr>
            <w:sz w:val="22"/>
          </w:rPr>
          <w:t>Cuadro 9 Variación de los genes en el</w:t>
        </w:r>
        <w:r>
          <w:rPr>
            <w:spacing w:val="-14"/>
            <w:sz w:val="22"/>
          </w:rPr>
          <w:t> </w:t>
        </w:r>
        <w:r>
          <w:rPr>
            <w:sz w:val="22"/>
          </w:rPr>
          <w:t>PCR</w:t>
        </w:r>
        <w:r>
          <w:rPr>
            <w:spacing w:val="-2"/>
            <w:sz w:val="22"/>
          </w:rPr>
          <w:t> </w:t>
        </w:r>
        <w:r>
          <w:rPr>
            <w:sz w:val="22"/>
          </w:rPr>
          <w:t>Multiplex</w:t>
        </w:r>
        <w:r>
          <w:rPr>
            <w:rFonts w:ascii="Calibri" w:hAnsi="Calibri"/>
            <w:sz w:val="22"/>
          </w:rPr>
          <w:tab/>
          <w:t>46</w:t>
        </w:r>
      </w:hyperlink>
    </w:p>
    <w:p>
      <w:pPr>
        <w:tabs>
          <w:tab w:pos="8757" w:val="left" w:leader="dot"/>
        </w:tabs>
        <w:spacing w:before="38"/>
        <w:ind w:left="152" w:right="0" w:firstLine="0"/>
        <w:jc w:val="left"/>
        <w:rPr>
          <w:rFonts w:ascii="Calibri"/>
          <w:sz w:val="22"/>
        </w:rPr>
      </w:pPr>
      <w:hyperlink w:history="true" w:anchor="_bookmark45">
        <w:r>
          <w:rPr>
            <w:sz w:val="22"/>
          </w:rPr>
          <w:t>Cuadro 10 Aislamientos que no amplificaron genes</w:t>
        </w:r>
        <w:r>
          <w:rPr>
            <w:spacing w:val="-13"/>
            <w:sz w:val="22"/>
          </w:rPr>
          <w:t> </w:t>
        </w:r>
        <w:r>
          <w:rPr>
            <w:sz w:val="22"/>
          </w:rPr>
          <w:t>de</w:t>
        </w:r>
        <w:r>
          <w:rPr>
            <w:spacing w:val="-2"/>
            <w:sz w:val="22"/>
          </w:rPr>
          <w:t> </w:t>
        </w:r>
        <w:r>
          <w:rPr>
            <w:sz w:val="22"/>
          </w:rPr>
          <w:t>virulencia</w:t>
        </w:r>
        <w:r>
          <w:rPr>
            <w:rFonts w:ascii="Calibri"/>
            <w:sz w:val="22"/>
          </w:rPr>
          <w:tab/>
          <w:t>48</w:t>
        </w:r>
      </w:hyperlink>
    </w:p>
    <w:p>
      <w:pPr>
        <w:pStyle w:val="BodyText"/>
        <w:rPr>
          <w:rFonts w:ascii="Calibri"/>
          <w:sz w:val="22"/>
        </w:rPr>
      </w:pPr>
    </w:p>
    <w:p>
      <w:pPr>
        <w:pStyle w:val="BodyText"/>
        <w:rPr>
          <w:rFonts w:ascii="Calibri"/>
          <w:sz w:val="22"/>
        </w:rPr>
      </w:pPr>
    </w:p>
    <w:p>
      <w:pPr>
        <w:pStyle w:val="BodyText"/>
        <w:spacing w:before="7"/>
        <w:rPr>
          <w:rFonts w:ascii="Calibri"/>
        </w:rPr>
      </w:pPr>
    </w:p>
    <w:p>
      <w:pPr>
        <w:pStyle w:val="Heading1"/>
        <w:spacing w:before="0"/>
        <w:jc w:val="left"/>
      </w:pPr>
      <w:bookmarkStart w:name="_bookmark5" w:id="6"/>
      <w:bookmarkEnd w:id="6"/>
      <w:r>
        <w:rPr>
          <w:b w:val="0"/>
        </w:rPr>
      </w:r>
      <w:r>
        <w:rPr/>
        <w:t>ÍNDICE DE FIGURAS</w:t>
      </w:r>
    </w:p>
    <w:p>
      <w:pPr>
        <w:tabs>
          <w:tab w:pos="8757" w:val="left" w:leader="dot"/>
        </w:tabs>
        <w:spacing w:before="50"/>
        <w:ind w:left="152" w:right="0" w:firstLine="0"/>
        <w:jc w:val="left"/>
        <w:rPr>
          <w:rFonts w:ascii="Calibri" w:hAnsi="Calibri"/>
          <w:sz w:val="22"/>
        </w:rPr>
      </w:pPr>
      <w:hyperlink w:history="true" w:anchor="_bookmark27">
        <w:r>
          <w:rPr>
            <w:sz w:val="22"/>
          </w:rPr>
          <w:t>Figura 1 Extracción</w:t>
        </w:r>
        <w:r>
          <w:rPr>
            <w:spacing w:val="-3"/>
            <w:sz w:val="22"/>
          </w:rPr>
          <w:t> </w:t>
        </w:r>
        <w:r>
          <w:rPr>
            <w:sz w:val="22"/>
          </w:rPr>
          <w:t>de</w:t>
        </w:r>
        <w:r>
          <w:rPr>
            <w:spacing w:val="-1"/>
            <w:sz w:val="22"/>
          </w:rPr>
          <w:t> </w:t>
        </w:r>
        <w:r>
          <w:rPr>
            <w:spacing w:val="-2"/>
            <w:sz w:val="22"/>
          </w:rPr>
          <w:t>ADN</w:t>
        </w:r>
        <w:r>
          <w:rPr>
            <w:rFonts w:ascii="Calibri" w:hAnsi="Calibri"/>
            <w:spacing w:val="-2"/>
            <w:sz w:val="22"/>
          </w:rPr>
          <w:tab/>
        </w:r>
        <w:r>
          <w:rPr>
            <w:rFonts w:ascii="Calibri" w:hAnsi="Calibri"/>
            <w:sz w:val="22"/>
          </w:rPr>
          <w:t>31</w:t>
        </w:r>
      </w:hyperlink>
    </w:p>
    <w:p>
      <w:pPr>
        <w:tabs>
          <w:tab w:pos="8757" w:val="left" w:leader="dot"/>
        </w:tabs>
        <w:spacing w:before="38"/>
        <w:ind w:left="152" w:right="0" w:firstLine="0"/>
        <w:jc w:val="left"/>
        <w:rPr>
          <w:rFonts w:ascii="Calibri" w:hAnsi="Calibri"/>
          <w:sz w:val="22"/>
        </w:rPr>
      </w:pPr>
      <w:hyperlink w:history="true" w:anchor="_bookmark30">
        <w:r>
          <w:rPr>
            <w:sz w:val="22"/>
          </w:rPr>
          <w:t>Figura 2 Morfología. Colonia de aislado de</w:t>
        </w:r>
        <w:r>
          <w:rPr>
            <w:spacing w:val="-13"/>
            <w:sz w:val="22"/>
          </w:rPr>
          <w:t> </w:t>
        </w:r>
        <w:r>
          <w:rPr>
            <w:sz w:val="22"/>
          </w:rPr>
          <w:t>C. pseudotuberculosis.</w:t>
        </w:r>
        <w:r>
          <w:rPr>
            <w:rFonts w:ascii="Calibri" w:hAnsi="Calibri"/>
            <w:sz w:val="22"/>
          </w:rPr>
          <w:tab/>
          <w:t>38</w:t>
        </w:r>
      </w:hyperlink>
    </w:p>
    <w:p>
      <w:pPr>
        <w:tabs>
          <w:tab w:pos="8757" w:val="left" w:leader="dot"/>
        </w:tabs>
        <w:spacing w:before="41"/>
        <w:ind w:left="152" w:right="0" w:firstLine="0"/>
        <w:jc w:val="left"/>
        <w:rPr>
          <w:rFonts w:ascii="Calibri"/>
          <w:sz w:val="22"/>
        </w:rPr>
      </w:pPr>
      <w:hyperlink w:history="true" w:anchor="_bookmark31">
        <w:r>
          <w:rPr>
            <w:sz w:val="22"/>
          </w:rPr>
          <w:t>Figura 3 Aislado de Corynebacterium spp. Crecimiento</w:t>
        </w:r>
        <w:r>
          <w:rPr>
            <w:spacing w:val="-14"/>
            <w:sz w:val="22"/>
          </w:rPr>
          <w:t> </w:t>
        </w:r>
        <w:r>
          <w:rPr>
            <w:sz w:val="22"/>
          </w:rPr>
          <w:t>colonias</w:t>
        </w:r>
        <w:r>
          <w:rPr>
            <w:spacing w:val="-2"/>
            <w:sz w:val="22"/>
          </w:rPr>
          <w:t> </w:t>
        </w:r>
        <w:r>
          <w:rPr>
            <w:sz w:val="22"/>
          </w:rPr>
          <w:t>amarillas.</w:t>
        </w:r>
        <w:r>
          <w:rPr>
            <w:rFonts w:ascii="Calibri"/>
            <w:sz w:val="22"/>
          </w:rPr>
          <w:tab/>
          <w:t>38</w:t>
        </w:r>
      </w:hyperlink>
    </w:p>
    <w:p>
      <w:pPr>
        <w:tabs>
          <w:tab w:pos="8757" w:val="left" w:leader="dot"/>
        </w:tabs>
        <w:spacing w:line="276" w:lineRule="auto" w:before="41"/>
        <w:ind w:left="152" w:right="114" w:firstLine="0"/>
        <w:jc w:val="left"/>
        <w:rPr>
          <w:rFonts w:ascii="Calibri" w:hAnsi="Calibri"/>
          <w:sz w:val="22"/>
        </w:rPr>
      </w:pPr>
      <w:hyperlink w:history="true" w:anchor="_bookmark33">
        <w:r>
          <w:rPr>
            <w:sz w:val="22"/>
          </w:rPr>
          <w:t>Figura 4 Tipos de exudado obtenidos de abscesos cutáneos en ovinos y caprinos del</w:t>
        </w:r>
      </w:hyperlink>
      <w:r>
        <w:rPr>
          <w:sz w:val="22"/>
        </w:rPr>
        <w:t> </w:t>
      </w:r>
      <w:hyperlink w:history="true" w:anchor="_bookmark33">
        <w:r>
          <w:rPr>
            <w:sz w:val="22"/>
          </w:rPr>
          <w:t>Estado de</w:t>
        </w:r>
        <w:r>
          <w:rPr>
            <w:spacing w:val="-4"/>
            <w:sz w:val="22"/>
          </w:rPr>
          <w:t> </w:t>
        </w:r>
        <w:r>
          <w:rPr>
            <w:sz w:val="22"/>
          </w:rPr>
          <w:t>Jalisco,</w:t>
        </w:r>
        <w:r>
          <w:rPr>
            <w:spacing w:val="-2"/>
            <w:sz w:val="22"/>
          </w:rPr>
          <w:t> </w:t>
        </w:r>
        <w:r>
          <w:rPr>
            <w:sz w:val="22"/>
          </w:rPr>
          <w:t>México.</w:t>
        </w:r>
        <w:r>
          <w:rPr>
            <w:rFonts w:ascii="Calibri" w:hAnsi="Calibri"/>
            <w:sz w:val="22"/>
          </w:rPr>
          <w:tab/>
          <w:t>39</w:t>
        </w:r>
      </w:hyperlink>
    </w:p>
    <w:p>
      <w:pPr>
        <w:tabs>
          <w:tab w:pos="8757" w:val="left" w:leader="dot"/>
        </w:tabs>
        <w:spacing w:before="0"/>
        <w:ind w:left="152" w:right="0" w:firstLine="0"/>
        <w:jc w:val="left"/>
        <w:rPr>
          <w:rFonts w:ascii="Calibri"/>
          <w:sz w:val="22"/>
        </w:rPr>
      </w:pPr>
      <w:hyperlink w:history="true" w:anchor="_bookmark38">
        <w:r>
          <w:rPr>
            <w:sz w:val="22"/>
          </w:rPr>
          <w:t>Figura 5</w:t>
        </w:r>
        <w:r>
          <w:rPr>
            <w:spacing w:val="-5"/>
            <w:sz w:val="22"/>
          </w:rPr>
          <w:t> </w:t>
        </w:r>
        <w:r>
          <w:rPr>
            <w:sz w:val="22"/>
          </w:rPr>
          <w:t>PCR</w:t>
        </w:r>
        <w:r>
          <w:rPr>
            <w:spacing w:val="-2"/>
            <w:sz w:val="22"/>
          </w:rPr>
          <w:t> </w:t>
        </w:r>
        <w:r>
          <w:rPr>
            <w:sz w:val="22"/>
          </w:rPr>
          <w:t>Multiplex</w:t>
        </w:r>
        <w:r>
          <w:rPr>
            <w:rFonts w:ascii="Calibri"/>
            <w:sz w:val="22"/>
          </w:rPr>
          <w:tab/>
          <w:t>44</w:t>
        </w:r>
      </w:hyperlink>
    </w:p>
    <w:p>
      <w:pPr>
        <w:tabs>
          <w:tab w:pos="8757" w:val="left" w:leader="dot"/>
        </w:tabs>
        <w:spacing w:before="38"/>
        <w:ind w:left="152" w:right="0" w:firstLine="0"/>
        <w:jc w:val="left"/>
        <w:rPr>
          <w:rFonts w:ascii="Calibri" w:hAnsi="Calibri"/>
          <w:sz w:val="22"/>
        </w:rPr>
      </w:pPr>
      <w:hyperlink w:history="true" w:anchor="_bookmark39">
        <w:r>
          <w:rPr>
            <w:sz w:val="22"/>
          </w:rPr>
          <w:t>Figura 6 PCR Multiplex. Variación en la amplificación del</w:t>
        </w:r>
        <w:r>
          <w:rPr>
            <w:spacing w:val="-15"/>
            <w:sz w:val="22"/>
          </w:rPr>
          <w:t> </w:t>
        </w:r>
        <w:r>
          <w:rPr>
            <w:sz w:val="22"/>
          </w:rPr>
          <w:t>gen</w:t>
        </w:r>
        <w:r>
          <w:rPr>
            <w:spacing w:val="-1"/>
            <w:sz w:val="22"/>
          </w:rPr>
          <w:t> </w:t>
        </w:r>
        <w:r>
          <w:rPr>
            <w:sz w:val="22"/>
          </w:rPr>
          <w:t>16S</w:t>
        </w:r>
        <w:r>
          <w:rPr>
            <w:rFonts w:ascii="Calibri" w:hAnsi="Calibri"/>
            <w:sz w:val="22"/>
          </w:rPr>
          <w:tab/>
          <w:t>44</w:t>
        </w:r>
      </w:hyperlink>
    </w:p>
    <w:p>
      <w:pPr>
        <w:tabs>
          <w:tab w:pos="8757" w:val="left" w:leader="dot"/>
        </w:tabs>
        <w:spacing w:before="41"/>
        <w:ind w:left="152" w:right="0" w:firstLine="0"/>
        <w:jc w:val="left"/>
        <w:rPr>
          <w:rFonts w:ascii="Calibri" w:hAnsi="Calibri"/>
          <w:sz w:val="22"/>
        </w:rPr>
      </w:pPr>
      <w:hyperlink w:history="true" w:anchor="_bookmark40">
        <w:r>
          <w:rPr>
            <w:sz w:val="22"/>
          </w:rPr>
          <w:t>Figura 7 PCR Multiplex. Variación en la amplificación del</w:t>
        </w:r>
        <w:r>
          <w:rPr>
            <w:spacing w:val="-15"/>
            <w:sz w:val="22"/>
          </w:rPr>
          <w:t> </w:t>
        </w:r>
        <w:r>
          <w:rPr>
            <w:sz w:val="22"/>
          </w:rPr>
          <w:t>gen</w:t>
        </w:r>
        <w:r>
          <w:rPr>
            <w:spacing w:val="-1"/>
            <w:sz w:val="22"/>
          </w:rPr>
          <w:t> </w:t>
        </w:r>
        <w:r>
          <w:rPr>
            <w:sz w:val="22"/>
          </w:rPr>
          <w:t>16s</w:t>
        </w:r>
        <w:r>
          <w:rPr>
            <w:rFonts w:ascii="Calibri" w:hAnsi="Calibri"/>
            <w:sz w:val="22"/>
          </w:rPr>
          <w:tab/>
          <w:t>45</w:t>
        </w:r>
      </w:hyperlink>
    </w:p>
    <w:p>
      <w:pPr>
        <w:tabs>
          <w:tab w:pos="8757" w:val="left" w:leader="dot"/>
        </w:tabs>
        <w:spacing w:before="41"/>
        <w:ind w:left="152" w:right="0" w:firstLine="0"/>
        <w:jc w:val="left"/>
        <w:rPr>
          <w:rFonts w:ascii="Calibri"/>
          <w:sz w:val="22"/>
        </w:rPr>
      </w:pPr>
      <w:hyperlink w:history="true" w:anchor="_bookmark41">
        <w:r>
          <w:rPr>
            <w:sz w:val="22"/>
          </w:rPr>
          <w:t>Figura 8 PCR Multiplex. Aislado con crecimiento</w:t>
        </w:r>
        <w:r>
          <w:rPr>
            <w:spacing w:val="-17"/>
            <w:sz w:val="22"/>
          </w:rPr>
          <w:t> </w:t>
        </w:r>
        <w:r>
          <w:rPr>
            <w:sz w:val="22"/>
          </w:rPr>
          <w:t>pardo</w:t>
        </w:r>
        <w:r>
          <w:rPr>
            <w:spacing w:val="-2"/>
            <w:sz w:val="22"/>
          </w:rPr>
          <w:t> </w:t>
        </w:r>
        <w:r>
          <w:rPr>
            <w:sz w:val="22"/>
          </w:rPr>
          <w:t>amarillento</w:t>
        </w:r>
        <w:r>
          <w:rPr>
            <w:rFonts w:ascii="Calibri"/>
            <w:sz w:val="22"/>
          </w:rPr>
          <w:tab/>
          <w:t>45</w:t>
        </w:r>
      </w:hyperlink>
    </w:p>
    <w:p>
      <w:pPr>
        <w:tabs>
          <w:tab w:pos="8757" w:val="left" w:leader="dot"/>
        </w:tabs>
        <w:spacing w:before="38"/>
        <w:ind w:left="152" w:right="0" w:firstLine="0"/>
        <w:jc w:val="left"/>
        <w:rPr>
          <w:rFonts w:ascii="Calibri"/>
          <w:sz w:val="22"/>
        </w:rPr>
      </w:pPr>
      <w:hyperlink w:history="true" w:anchor="_bookmark43">
        <w:r>
          <w:rPr>
            <w:sz w:val="22"/>
          </w:rPr>
          <w:t>Figura 9 PCR Multiplex. Genes de virulencia Fag C-D y</w:t>
        </w:r>
        <w:r>
          <w:rPr>
            <w:spacing w:val="-15"/>
            <w:sz w:val="22"/>
          </w:rPr>
          <w:t> </w:t>
        </w:r>
        <w:r>
          <w:rPr>
            <w:sz w:val="22"/>
          </w:rPr>
          <w:t>Fag</w:t>
        </w:r>
        <w:r>
          <w:rPr>
            <w:spacing w:val="-1"/>
            <w:sz w:val="22"/>
          </w:rPr>
          <w:t> </w:t>
        </w:r>
        <w:r>
          <w:rPr>
            <w:sz w:val="22"/>
          </w:rPr>
          <w:t>A</w:t>
        </w:r>
        <w:r>
          <w:rPr>
            <w:rFonts w:ascii="Calibri"/>
            <w:sz w:val="22"/>
          </w:rPr>
          <w:tab/>
          <w:t>47</w:t>
        </w:r>
      </w:hyperlink>
    </w:p>
    <w:p>
      <w:pPr>
        <w:tabs>
          <w:tab w:pos="8757" w:val="left" w:leader="dot"/>
        </w:tabs>
        <w:spacing w:before="41"/>
        <w:ind w:left="152" w:right="0" w:firstLine="0"/>
        <w:jc w:val="left"/>
        <w:rPr>
          <w:rFonts w:ascii="Calibri"/>
          <w:sz w:val="22"/>
        </w:rPr>
      </w:pPr>
      <w:hyperlink w:history="true" w:anchor="_bookmark44">
        <w:r>
          <w:rPr>
            <w:sz w:val="22"/>
          </w:rPr>
          <w:t>Figura 10 PCR sencillo. Gen de virulencia Fag B. Gel agarosa</w:t>
        </w:r>
        <w:r>
          <w:rPr>
            <w:spacing w:val="-16"/>
            <w:sz w:val="22"/>
          </w:rPr>
          <w:t> </w:t>
        </w:r>
        <w:r>
          <w:rPr>
            <w:sz w:val="22"/>
          </w:rPr>
          <w:t>2</w:t>
        </w:r>
        <w:r>
          <w:rPr>
            <w:spacing w:val="-3"/>
            <w:sz w:val="22"/>
          </w:rPr>
          <w:t> </w:t>
        </w:r>
        <w:r>
          <w:rPr>
            <w:sz w:val="22"/>
          </w:rPr>
          <w:t>%.</w:t>
        </w:r>
        <w:r>
          <w:rPr>
            <w:rFonts w:ascii="Calibri"/>
            <w:sz w:val="22"/>
          </w:rPr>
          <w:tab/>
          <w:t>47</w:t>
        </w:r>
      </w:hyperlink>
    </w:p>
    <w:p>
      <w:pPr>
        <w:tabs>
          <w:tab w:pos="8757" w:val="left" w:leader="dot"/>
        </w:tabs>
        <w:spacing w:line="276" w:lineRule="auto" w:before="42"/>
        <w:ind w:left="152" w:right="114" w:firstLine="0"/>
        <w:jc w:val="left"/>
        <w:rPr>
          <w:rFonts w:ascii="Calibri"/>
          <w:sz w:val="22"/>
        </w:rPr>
      </w:pPr>
      <w:hyperlink w:history="true" w:anchor="_bookmark46">
        <w:r>
          <w:rPr>
            <w:sz w:val="22"/>
          </w:rPr>
          <w:t>Figura 11 Porcentajes de Similitud del BLAST Gen Bank (NCBI) del gen rpoB de aislados</w:t>
        </w:r>
      </w:hyperlink>
      <w:r>
        <w:rPr>
          <w:sz w:val="22"/>
        </w:rPr>
        <w:t> </w:t>
      </w:r>
      <w:hyperlink w:history="true" w:anchor="_bookmark46">
        <w:r>
          <w:rPr>
            <w:sz w:val="22"/>
          </w:rPr>
          <w:t>de</w:t>
        </w:r>
        <w:r>
          <w:rPr>
            <w:spacing w:val="-2"/>
            <w:sz w:val="22"/>
          </w:rPr>
          <w:t> </w:t>
        </w:r>
        <w:r>
          <w:rPr>
            <w:sz w:val="22"/>
          </w:rPr>
          <w:t>C. pseudotuberculosis.</w:t>
        </w:r>
        <w:r>
          <w:rPr>
            <w:rFonts w:ascii="Calibri"/>
            <w:sz w:val="22"/>
          </w:rPr>
          <w:tab/>
          <w:t>49</w:t>
        </w:r>
      </w:hyperlink>
    </w:p>
    <w:p>
      <w:pPr>
        <w:tabs>
          <w:tab w:pos="8757" w:val="left" w:leader="dot"/>
        </w:tabs>
        <w:spacing w:line="276" w:lineRule="auto" w:before="0"/>
        <w:ind w:left="152" w:right="114" w:firstLine="0"/>
        <w:jc w:val="left"/>
        <w:rPr>
          <w:rFonts w:ascii="Calibri"/>
          <w:sz w:val="22"/>
        </w:rPr>
      </w:pPr>
      <w:hyperlink w:history="true" w:anchor="_bookmark47">
        <w:r>
          <w:rPr>
            <w:sz w:val="22"/>
          </w:rPr>
          <w:t>Figura 12 Porcentajes de Similitud del BLAST Gen Bank (NCBI) del gen rpoB del aislado</w:t>
        </w:r>
      </w:hyperlink>
      <w:r>
        <w:rPr>
          <w:sz w:val="22"/>
        </w:rPr>
        <w:t> </w:t>
      </w:r>
      <w:hyperlink w:history="true" w:anchor="_bookmark47">
        <w:r>
          <w:rPr>
            <w:sz w:val="22"/>
          </w:rPr>
          <w:t>de</w:t>
        </w:r>
        <w:r>
          <w:rPr>
            <w:spacing w:val="-2"/>
            <w:sz w:val="22"/>
          </w:rPr>
          <w:t> </w:t>
        </w:r>
        <w:r>
          <w:rPr>
            <w:sz w:val="22"/>
          </w:rPr>
          <w:t>Corynebacterium</w:t>
        </w:r>
        <w:r>
          <w:rPr>
            <w:spacing w:val="-1"/>
            <w:sz w:val="22"/>
          </w:rPr>
          <w:t> </w:t>
        </w:r>
        <w:r>
          <w:rPr>
            <w:sz w:val="22"/>
          </w:rPr>
          <w:t>xerosis.</w:t>
        </w:r>
        <w:r>
          <w:rPr>
            <w:rFonts w:ascii="Calibri"/>
            <w:sz w:val="22"/>
          </w:rPr>
          <w:tab/>
          <w:t>49</w:t>
        </w:r>
      </w:hyperlink>
    </w:p>
    <w:p>
      <w:pPr>
        <w:tabs>
          <w:tab w:pos="8757" w:val="left" w:leader="dot"/>
        </w:tabs>
        <w:spacing w:line="267" w:lineRule="exact" w:before="0"/>
        <w:ind w:left="152" w:right="0" w:firstLine="0"/>
        <w:jc w:val="left"/>
        <w:rPr>
          <w:rFonts w:ascii="Calibri" w:hAnsi="Calibri"/>
          <w:sz w:val="22"/>
        </w:rPr>
      </w:pPr>
      <w:hyperlink w:history="true" w:anchor="_bookmark48">
        <w:r>
          <w:rPr>
            <w:sz w:val="22"/>
          </w:rPr>
          <w:t>Figura 13 Árbol filogenético mediante el</w:t>
        </w:r>
        <w:r>
          <w:rPr>
            <w:spacing w:val="-16"/>
            <w:sz w:val="22"/>
          </w:rPr>
          <w:t> </w:t>
        </w:r>
        <w:r>
          <w:rPr>
            <w:sz w:val="22"/>
          </w:rPr>
          <w:t>método</w:t>
        </w:r>
        <w:r>
          <w:rPr>
            <w:spacing w:val="-2"/>
            <w:sz w:val="22"/>
          </w:rPr>
          <w:t> </w:t>
        </w:r>
        <w:r>
          <w:rPr>
            <w:sz w:val="22"/>
          </w:rPr>
          <w:t>Neighboor-joining</w:t>
        </w:r>
        <w:r>
          <w:rPr>
            <w:rFonts w:ascii="Calibri" w:hAnsi="Calibri"/>
            <w:sz w:val="22"/>
          </w:rPr>
          <w:tab/>
          <w:t>51</w:t>
        </w:r>
      </w:hyperlink>
    </w:p>
    <w:p>
      <w:pPr>
        <w:spacing w:after="0" w:line="267" w:lineRule="exact"/>
        <w:jc w:val="left"/>
        <w:rPr>
          <w:rFonts w:ascii="Calibri" w:hAnsi="Calibri"/>
          <w:sz w:val="22"/>
        </w:rPr>
        <w:sectPr>
          <w:pgSz w:w="12240" w:h="15840"/>
          <w:pgMar w:header="0" w:footer="1656" w:top="1500" w:bottom="1840" w:left="1720" w:right="1420"/>
        </w:sectPr>
      </w:pPr>
    </w:p>
    <w:p>
      <w:pPr>
        <w:pStyle w:val="BodyText"/>
        <w:rPr>
          <w:rFonts w:ascii="Calibri"/>
          <w:sz w:val="20"/>
        </w:rPr>
      </w:pPr>
    </w:p>
    <w:p>
      <w:pPr>
        <w:pStyle w:val="BodyText"/>
        <w:spacing w:before="12"/>
        <w:rPr>
          <w:rFonts w:ascii="Calibri"/>
          <w:sz w:val="22"/>
        </w:rPr>
      </w:pPr>
    </w:p>
    <w:p>
      <w:pPr>
        <w:pStyle w:val="Heading1"/>
      </w:pPr>
      <w:bookmarkStart w:name="_bookmark6" w:id="7"/>
      <w:bookmarkEnd w:id="7"/>
      <w:r>
        <w:rPr>
          <w:b w:val="0"/>
        </w:rPr>
      </w:r>
      <w:r>
        <w:rPr/>
        <w:t>INTRODUCCIÓN</w:t>
      </w:r>
    </w:p>
    <w:p>
      <w:pPr>
        <w:pStyle w:val="BodyText"/>
        <w:spacing w:line="360" w:lineRule="auto" w:before="51"/>
        <w:ind w:left="152" w:right="105"/>
        <w:jc w:val="both"/>
      </w:pPr>
      <w:r>
        <w:rPr/>
        <w:t>La linfadenitis caseosa es una enfermedad infectocontagiosa de las ovejas y cabras, generando además abscesos y granulomas cutáneos en equinos y  bovinos y representa una zoonosis importante (Anderson </w:t>
      </w:r>
      <w:r>
        <w:rPr>
          <w:i/>
        </w:rPr>
        <w:t>et al</w:t>
      </w:r>
      <w:r>
        <w:rPr/>
        <w:t>., 2004; Braga </w:t>
      </w:r>
      <w:r>
        <w:rPr>
          <w:i/>
        </w:rPr>
        <w:t>et al</w:t>
      </w:r>
      <w:r>
        <w:rPr/>
        <w:t>., 2006; Join-Lambert </w:t>
      </w:r>
      <w:r>
        <w:rPr>
          <w:i/>
        </w:rPr>
        <w:t>et al</w:t>
      </w:r>
      <w:r>
        <w:rPr/>
        <w:t>., 2006;). Esta enfermedad es de curso crónico, comportamiento enzoótico, Es causada por la bacteria Gram positiva </w:t>
      </w:r>
      <w:r>
        <w:rPr>
          <w:i/>
        </w:rPr>
        <w:t>Corynebacterium pseudotuberculosis. </w:t>
      </w:r>
      <w:r>
        <w:rPr/>
        <w:t>La enfermedad se caracteriza por la formación de abscesos en nódulos linfáticos, piel y diversos órganos internos en pequeños rumiantes (Baird y Fontaine, 2007; Pekelder, 2000; Robles, 2007). </w:t>
      </w:r>
      <w:r>
        <w:rPr>
          <w:i/>
        </w:rPr>
        <w:t>Corynebacterium pseudotuberculosis </w:t>
      </w:r>
      <w:r>
        <w:rPr/>
        <w:t>es una bacteria Gram-positiva, mesófila, patógeno intracelular facultativo que pertenece al grupo llamado CMNR (</w:t>
      </w:r>
      <w:r>
        <w:rPr>
          <w:i/>
        </w:rPr>
        <w:t>Corynebacterium-Mycobacterium-Nocardia-Rodococcus</w:t>
      </w:r>
      <w:r>
        <w:rPr/>
        <w:t>). La característica más distintiva de esta bacteria es su composición única de envoltura celular, caracterizada por la presencia de largas cadenas de ácidos grasos, conocidos como ácidos micólicos en la superficie de la célula; además de una exotoxina </w:t>
      </w:r>
      <w:r>
        <w:rPr>
          <w:i/>
        </w:rPr>
        <w:t>fosfolipasa D </w:t>
      </w:r>
      <w:r>
        <w:rPr/>
        <w:t>como su principal factor de virulencia (Dorella </w:t>
      </w:r>
      <w:r>
        <w:rPr>
          <w:i/>
        </w:rPr>
        <w:t>et al., </w:t>
      </w:r>
      <w:r>
        <w:rPr/>
        <w:t>2006). La distribución de </w:t>
      </w:r>
      <w:r>
        <w:rPr>
          <w:i/>
        </w:rPr>
        <w:t>Corynebacterium pseudotuberculosis </w:t>
      </w:r>
      <w:r>
        <w:rPr/>
        <w:t>es mundial en granjas de pequeños rumiantes (Ruiz </w:t>
      </w:r>
      <w:r>
        <w:rPr>
          <w:i/>
        </w:rPr>
        <w:t>et al., </w:t>
      </w:r>
      <w:r>
        <w:rPr/>
        <w:t>2007). Debido a su curso crónico y poca respuesta al tratamiento, es difícil erradicar la infección una vez que se establece (Baird y Fontaine, 2007; Dorella </w:t>
      </w:r>
      <w:r>
        <w:rPr>
          <w:i/>
        </w:rPr>
        <w:t>et al</w:t>
      </w:r>
      <w:r>
        <w:rPr/>
        <w:t>., 2006; Williamson, 2001;). Esto conduce a severas pérdidas económicas por la disminución en la producción de carne (Baird y Fontaine, 2007; Pekelder,</w:t>
      </w:r>
      <w:r>
        <w:rPr>
          <w:spacing w:val="-12"/>
        </w:rPr>
        <w:t> </w:t>
      </w:r>
      <w:r>
        <w:rPr/>
        <w:t>2000).</w:t>
      </w:r>
    </w:p>
    <w:p>
      <w:pPr>
        <w:pStyle w:val="BodyText"/>
        <w:spacing w:line="360" w:lineRule="auto" w:before="202"/>
        <w:ind w:left="152" w:right="103"/>
        <w:jc w:val="both"/>
      </w:pPr>
      <w:r>
        <w:rPr/>
        <w:t>Los determinantes genéticos de virulencia de </w:t>
      </w:r>
      <w:r>
        <w:rPr>
          <w:i/>
        </w:rPr>
        <w:t>Corynebacterium  </w:t>
      </w:r>
      <w:r>
        <w:rPr>
          <w:i/>
        </w:rPr>
        <w:t>pseudotuberculosis </w:t>
      </w:r>
      <w:r>
        <w:rPr/>
        <w:t>no han sido suficientemente estudiados. La mayoría de esos factores codifican o modifican la expresión de genes relacionados a virulencia, por lo que pueden ser usados como blancos potenciales para el desarrollo de vacunas o para diagnóstico (Dorella </w:t>
      </w:r>
      <w:r>
        <w:rPr>
          <w:i/>
        </w:rPr>
        <w:t>et al., </w:t>
      </w:r>
      <w:r>
        <w:rPr/>
        <w:t>2006). Las técnicas diagnósticas para </w:t>
      </w:r>
      <w:r>
        <w:rPr>
          <w:i/>
        </w:rPr>
        <w:t>Corynebacterium  pseudotuberculosis  </w:t>
      </w:r>
      <w:r>
        <w:rPr/>
        <w:t>se  basan  principalmente  en  un  </w:t>
      </w:r>
      <w:r>
        <w:rPr>
          <w:spacing w:val="55"/>
        </w:rPr>
        <w:t> </w:t>
      </w:r>
      <w:r>
        <w:rPr/>
        <w:t>examen</w:t>
      </w:r>
    </w:p>
    <w:p>
      <w:pPr>
        <w:spacing w:after="0" w:line="360" w:lineRule="auto"/>
        <w:jc w:val="both"/>
        <w:sectPr>
          <w:footerReference w:type="default" r:id="rId7"/>
          <w:pgSz w:w="12240" w:h="15840"/>
          <w:pgMar w:footer="1386" w:header="0" w:top="1500" w:bottom="1580" w:left="1720" w:right="1420"/>
          <w:pgNumType w:start="1"/>
        </w:sectPr>
      </w:pPr>
    </w:p>
    <w:p>
      <w:pPr>
        <w:pStyle w:val="BodyText"/>
        <w:spacing w:before="2"/>
        <w:rPr>
          <w:sz w:val="21"/>
        </w:rPr>
      </w:pPr>
    </w:p>
    <w:p>
      <w:pPr>
        <w:pStyle w:val="BodyText"/>
        <w:spacing w:line="360" w:lineRule="auto" w:before="69"/>
        <w:ind w:left="152" w:right="105"/>
        <w:jc w:val="both"/>
        <w:rPr>
          <w:i/>
        </w:rPr>
      </w:pPr>
      <w:r>
        <w:rPr/>
        <w:t>clínico de las lesiones y la identificación mediante pruebas fenotípicas y bioquímicas que tienden a ser problemáticas por la variabilidad de las características bioquímicas del género </w:t>
      </w:r>
      <w:r>
        <w:rPr>
          <w:i/>
        </w:rPr>
        <w:t>Corynebacterium </w:t>
      </w:r>
      <w:r>
        <w:rPr/>
        <w:t>(Cetinkaya </w:t>
      </w:r>
      <w:r>
        <w:rPr>
          <w:i/>
        </w:rPr>
        <w:t>et al., </w:t>
      </w:r>
      <w:r>
        <w:rPr/>
        <w:t>2002; Dorella </w:t>
      </w:r>
      <w:r>
        <w:rPr>
          <w:i/>
        </w:rPr>
        <w:t>et al., </w:t>
      </w:r>
      <w:r>
        <w:rPr/>
        <w:t>2006; D´Afonseca </w:t>
      </w:r>
      <w:r>
        <w:rPr>
          <w:i/>
        </w:rPr>
        <w:t>et al., </w:t>
      </w:r>
      <w:r>
        <w:rPr/>
        <w:t>2008); también existen diversas pruebas serológicas (ELISA</w:t>
      </w:r>
      <w:r>
        <w:rPr>
          <w:sz w:val="18"/>
        </w:rPr>
        <w:t>S</w:t>
      </w:r>
      <w:r>
        <w:rPr/>
        <w:t>) que tienen el inconveniente de una baja eficiencia, ya que no son capaces de discriminar entre animales previamente expuestos de aquellos  que mantienen el estado de portador (Pacheco </w:t>
      </w:r>
      <w:r>
        <w:rPr>
          <w:i/>
        </w:rPr>
        <w:t>et al., </w:t>
      </w:r>
      <w:r>
        <w:rPr/>
        <w:t>2007). Recientemente se  han sugerido la utilización de PCR que simplificaría la identificación de los cultivos de esta especie bacteriana; la utilización del PCR basados en el gen 16 s de RNA ribosomal para el diagnóstico en ovinos y caprinos (Cetinkaya </w:t>
      </w:r>
      <w:r>
        <w:rPr>
          <w:i/>
        </w:rPr>
        <w:t>et al., </w:t>
      </w:r>
      <w:r>
        <w:rPr/>
        <w:t>2002) el </w:t>
      </w:r>
      <w:r>
        <w:rPr>
          <w:spacing w:val="-2"/>
        </w:rPr>
        <w:t>gen </w:t>
      </w:r>
      <w:r>
        <w:rPr/>
        <w:t>de la fosfolipasa D (</w:t>
      </w:r>
      <w:r>
        <w:rPr>
          <w:i/>
        </w:rPr>
        <w:t>pld</w:t>
      </w:r>
      <w:r>
        <w:rPr/>
        <w:t>) y el gen </w:t>
      </w:r>
      <w:r>
        <w:rPr>
          <w:i/>
        </w:rPr>
        <w:t>rpoB </w:t>
      </w:r>
      <w:r>
        <w:rPr/>
        <w:t>los cuales utilizados en conjunto resulta en un PCR de alta sensibilidad, reproducibilidad y eficacia en el diagnóstico de </w:t>
      </w:r>
      <w:r>
        <w:rPr>
          <w:i/>
        </w:rPr>
        <w:t>Corynebacterium pseudotuberculosis </w:t>
      </w:r>
      <w:r>
        <w:rPr/>
        <w:t>(Pacheco </w:t>
      </w:r>
      <w:r>
        <w:rPr>
          <w:i/>
        </w:rPr>
        <w:t>et al.,</w:t>
      </w:r>
      <w:r>
        <w:rPr>
          <w:i/>
          <w:spacing w:val="-17"/>
        </w:rPr>
        <w:t> </w:t>
      </w:r>
      <w:r>
        <w:rPr/>
        <w:t>2007)</w:t>
      </w:r>
      <w:r>
        <w:rPr>
          <w:i/>
        </w:rPr>
        <w:t>.</w:t>
      </w:r>
    </w:p>
    <w:p>
      <w:pPr>
        <w:pStyle w:val="BodyText"/>
        <w:spacing w:line="360" w:lineRule="auto" w:before="202"/>
        <w:ind w:left="152" w:right="103"/>
        <w:jc w:val="both"/>
      </w:pPr>
      <w:r>
        <w:rPr/>
        <w:t>Los determinantes de virulencia más estudiados en </w:t>
      </w:r>
      <w:r>
        <w:rPr>
          <w:i/>
        </w:rPr>
        <w:t>Corynebacterium </w:t>
      </w:r>
      <w:r>
        <w:rPr>
          <w:i/>
        </w:rPr>
        <w:t>pseudotuberculosis </w:t>
      </w:r>
      <w:r>
        <w:rPr/>
        <w:t>son: la proteína PLD (fosfolipasa D), una exoproteína que promueve la difusión del patógeno mediante la activación de la permeabilización vascular, hemólisis, y la interrupción de la membrana, el operon </w:t>
      </w:r>
      <w:r>
        <w:rPr>
          <w:i/>
        </w:rPr>
        <w:t>fagABC </w:t>
      </w:r>
      <w:r>
        <w:rPr/>
        <w:t>y el gen </w:t>
      </w:r>
      <w:r>
        <w:rPr>
          <w:i/>
        </w:rPr>
        <w:t>fagD, </w:t>
      </w:r>
      <w:r>
        <w:rPr/>
        <w:t>ambos juegan un rol en la virulencia de la bacteria o la alta concentración de lípidos en la pared celular, los cuales hacen que el microorganismo resistan la digestión por enzimas celulares y así persistan como parásitos intracelulares facultativos y la proteína CP40 identificada como inmunógena que exhibe actividad proteolítica (Pinto </w:t>
      </w:r>
      <w:r>
        <w:rPr>
          <w:i/>
        </w:rPr>
        <w:t>et al., </w:t>
      </w:r>
      <w:r>
        <w:rPr/>
        <w:t>2014). Debido a la gran importancia de </w:t>
      </w:r>
      <w:r>
        <w:rPr>
          <w:i/>
        </w:rPr>
        <w:t>C. </w:t>
      </w:r>
      <w:r>
        <w:rPr>
          <w:i/>
        </w:rPr>
        <w:t>pseudotuberculosis </w:t>
      </w:r>
      <w:r>
        <w:rPr/>
        <w:t>en veterinaria, y teniendo en cuenta la ineficacia de los antibióticos, varias vacunas se han desarrollado, incluyendo el uso de bacterias atenuadas o inactivadas, fracciones de la pared celular y las vacunas de ADN (Dorella </w:t>
      </w:r>
      <w:r>
        <w:rPr>
          <w:i/>
        </w:rPr>
        <w:t>et al</w:t>
      </w:r>
      <w:r>
        <w:rPr/>
        <w:t>., 2009). Las vacunas actuales se basan principalmente en la inactivación con formalina de la fosfolipasa D (PLD) (Hodgson </w:t>
      </w:r>
      <w:r>
        <w:rPr>
          <w:i/>
        </w:rPr>
        <w:t>et al., </w:t>
      </w:r>
      <w:r>
        <w:rPr/>
        <w:t>1999; Selvy  </w:t>
      </w:r>
      <w:r>
        <w:rPr>
          <w:i/>
        </w:rPr>
        <w:t>et al.,</w:t>
      </w:r>
      <w:r>
        <w:rPr>
          <w:i/>
          <w:spacing w:val="-4"/>
        </w:rPr>
        <w:t> </w:t>
      </w:r>
      <w:r>
        <w:rPr/>
        <w:t>2011).</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8"/>
        <w:jc w:val="both"/>
      </w:pPr>
      <w:r>
        <w:rPr/>
        <w:t>La Linfadenitis Caseosa (LC) Es una enfermedad que afecta considerablemente las explotaciones ovinas y caprinas, causando pérdidas económicas al disminuir la productividad de los animales, además del potencial zoonótico que representa. Sin embargo en México la enfermedad no se ha estudiado completamente ya que no se tienen datos precisos de la prevalencia en los rebaños y el diagnóstico de esta enfermedad se basa solo en la evaluación macroscópica y aislamiento en etapas tardías de la infección. Por lo cual, es de suma importancia conocer las técnicas diagnósticas precisas para la identificación del agente causal y mediante esto poder conocer las características genotípicas y variantes antigénicas para realizar estudios sobre ciertos antígenos que pudieran ser candidatos en la elaboración de vacunas capaces de proteger a los animales y poder aspirar a controlar y erradicar la enfermedad, contribuyendo en la salud pública y la economía del país.</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1"/>
      </w:pPr>
      <w:bookmarkStart w:name="_bookmark7" w:id="8"/>
      <w:bookmarkEnd w:id="8"/>
      <w:r>
        <w:rPr>
          <w:b w:val="0"/>
        </w:rPr>
      </w:r>
      <w:r>
        <w:rPr/>
        <w:t>ANTECEDENTES</w:t>
      </w:r>
    </w:p>
    <w:p>
      <w:pPr>
        <w:spacing w:line="360" w:lineRule="auto" w:before="51"/>
        <w:ind w:left="152" w:right="105" w:firstLine="0"/>
        <w:jc w:val="both"/>
        <w:rPr>
          <w:sz w:val="24"/>
        </w:rPr>
      </w:pPr>
      <w:r>
        <w:rPr>
          <w:sz w:val="24"/>
        </w:rPr>
        <w:t>Las lesiones abscedativas en piel y ganglios linfáticos superficiales pueden ser ocasionadas por gran variedad de agentes, </w:t>
      </w:r>
      <w:r>
        <w:rPr>
          <w:i/>
          <w:sz w:val="24"/>
        </w:rPr>
        <w:t>Corynebacterium pseudotuberculosis</w:t>
      </w:r>
      <w:r>
        <w:rPr>
          <w:sz w:val="24"/>
        </w:rPr>
        <w:t>, </w:t>
      </w:r>
      <w:r>
        <w:rPr>
          <w:i/>
          <w:sz w:val="24"/>
        </w:rPr>
        <w:t>Staphylococcus </w:t>
      </w:r>
      <w:r>
        <w:rPr>
          <w:sz w:val="24"/>
        </w:rPr>
        <w:t>coagulasa negativos, </w:t>
      </w:r>
      <w:r>
        <w:rPr>
          <w:i/>
          <w:sz w:val="24"/>
        </w:rPr>
        <w:t>Proteus mirabilis</w:t>
      </w:r>
      <w:r>
        <w:rPr>
          <w:sz w:val="24"/>
        </w:rPr>
        <w:t>, </w:t>
      </w:r>
      <w:r>
        <w:rPr>
          <w:i/>
          <w:sz w:val="24"/>
        </w:rPr>
        <w:t>Pseudomona aeruginosa</w:t>
      </w:r>
      <w:r>
        <w:rPr>
          <w:sz w:val="24"/>
        </w:rPr>
        <w:t>, </w:t>
      </w:r>
      <w:r>
        <w:rPr>
          <w:i/>
          <w:sz w:val="24"/>
        </w:rPr>
        <w:t>Yersinia pseudotuberculosis</w:t>
      </w:r>
      <w:r>
        <w:rPr>
          <w:sz w:val="24"/>
        </w:rPr>
        <w:t>, </w:t>
      </w:r>
      <w:r>
        <w:rPr>
          <w:i/>
          <w:sz w:val="24"/>
        </w:rPr>
        <w:t>Actinobacillus lignieresis</w:t>
      </w:r>
      <w:r>
        <w:rPr>
          <w:sz w:val="24"/>
        </w:rPr>
        <w:t>, </w:t>
      </w:r>
      <w:r>
        <w:rPr>
          <w:i/>
          <w:sz w:val="24"/>
        </w:rPr>
        <w:t>Arcanobacterium pyogenes </w:t>
      </w:r>
      <w:r>
        <w:rPr>
          <w:sz w:val="24"/>
        </w:rPr>
        <w:t>y </w:t>
      </w:r>
      <w:r>
        <w:rPr>
          <w:i/>
          <w:sz w:val="24"/>
        </w:rPr>
        <w:t>S</w:t>
      </w:r>
      <w:r>
        <w:rPr>
          <w:sz w:val="24"/>
        </w:rPr>
        <w:t>. </w:t>
      </w:r>
      <w:r>
        <w:rPr>
          <w:i/>
          <w:sz w:val="24"/>
        </w:rPr>
        <w:t>aureus </w:t>
      </w:r>
      <w:r>
        <w:rPr>
          <w:sz w:val="24"/>
        </w:rPr>
        <w:t>entre otros destacándose el primero por su frecuencia en ovinos y caprinos (Batey, 1986; Andrade </w:t>
      </w:r>
      <w:r>
        <w:rPr>
          <w:i/>
          <w:sz w:val="24"/>
        </w:rPr>
        <w:t>et al., </w:t>
      </w:r>
      <w:r>
        <w:rPr>
          <w:sz w:val="24"/>
        </w:rPr>
        <w:t>2012).</w:t>
      </w:r>
    </w:p>
    <w:p>
      <w:pPr>
        <w:pStyle w:val="BodyText"/>
      </w:pPr>
    </w:p>
    <w:p>
      <w:pPr>
        <w:pStyle w:val="BodyText"/>
        <w:spacing w:before="10"/>
        <w:rPr>
          <w:sz w:val="29"/>
        </w:rPr>
      </w:pPr>
    </w:p>
    <w:p>
      <w:pPr>
        <w:pStyle w:val="BodyText"/>
        <w:spacing w:line="360" w:lineRule="auto"/>
        <w:ind w:left="152" w:right="110"/>
        <w:jc w:val="both"/>
      </w:pPr>
      <w:r>
        <w:rPr/>
        <w:t>La Linfadenitis caseosa o pseudotuberculosis, es una enfermedad bacteriana de curso crónico que afecta a ovinos y caprinos (Aleman y Spier, 2001). Causa pérdida de peso crónico y progresivo con la consiguiente disminución en la producción de carne, leche y lana (Patón </w:t>
      </w:r>
      <w:r>
        <w:rPr>
          <w:i/>
        </w:rPr>
        <w:t>et al., </w:t>
      </w:r>
      <w:r>
        <w:rPr/>
        <w:t>1994). La enfermedad se caracteriza por el desarrollo de lesiones supurativas necrotizantes a manera de abscesos en piel, nódulos linfáticos y vísceras (Baird y Fontaine, 2007).</w:t>
      </w:r>
    </w:p>
    <w:p>
      <w:pPr>
        <w:pStyle w:val="BodyText"/>
        <w:spacing w:line="360" w:lineRule="auto" w:before="202"/>
        <w:ind w:left="152" w:right="104"/>
        <w:jc w:val="both"/>
      </w:pPr>
      <w:r>
        <w:rPr/>
        <w:t>El agente causal de la LAC es </w:t>
      </w:r>
      <w:r>
        <w:rPr>
          <w:i/>
        </w:rPr>
        <w:t>Corynebacterium pseudotuberculosis </w:t>
      </w:r>
      <w:r>
        <w:rPr/>
        <w:t>biovar </w:t>
      </w:r>
      <w:r>
        <w:rPr>
          <w:i/>
        </w:rPr>
        <w:t>ovis</w:t>
      </w:r>
      <w:r>
        <w:rPr/>
        <w:t>; </w:t>
      </w:r>
      <w:r>
        <w:rPr>
          <w:i/>
        </w:rPr>
        <w:t>Corynebacterium pseudotuberculosis </w:t>
      </w:r>
      <w:r>
        <w:rPr/>
        <w:t>es una bacteria Gram-positiva, mesófila, patógeno intracelular facultativo que pertenece al grupo llamado CMNR (</w:t>
      </w:r>
      <w:r>
        <w:rPr>
          <w:i/>
        </w:rPr>
        <w:t>Corynebacterium-Mycobacterium-Nocardia-Rodococus</w:t>
      </w:r>
      <w:r>
        <w:rPr/>
        <w:t>). La mejor característica distintiva de esta bacteria es su composición única de envoltura celular, caracterizada por la presencia de largas cadenas de ácidos grasos, conocidos como ácidos micólicos en la superficie de la célula (Dorella, 2006). </w:t>
      </w:r>
      <w:r>
        <w:rPr>
          <w:i/>
        </w:rPr>
        <w:t>C. </w:t>
      </w:r>
      <w:r>
        <w:rPr>
          <w:i/>
        </w:rPr>
        <w:t>pseudotuberculosis </w:t>
      </w:r>
      <w:r>
        <w:rPr/>
        <w:t>ha sido aislada de ganado bovino y caballos produciendo cuadros de linfangitis ulcerativa (Aleman </w:t>
      </w:r>
      <w:r>
        <w:rPr>
          <w:i/>
        </w:rPr>
        <w:t>et al., </w:t>
      </w:r>
      <w:r>
        <w:rPr/>
        <w:t>1996; Spier and Whitcomb, 2007). También ha sido reportada la infección en camélidos, búfalos y raramente en humanos (Anderson </w:t>
      </w:r>
      <w:r>
        <w:rPr>
          <w:i/>
        </w:rPr>
        <w:t>et al</w:t>
      </w:r>
      <w:r>
        <w:rPr/>
        <w:t>., 2004; Braga </w:t>
      </w:r>
      <w:r>
        <w:rPr>
          <w:i/>
        </w:rPr>
        <w:t>et al</w:t>
      </w:r>
      <w:r>
        <w:rPr/>
        <w:t>., 2006; Join-Lambert </w:t>
      </w:r>
      <w:r>
        <w:rPr>
          <w:i/>
        </w:rPr>
        <w:t>et al</w:t>
      </w:r>
      <w:r>
        <w:rPr/>
        <w:t>., 2006;  Peel </w:t>
      </w:r>
      <w:r>
        <w:rPr>
          <w:i/>
        </w:rPr>
        <w:t>et al</w:t>
      </w:r>
      <w:r>
        <w:rPr/>
        <w:t>., 1997; Selim, 2001). Su crecimiento es relativamente lento, crece adecuadamente en medios de gelosa sangre y produce colonias a las 24 horas a una temperatura de 37°C, las colonias tienen un diámetro de 2 mm de color</w:t>
      </w:r>
      <w:r>
        <w:rPr>
          <w:spacing w:val="20"/>
        </w:rPr>
        <w:t> </w:t>
      </w:r>
      <w:r>
        <w:rPr/>
        <w:t>crema</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8"/>
        <w:jc w:val="both"/>
      </w:pPr>
      <w:r>
        <w:rPr/>
        <w:t>y están rodeadas de una zona de hemólisis incompleta. Es una bacteria anaerobia facultativa, catalasa y ureasa positiva que fermenta la glucosa, galactosa, maltosa y manosa. El biotipo </w:t>
      </w:r>
      <w:r>
        <w:rPr>
          <w:i/>
        </w:rPr>
        <w:t>ovis </w:t>
      </w:r>
      <w:r>
        <w:rPr/>
        <w:t>no reduce los nitratos a diferencia de los aislados de equinos. Es sensible a la kanamicina, sulfonamidas, tetraciclinas, ampicilina, eritromicina y resistente a la estreptomicina (Judson y Songer, 1991).</w:t>
      </w:r>
    </w:p>
    <w:p>
      <w:pPr>
        <w:pStyle w:val="Heading2"/>
        <w:spacing w:before="202"/>
      </w:pPr>
      <w:bookmarkStart w:name="_bookmark8" w:id="9"/>
      <w:bookmarkEnd w:id="9"/>
      <w:r>
        <w:rPr>
          <w:b w:val="0"/>
        </w:rPr>
      </w:r>
      <w:r>
        <w:rPr/>
        <w:t>Taxonomía</w:t>
      </w:r>
    </w:p>
    <w:p>
      <w:pPr>
        <w:pStyle w:val="BodyText"/>
        <w:spacing w:line="360" w:lineRule="auto" w:before="46"/>
        <w:ind w:left="152" w:right="105"/>
        <w:jc w:val="both"/>
      </w:pPr>
      <w:r>
        <w:rPr/>
        <w:t>En 1888, el bacteriólogo French Edward Nocard aisló un organismo inusual de un caso de linfangitis en una vaca, 3 años después el bacteriólogo Búlgaro Hugo Von Preisz identificó una bacteria similar en un cultivo de abscesos renales en una oveja. Como consecuencia de estos descubrimientos relacionados, el organismo en cuestión se nombró como bacilo “Preisz-Nocard”, un nombre vulgar con el que ha estado vinculado desde entonces (Baird y Fontaine, 2007). Ya en 1918 Eberson sugirió clasificarlo renombrándolo como </w:t>
      </w:r>
      <w:r>
        <w:rPr>
          <w:i/>
        </w:rPr>
        <w:t>Corynebacterium </w:t>
      </w:r>
      <w:r>
        <w:rPr>
          <w:i/>
        </w:rPr>
        <w:t>pseudotuberculosis</w:t>
      </w:r>
      <w:r>
        <w:rPr/>
        <w:t>. Con la edición del </w:t>
      </w:r>
      <w:r>
        <w:rPr>
          <w:i/>
        </w:rPr>
        <w:t>Manual Bergey </w:t>
      </w:r>
      <w:r>
        <w:rPr/>
        <w:t>muchas de las discrepancias fueron solucionadas denominándose en 1923 como </w:t>
      </w:r>
      <w:r>
        <w:rPr>
          <w:i/>
        </w:rPr>
        <w:t>Corynebacterium ovis</w:t>
      </w:r>
      <w:r>
        <w:rPr/>
        <w:t>. Con la salida de la 6ta edición del </w:t>
      </w:r>
      <w:r>
        <w:rPr>
          <w:i/>
        </w:rPr>
        <w:t>Manual Bergey </w:t>
      </w:r>
      <w:r>
        <w:rPr/>
        <w:t>en 1948, el nombre oficial cambió a </w:t>
      </w:r>
      <w:r>
        <w:rPr>
          <w:i/>
        </w:rPr>
        <w:t>Corynebacterium pseudotuberculosis </w:t>
      </w:r>
      <w:r>
        <w:rPr/>
        <w:t>que en la actualidad resulta el término correcto para su denominación (Merchant y Parcker, 1980; Brown y Olander, 1987; Baird y Fontaine,</w:t>
      </w:r>
      <w:r>
        <w:rPr>
          <w:spacing w:val="-21"/>
        </w:rPr>
        <w:t> </w:t>
      </w:r>
      <w:r>
        <w:rPr/>
        <w:t>2007).</w:t>
      </w:r>
    </w:p>
    <w:p>
      <w:pPr>
        <w:pStyle w:val="BodyText"/>
        <w:spacing w:line="360" w:lineRule="auto" w:before="199"/>
        <w:ind w:left="152" w:right="104"/>
        <w:jc w:val="both"/>
      </w:pPr>
      <w:r>
        <w:rPr/>
        <w:t>La clasificación de </w:t>
      </w:r>
      <w:r>
        <w:rPr>
          <w:i/>
        </w:rPr>
        <w:t>C. pseudotuberculosis </w:t>
      </w:r>
      <w:r>
        <w:rPr/>
        <w:t>se estableció inicialmente mediante morfología y características bioquímicas (Jones y Collins, 1986; Muckle y Gyles, 1982). La producción de nitrato reductasa fue utilizado para distinguir la </w:t>
      </w:r>
      <w:r>
        <w:rPr>
          <w:i/>
        </w:rPr>
        <w:t>biovar  </w:t>
      </w:r>
      <w:r>
        <w:rPr>
          <w:i/>
        </w:rPr>
        <w:t>equi </w:t>
      </w:r>
      <w:r>
        <w:rPr/>
        <w:t>(aislado de caballos y bovinos; nitrato reducción positiva) de la </w:t>
      </w:r>
      <w:r>
        <w:rPr>
          <w:i/>
        </w:rPr>
        <w:t>biovar ovis </w:t>
      </w:r>
      <w:r>
        <w:rPr/>
        <w:t>(aislado de ovejas y cabras; nitrato reducción negativa) (Biberstein </w:t>
      </w:r>
      <w:r>
        <w:rPr>
          <w:i/>
        </w:rPr>
        <w:t>et al., </w:t>
      </w:r>
      <w:r>
        <w:rPr/>
        <w:t>1971). Más tarde, se llegó a la misma conclusión con endonucleasa de restricción  (EcoRV y PstI) analizando el ADN cromosómico, y basados en los datos de reducción de nitrato (Songer </w:t>
      </w:r>
      <w:r>
        <w:rPr>
          <w:i/>
        </w:rPr>
        <w:t>et al.,</w:t>
      </w:r>
      <w:r>
        <w:rPr>
          <w:i/>
          <w:spacing w:val="-11"/>
        </w:rPr>
        <w:t> </w:t>
      </w:r>
      <w:r>
        <w:rPr/>
        <w:t>1988).</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4"/>
        <w:jc w:val="both"/>
      </w:pPr>
      <w:r>
        <w:rPr/>
        <w:t>Más recientemente, también se observó el mismo resultado con la longitud de los fragmentos de restricción del polimorfismo del 16S-rDNA (Costa </w:t>
      </w:r>
      <w:r>
        <w:rPr>
          <w:i/>
        </w:rPr>
        <w:t>et al., </w:t>
      </w:r>
      <w:r>
        <w:rPr/>
        <w:t>1998; Sutherland </w:t>
      </w:r>
      <w:r>
        <w:rPr>
          <w:i/>
        </w:rPr>
        <w:t>et al., </w:t>
      </w:r>
      <w:r>
        <w:rPr/>
        <w:t>1996; Vaneechoutte </w:t>
      </w:r>
      <w:r>
        <w:rPr>
          <w:i/>
        </w:rPr>
        <w:t>et al., </w:t>
      </w:r>
      <w:r>
        <w:rPr/>
        <w:t>1995). Connor </w:t>
      </w:r>
      <w:r>
        <w:rPr>
          <w:i/>
        </w:rPr>
        <w:t>et al., </w:t>
      </w:r>
      <w:r>
        <w:rPr/>
        <w:t>(2000) utilizó la electroforesis en gel de campo pulsado, asociado con el análisis bioquímico, para la caracterización de los aislados de </w:t>
      </w:r>
      <w:r>
        <w:rPr>
          <w:i/>
        </w:rPr>
        <w:t>C. pseudotuberculosis</w:t>
      </w:r>
      <w:r>
        <w:rPr/>
        <w:t>. Una estrecha relación entre </w:t>
      </w:r>
      <w:r>
        <w:rPr>
          <w:i/>
        </w:rPr>
        <w:t>C. pseudotuberculosis </w:t>
      </w:r>
      <w:r>
        <w:rPr/>
        <w:t>y </w:t>
      </w:r>
      <w:r>
        <w:rPr>
          <w:i/>
        </w:rPr>
        <w:t>C. ulcerans </w:t>
      </w:r>
      <w:r>
        <w:rPr/>
        <w:t>fue sugerida por el hecho de que estos organismos son únicos entre las Corynebacterias en la producción de fosfolipasa  D (Buck </w:t>
      </w:r>
      <w:r>
        <w:rPr>
          <w:i/>
        </w:rPr>
        <w:t>et al., </w:t>
      </w:r>
      <w:r>
        <w:rPr/>
        <w:t>1985; Groman </w:t>
      </w:r>
      <w:r>
        <w:rPr>
          <w:i/>
        </w:rPr>
        <w:t>et al., </w:t>
      </w:r>
      <w:r>
        <w:rPr/>
        <w:t>1984). Por otra parte, algunas cepas de </w:t>
      </w:r>
      <w:r>
        <w:rPr>
          <w:i/>
        </w:rPr>
        <w:t>C. </w:t>
      </w:r>
      <w:r>
        <w:rPr>
          <w:i/>
        </w:rPr>
        <w:t>ulcerans </w:t>
      </w:r>
      <w:r>
        <w:rPr/>
        <w:t>y </w:t>
      </w:r>
      <w:r>
        <w:rPr>
          <w:i/>
        </w:rPr>
        <w:t>C. pseudotuberculosis </w:t>
      </w:r>
      <w:r>
        <w:rPr/>
        <w:t>pueden producir toxina diftérica (DT). Además, algunas cepas no toxigénicas se convierten en toxigénicas (producción DT) por </w:t>
      </w:r>
      <w:r>
        <w:rPr>
          <w:spacing w:val="3"/>
        </w:rPr>
        <w:t>β- </w:t>
      </w:r>
      <w:r>
        <w:rPr/>
        <w:t>fagos de ocratoxinógenos de </w:t>
      </w:r>
      <w:r>
        <w:rPr>
          <w:i/>
        </w:rPr>
        <w:t>C. diphtheriae </w:t>
      </w:r>
      <w:r>
        <w:rPr/>
        <w:t>(Buck </w:t>
      </w:r>
      <w:r>
        <w:rPr>
          <w:i/>
        </w:rPr>
        <w:t>et al., </w:t>
      </w:r>
      <w:r>
        <w:rPr/>
        <w:t>1985; Groman </w:t>
      </w:r>
      <w:r>
        <w:rPr>
          <w:i/>
        </w:rPr>
        <w:t>et al., </w:t>
      </w:r>
      <w:r>
        <w:rPr/>
        <w:t>1984; Cianciotto </w:t>
      </w:r>
      <w:r>
        <w:rPr>
          <w:i/>
        </w:rPr>
        <w:t>et al., </w:t>
      </w:r>
      <w:r>
        <w:rPr/>
        <w:t>1985; Cianciotto </w:t>
      </w:r>
      <w:r>
        <w:rPr>
          <w:i/>
        </w:rPr>
        <w:t>et al.,</w:t>
      </w:r>
      <w:r>
        <w:rPr>
          <w:i/>
          <w:spacing w:val="-19"/>
        </w:rPr>
        <w:t> </w:t>
      </w:r>
      <w:r>
        <w:rPr/>
        <w:t>1986).</w:t>
      </w:r>
    </w:p>
    <w:p>
      <w:pPr>
        <w:pStyle w:val="BodyText"/>
        <w:spacing w:line="360" w:lineRule="auto" w:before="206"/>
        <w:ind w:left="152" w:right="105"/>
        <w:jc w:val="both"/>
      </w:pPr>
      <w:r>
        <w:rPr/>
        <w:t>Métodos moleculares, incluyendo hibridación de ácidos nucleicos y análisis de la secuencia del gen rRNA 16s, se han utilizado para determinar el grado de relación entre diferentes cepas y especies de Corynebacterias (Riegel </w:t>
      </w:r>
      <w:r>
        <w:rPr>
          <w:i/>
        </w:rPr>
        <w:t>et al., </w:t>
      </w:r>
      <w:r>
        <w:rPr/>
        <w:t>1995; Hou </w:t>
      </w:r>
      <w:r>
        <w:rPr>
          <w:i/>
        </w:rPr>
        <w:t>et </w:t>
      </w:r>
      <w:r>
        <w:rPr>
          <w:i/>
        </w:rPr>
        <w:t>al., </w:t>
      </w:r>
      <w:r>
        <w:rPr/>
        <w:t>1997; Takahashi </w:t>
      </w:r>
      <w:r>
        <w:rPr>
          <w:i/>
        </w:rPr>
        <w:t>et al., </w:t>
      </w:r>
      <w:r>
        <w:rPr/>
        <w:t>1997; Khamis </w:t>
      </w:r>
      <w:r>
        <w:rPr>
          <w:i/>
        </w:rPr>
        <w:t>et al., </w:t>
      </w:r>
      <w:r>
        <w:rPr/>
        <w:t>2005;). Riegel </w:t>
      </w:r>
      <w:r>
        <w:rPr>
          <w:i/>
        </w:rPr>
        <w:t>et al</w:t>
      </w:r>
      <w:r>
        <w:rPr/>
        <w:t>., (1995) encontraron que algunas cepas de </w:t>
      </w:r>
      <w:r>
        <w:rPr>
          <w:i/>
        </w:rPr>
        <w:t>C. pseudotuberculosis </w:t>
      </w:r>
      <w:r>
        <w:rPr/>
        <w:t>y </w:t>
      </w:r>
      <w:r>
        <w:rPr>
          <w:i/>
        </w:rPr>
        <w:t>C.  ulcerans </w:t>
      </w:r>
      <w:r>
        <w:rPr/>
        <w:t>pertenecen a un grupo monofilético, basado en el análisis filogenético de la secuencia de la pequeña subunidad de ADNr que sólo se encuentran en el grupo de CMN. También concluyeron que los biotipos </w:t>
      </w:r>
      <w:r>
        <w:rPr>
          <w:i/>
        </w:rPr>
        <w:t>equi </w:t>
      </w:r>
      <w:r>
        <w:rPr/>
        <w:t>y </w:t>
      </w:r>
      <w:r>
        <w:rPr>
          <w:i/>
        </w:rPr>
        <w:t>ovis </w:t>
      </w:r>
      <w:r>
        <w:rPr/>
        <w:t>de </w:t>
      </w:r>
      <w:r>
        <w:rPr>
          <w:i/>
        </w:rPr>
        <w:t>C. </w:t>
      </w:r>
      <w:r>
        <w:rPr>
          <w:i/>
        </w:rPr>
        <w:t>pseudotuberculosis </w:t>
      </w:r>
      <w:r>
        <w:rPr/>
        <w:t>no deben ser clasificadas como subespecies, debido a su alta similitud genómica.</w:t>
      </w:r>
    </w:p>
    <w:p>
      <w:pPr>
        <w:pStyle w:val="Heading2"/>
        <w:spacing w:before="203"/>
      </w:pPr>
      <w:bookmarkStart w:name="_bookmark9" w:id="10"/>
      <w:bookmarkEnd w:id="10"/>
      <w:r>
        <w:rPr>
          <w:b w:val="0"/>
        </w:rPr>
      </w:r>
      <w:r>
        <w:rPr/>
        <w:t>Inmunopatogénesis</w:t>
      </w:r>
    </w:p>
    <w:p>
      <w:pPr>
        <w:pStyle w:val="BodyText"/>
        <w:spacing w:line="360" w:lineRule="auto" w:before="46"/>
        <w:ind w:left="152" w:right="112"/>
        <w:jc w:val="both"/>
      </w:pPr>
      <w:r>
        <w:rPr/>
        <w:t>La patogénesis de CLA en las ovejas y cabras se inicia como una infección primaria de la herida, con la diseminación hematógena y linfática, seguida por la infección secundaria de los ganglios linfáticos y diversos órganos viscerales. Esto es seguido por la eliminación o contención de la infección, esta última se presenta como característica lesiones caseosas (Lopes </w:t>
      </w:r>
      <w:r>
        <w:rPr>
          <w:i/>
        </w:rPr>
        <w:t>et al., </w:t>
      </w:r>
      <w:r>
        <w:rPr/>
        <w:t>2012).</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7"/>
        <w:jc w:val="both"/>
      </w:pPr>
      <w:r>
        <w:rPr/>
        <w:t>Los pasos de la infección se han separado en las siguientes fases: una fase inicial (días 1-4), caracterizada por el reclutamiento de neutrófilos en el sitio de inoculación y el drenaje de los nódulos linfáticos; una fase de amplificación (5-10 días), caracterizada por el desarrollo de piogranuloma, y una fase de estabilización, que se caracteriza por la maduración y la persistencia del piogranuloma (Pepin </w:t>
      </w:r>
      <w:r>
        <w:rPr>
          <w:i/>
        </w:rPr>
        <w:t>et al., </w:t>
      </w:r>
      <w:r>
        <w:rPr/>
        <w:t>1997; Lopes </w:t>
      </w:r>
      <w:r>
        <w:rPr>
          <w:i/>
        </w:rPr>
        <w:t>et al.,</w:t>
      </w:r>
      <w:r>
        <w:rPr>
          <w:i/>
          <w:spacing w:val="-20"/>
        </w:rPr>
        <w:t> </w:t>
      </w:r>
      <w:r>
        <w:rPr/>
        <w:t>2012).</w:t>
      </w:r>
    </w:p>
    <w:p>
      <w:pPr>
        <w:pStyle w:val="BodyText"/>
        <w:spacing w:line="360" w:lineRule="auto" w:before="206"/>
        <w:ind w:left="152" w:right="104"/>
        <w:jc w:val="both"/>
        <w:rPr>
          <w:i/>
        </w:rPr>
      </w:pPr>
      <w:r>
        <w:rPr/>
        <w:t>Los factores bacterianos, incluyendo PLD y lípidos citotóxicos, contribuyen a la patogénesis a un nivel local, pero tienen poco efecto sobre la enfermedad sistémica. Después de que </w:t>
      </w:r>
      <w:r>
        <w:rPr>
          <w:i/>
        </w:rPr>
        <w:t>C. pseudotuberculosis </w:t>
      </w:r>
      <w:r>
        <w:rPr/>
        <w:t>es capturado por las células fagocíticas, tales como los neutrófilos y los macrófagos, los fagosomas se fusiona con el lisosoma, formando así el fagolisosoma (Batey, 1986). Sin embargo, </w:t>
      </w:r>
      <w:r>
        <w:rPr>
          <w:i/>
        </w:rPr>
        <w:t>C. </w:t>
      </w:r>
      <w:r>
        <w:rPr>
          <w:i/>
        </w:rPr>
        <w:t>pseudotuberculosis </w:t>
      </w:r>
      <w:r>
        <w:rPr/>
        <w:t>es un patógeno intracelular facultativo que es capaz de sobrevivir dentro de los macrófagos por más de 48 horas. Esta habilidad de </w:t>
      </w:r>
      <w:r>
        <w:rPr>
          <w:i/>
        </w:rPr>
        <w:t>C. </w:t>
      </w:r>
      <w:r>
        <w:rPr>
          <w:i/>
        </w:rPr>
        <w:t>pseudotuberculosis </w:t>
      </w:r>
      <w:r>
        <w:rPr/>
        <w:t>de sobrevivir dentro de este nicho intracelular está relacionada con la composición lipídica de su pared celular, esencialmente ácidos corynomicólicos, existiendo una correlación positiva entre el contenido de estos lípidos y la habilidad de producir lesiones en ganglios poplíteos de oveja. Los lípidos de la pared celular constituyen un factor piogénico, relacionado con la infiltración masiva con leucocitos polimorfonucleares, que transportan las bacterias a los nódulos linfáticos, y con el efecto citotóxico que destruye a los fagocitos (Brown y Olander, 1987; Aleman y Spier, 2001). Durante ese tiempo, las bacterias se liberan como resultado de un proceso que conduce a la muerte de los  fagocitos, aunque esta propiedad varía entre las diferentes cepas. </w:t>
      </w:r>
      <w:r>
        <w:rPr>
          <w:spacing w:val="3"/>
        </w:rPr>
        <w:t>Los </w:t>
      </w:r>
      <w:r>
        <w:rPr/>
        <w:t>mecanismos específicos de la muerte celular causada por </w:t>
      </w:r>
      <w:r>
        <w:rPr>
          <w:i/>
        </w:rPr>
        <w:t>C. pseudotuberculosis </w:t>
      </w:r>
      <w:r>
        <w:rPr/>
        <w:t>aún no están claros, ya que no induce la autofagia o la apoptosis de los macrófagos. Esto ha sido demostrado en líneas celulares de macrófagos murinos, como se evidencia por los niveles estables de la proteína I asociada a los microtúbulos de la cadena ligera 3 (MAP LC3-I) y la actividad de la caspasa-3 y la ausencia de fragmentación nuclear en los macrófagos infectados (Stefańska </w:t>
      </w:r>
      <w:r>
        <w:rPr>
          <w:i/>
        </w:rPr>
        <w:t>et</w:t>
      </w:r>
      <w:r>
        <w:rPr>
          <w:i/>
          <w:spacing w:val="23"/>
        </w:rPr>
        <w:t> </w:t>
      </w:r>
      <w:r>
        <w:rPr>
          <w:i/>
        </w:rPr>
        <w:t>al.,</w:t>
      </w:r>
    </w:p>
    <w:p>
      <w:pPr>
        <w:spacing w:after="0" w:line="360" w:lineRule="auto"/>
        <w:jc w:val="both"/>
        <w:sectPr>
          <w:pgSz w:w="12240" w:h="15840"/>
          <w:pgMar w:header="0" w:footer="1386" w:top="1500" w:bottom="1580" w:left="1720" w:right="1420"/>
        </w:sectPr>
      </w:pPr>
    </w:p>
    <w:p>
      <w:pPr>
        <w:pStyle w:val="BodyText"/>
        <w:spacing w:before="2"/>
        <w:rPr>
          <w:i/>
          <w:sz w:val="21"/>
        </w:rPr>
      </w:pPr>
    </w:p>
    <w:p>
      <w:pPr>
        <w:pStyle w:val="BodyText"/>
        <w:spacing w:line="360" w:lineRule="auto" w:before="69"/>
        <w:ind w:left="152" w:right="106"/>
        <w:jc w:val="both"/>
      </w:pPr>
      <w:r>
        <w:rPr/>
        <w:t>2010). Las bacterias sobreviven dentro de los macrófagos debido a que algunos macrófagos no pueden producir óxido nítrico en respuesta a </w:t>
      </w:r>
      <w:r>
        <w:rPr>
          <w:i/>
          <w:spacing w:val="-3"/>
        </w:rPr>
        <w:t>C. </w:t>
      </w:r>
      <w:r>
        <w:rPr>
          <w:i/>
        </w:rPr>
        <w:t>Pseudotuberculosis </w:t>
      </w:r>
      <w:r>
        <w:rPr/>
        <w:t>in vivo, lo que se traduce en la limpieza ineficaz del organismo (Bogdan </w:t>
      </w:r>
      <w:r>
        <w:rPr>
          <w:i/>
        </w:rPr>
        <w:t>et al., </w:t>
      </w:r>
      <w:r>
        <w:rPr/>
        <w:t>1997). Estos efectos podrían estar asociados con la capa lipídica externa en la pared celular de </w:t>
      </w:r>
      <w:r>
        <w:rPr>
          <w:i/>
        </w:rPr>
        <w:t>C. pseudotuberculosis </w:t>
      </w:r>
      <w:r>
        <w:rPr/>
        <w:t>y otros componentes antigénicos que atenúan la producción de óxido nítrico por los</w:t>
      </w:r>
      <w:r>
        <w:rPr>
          <w:spacing w:val="-28"/>
        </w:rPr>
        <w:t> </w:t>
      </w:r>
      <w:r>
        <w:rPr/>
        <w:t>macrófagos.</w:t>
      </w:r>
    </w:p>
    <w:p>
      <w:pPr>
        <w:pStyle w:val="BodyText"/>
        <w:spacing w:line="360" w:lineRule="auto" w:before="204"/>
        <w:ind w:left="152" w:right="107"/>
        <w:jc w:val="both"/>
      </w:pPr>
      <w:r>
        <w:rPr/>
        <w:t>Las exotoxinas fosfolipasa D y esfingomielinasa hidrolizan, respectivamente, lisofosfatidilcolina y esfingomielina de las membranas de células endoteliales de vasos sanguíneos y linfáticos. La desestabilización de las membranas provoca la lisis celular, incrementando la permeabilidad vascular, con la consecuente formación de edemas y facilitando la colonización y diseminación regional y sistémica en el hospedero (Lipsky </w:t>
      </w:r>
      <w:r>
        <w:rPr>
          <w:i/>
        </w:rPr>
        <w:t>et al., </w:t>
      </w:r>
      <w:r>
        <w:rPr/>
        <w:t>1982; Peel </w:t>
      </w:r>
      <w:r>
        <w:rPr>
          <w:i/>
        </w:rPr>
        <w:t>et al., </w:t>
      </w:r>
      <w:r>
        <w:rPr/>
        <w:t>1997; Aleman y Spier, 2001). La fosfolipasa D inhibe la quimiotaxis de los neutrófilos y la degranulación de células fagocíticas, y activa complemento por la vía alternativa, ocasionando necrosis y trombosis de vasos linfáticos favoreciendo la supervivencia y multiplicación del microorganismo (Aleman y Spier, 2001). Los anticuerpos frente a la toxina comienzan a detectarse a partir de la cuarta semana post-infección alcanzando un pico máximo en la decimoséptima semana y perdurando por lo menos veintisiete semanas (Simón Valencia </w:t>
      </w:r>
      <w:r>
        <w:rPr>
          <w:i/>
        </w:rPr>
        <w:t>et al., </w:t>
      </w:r>
      <w:r>
        <w:rPr/>
        <w:t>1987).</w:t>
      </w:r>
    </w:p>
    <w:p>
      <w:pPr>
        <w:pStyle w:val="BodyText"/>
      </w:pPr>
    </w:p>
    <w:p>
      <w:pPr>
        <w:pStyle w:val="BodyText"/>
        <w:spacing w:before="10"/>
        <w:rPr>
          <w:sz w:val="29"/>
        </w:rPr>
      </w:pPr>
    </w:p>
    <w:p>
      <w:pPr>
        <w:pStyle w:val="BodyText"/>
        <w:spacing w:line="360" w:lineRule="auto"/>
        <w:ind w:left="152" w:right="112"/>
        <w:jc w:val="both"/>
      </w:pPr>
      <w:r>
        <w:rPr/>
        <w:t>Como resultado del crecimiento bacteriano incontrolado dentro de los macrófagos, el hospedero intenta restringir y limitar la infección a través de la formación de piogranulomas, que se caracterizan por la encapsulación de las células infectadas con </w:t>
      </w:r>
      <w:r>
        <w:rPr>
          <w:i/>
        </w:rPr>
        <w:t>C. pseudotuberculosis</w:t>
      </w:r>
      <w:r>
        <w:rPr/>
        <w:t>. La formación de piogranulomas depende de la inmunidad adaptativa, que    es un proceso complejo en el caso de la infección por</w:t>
      </w:r>
    </w:p>
    <w:p>
      <w:pPr>
        <w:spacing w:line="360" w:lineRule="auto" w:before="2"/>
        <w:ind w:left="152" w:right="111" w:firstLine="0"/>
        <w:jc w:val="both"/>
        <w:rPr>
          <w:sz w:val="24"/>
        </w:rPr>
      </w:pPr>
      <w:r>
        <w:rPr>
          <w:i/>
          <w:sz w:val="24"/>
        </w:rPr>
        <w:t>C. pseudotuberculosis</w:t>
      </w:r>
      <w:r>
        <w:rPr>
          <w:sz w:val="24"/>
        </w:rPr>
        <w:t>, que implica tanto la respuesta inmune humoral y celular (Batey, 1986; Paule </w:t>
      </w:r>
      <w:r>
        <w:rPr>
          <w:i/>
          <w:sz w:val="24"/>
        </w:rPr>
        <w:t>et al., </w:t>
      </w:r>
      <w:r>
        <w:rPr>
          <w:sz w:val="24"/>
        </w:rPr>
        <w:t>2003).</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8"/>
        <w:jc w:val="both"/>
      </w:pPr>
      <w:r>
        <w:rPr/>
        <w:t>Los estudios inmunohistoquímicos sobre la composición celular de las lesiones pulmonares en ovejas infectadas por </w:t>
      </w:r>
      <w:r>
        <w:rPr>
          <w:i/>
        </w:rPr>
        <w:t>C. pseudotuberculosis </w:t>
      </w:r>
      <w:r>
        <w:rPr/>
        <w:t>han puesto de manifiesto un predominio de macrófagos grandes que expresan moléculas del complejo mayor de histocompatibilidad de clase II (MHC) en su superficie, en las paredes del absceso y rodeando el parénquima pulmonar. Los linfocitos T fueron prominentes en las mismas áreas dentro de las lesiones de origen natural, con  una proporción de 3.5:1 de células T CD4 y T CD8. </w:t>
      </w:r>
      <w:r>
        <w:rPr>
          <w:spacing w:val="2"/>
        </w:rPr>
        <w:t>Los </w:t>
      </w:r>
      <w:r>
        <w:rPr/>
        <w:t>linfocitos B y granulocitos comprendían una porción menor en los infiltrados celulares. Estos datos revelaron la participación de macrófagos y MHC clase II restringido a linfocitos T en la patogénesis de CLA (Ellis,</w:t>
      </w:r>
      <w:r>
        <w:rPr>
          <w:spacing w:val="-11"/>
        </w:rPr>
        <w:t> </w:t>
      </w:r>
      <w:r>
        <w:rPr/>
        <w:t>1988).</w:t>
      </w:r>
    </w:p>
    <w:p>
      <w:pPr>
        <w:pStyle w:val="BodyText"/>
        <w:spacing w:line="360" w:lineRule="auto" w:before="202"/>
        <w:ind w:left="152" w:right="105"/>
        <w:jc w:val="both"/>
      </w:pPr>
      <w:r>
        <w:rPr/>
        <w:t>Además de la formación de piogranulomas subcutáneos, la infección con </w:t>
      </w:r>
      <w:r>
        <w:rPr>
          <w:i/>
        </w:rPr>
        <w:t>C. </w:t>
      </w:r>
      <w:r>
        <w:rPr>
          <w:i/>
        </w:rPr>
        <w:t>pseudotuberculosis </w:t>
      </w:r>
      <w:r>
        <w:rPr/>
        <w:t>conduce a la formación de abscesos subcutánea que no se originan a partir de lesiones primarias de los ganglios linfáticos. Sin embargo, algunos abscesos pueden tener una cercana asociación con los ganglios  linfáticos, y como resultado la destrucción de tejido asociada con abscesos y la expansión de la naturaleza de estas lesiones, microabscesos que se componen de múltiples lesiones caseosas de 0.5-1.0 cm de diámetro (Moller </w:t>
      </w:r>
      <w:r>
        <w:rPr>
          <w:i/>
        </w:rPr>
        <w:t>et al.,</w:t>
      </w:r>
      <w:r>
        <w:rPr>
          <w:i/>
          <w:spacing w:val="-17"/>
        </w:rPr>
        <w:t> </w:t>
      </w:r>
      <w:r>
        <w:rPr/>
        <w:t>2000).</w:t>
      </w:r>
    </w:p>
    <w:p>
      <w:pPr>
        <w:pStyle w:val="BodyText"/>
        <w:spacing w:line="360" w:lineRule="auto" w:before="204"/>
        <w:ind w:left="152" w:right="105"/>
        <w:jc w:val="both"/>
        <w:rPr>
          <w:i/>
        </w:rPr>
      </w:pPr>
      <w:r>
        <w:rPr/>
        <w:t>La resistencia a la infección por </w:t>
      </w:r>
      <w:r>
        <w:rPr>
          <w:i/>
        </w:rPr>
        <w:t>C. pseudotuberculosis </w:t>
      </w:r>
      <w:r>
        <w:rPr/>
        <w:t>es un proceso complejo  que implica componentes tanto de la respuesta del hospedero no específica y específica, en el que tanto la respuesta inmune humoral y celular son operativas (Zaki, 1976; Batey, 1986; El-Enbaawy </w:t>
      </w:r>
      <w:r>
        <w:rPr>
          <w:i/>
        </w:rPr>
        <w:t>et al., </w:t>
      </w:r>
      <w:r>
        <w:rPr/>
        <w:t>2005). La importancia de los mecanismos humorales se ha demostrado mediante la evaluación de numerosos ensayos de vacunas comerciales y experimentales, que incluyen preparaciones a base de sobrenadante inactivado de cultivo celular o toxoides (Eggleton </w:t>
      </w:r>
      <w:r>
        <w:rPr>
          <w:i/>
        </w:rPr>
        <w:t>et al., </w:t>
      </w:r>
      <w:r>
        <w:rPr/>
        <w:t>1991; Stanford </w:t>
      </w:r>
      <w:r>
        <w:rPr>
          <w:i/>
        </w:rPr>
        <w:t>et al., </w:t>
      </w:r>
      <w:r>
        <w:rPr/>
        <w:t>1998), fracciones bacterianas de pared celular (Brogden </w:t>
      </w:r>
      <w:r>
        <w:rPr>
          <w:i/>
        </w:rPr>
        <w:t>et </w:t>
      </w:r>
      <w:r>
        <w:rPr>
          <w:i/>
        </w:rPr>
        <w:t>al., </w:t>
      </w:r>
      <w:r>
        <w:rPr/>
        <w:t>1984; Braga </w:t>
      </w:r>
      <w:r>
        <w:rPr>
          <w:i/>
        </w:rPr>
        <w:t>et al., </w:t>
      </w:r>
      <w:r>
        <w:rPr/>
        <w:t>2007), bacterias atenuados y muertas (Simmons </w:t>
      </w:r>
      <w:r>
        <w:rPr>
          <w:i/>
        </w:rPr>
        <w:t>et al., </w:t>
      </w:r>
      <w:r>
        <w:rPr/>
        <w:t>1997; Simmons </w:t>
      </w:r>
      <w:r>
        <w:rPr>
          <w:i/>
        </w:rPr>
        <w:t>et al., </w:t>
      </w:r>
      <w:r>
        <w:rPr/>
        <w:t>1998), exotoxinas y sus subunidades (Tashjian y Campbell, 1983; Hodgson </w:t>
      </w:r>
      <w:r>
        <w:rPr>
          <w:i/>
        </w:rPr>
        <w:t>et al., </w:t>
      </w:r>
      <w:r>
        <w:rPr/>
        <w:t>1999) o patógenos modificados genéticamente (Chaplin   </w:t>
      </w:r>
      <w:r>
        <w:rPr>
          <w:spacing w:val="44"/>
        </w:rPr>
        <w:t> </w:t>
      </w:r>
      <w:r>
        <w:rPr>
          <w:i/>
        </w:rPr>
        <w:t>et</w:t>
      </w:r>
    </w:p>
    <w:p>
      <w:pPr>
        <w:spacing w:after="0" w:line="360" w:lineRule="auto"/>
        <w:jc w:val="both"/>
        <w:sectPr>
          <w:pgSz w:w="12240" w:h="15840"/>
          <w:pgMar w:header="0" w:footer="1386" w:top="1500" w:bottom="1580" w:left="1720" w:right="1420"/>
        </w:sectPr>
      </w:pPr>
    </w:p>
    <w:p>
      <w:pPr>
        <w:pStyle w:val="BodyText"/>
        <w:spacing w:before="11"/>
        <w:rPr>
          <w:i/>
          <w:sz w:val="20"/>
        </w:rPr>
      </w:pPr>
    </w:p>
    <w:p>
      <w:pPr>
        <w:pStyle w:val="BodyText"/>
        <w:spacing w:line="360" w:lineRule="auto" w:before="69"/>
        <w:ind w:left="152" w:right="105"/>
        <w:jc w:val="both"/>
      </w:pPr>
      <w:r>
        <w:rPr>
          <w:i/>
        </w:rPr>
        <w:t>al., </w:t>
      </w:r>
      <w:r>
        <w:rPr/>
        <w:t>1999; De Rose </w:t>
      </w:r>
      <w:r>
        <w:rPr>
          <w:i/>
        </w:rPr>
        <w:t>et al., </w:t>
      </w:r>
      <w:r>
        <w:rPr/>
        <w:t>2002). Los avances respecto a la inmunoprofilaxis se han hecho, y el uso de estas preparaciones reduce el número y tamaño de los granulomas en los animales expuestos. Sin embargo, para controlar adecuadamente la infección, debe mejorarse la activación de los macrófagos; de hecho, muchos investigadores se centran actualmente en respuesta por  IFN-γ. Los estudios sugieren que la inmunidad mediada por células podría desempeñar un papel más importante que la inmunidad humoral en la resistencia a la infección por </w:t>
      </w:r>
      <w:r>
        <w:rPr>
          <w:i/>
        </w:rPr>
        <w:t>C. pseudotuberculosis </w:t>
      </w:r>
      <w:r>
        <w:rPr/>
        <w:t>(Irwin y Knight, 1975).</w:t>
      </w:r>
    </w:p>
    <w:p>
      <w:pPr>
        <w:pStyle w:val="BodyText"/>
        <w:spacing w:line="360" w:lineRule="auto" w:before="206"/>
        <w:ind w:left="152" w:right="106"/>
        <w:jc w:val="both"/>
      </w:pPr>
      <w:r>
        <w:rPr/>
        <w:t>En un estudio se encontró que la producción de IFN-γ y la presencia de sus receptores se asocian directamente con el control de la infección primaria en ratones (Simmons </w:t>
      </w:r>
      <w:r>
        <w:rPr>
          <w:i/>
        </w:rPr>
        <w:t>et al., </w:t>
      </w:r>
      <w:r>
        <w:rPr/>
        <w:t>1997). Otra citocina importante que controla principalmente las infecciones por </w:t>
      </w:r>
      <w:r>
        <w:rPr>
          <w:i/>
        </w:rPr>
        <w:t>C. pseudotuberculosis </w:t>
      </w:r>
      <w:r>
        <w:rPr/>
        <w:t>es el factor de necrosis tumoral alfa (TNF-α) (Simmons </w:t>
      </w:r>
      <w:r>
        <w:rPr>
          <w:i/>
        </w:rPr>
        <w:t>et al., </w:t>
      </w:r>
      <w:r>
        <w:rPr/>
        <w:t>1997; Lan </w:t>
      </w:r>
      <w:r>
        <w:rPr>
          <w:i/>
        </w:rPr>
        <w:t>et al., </w:t>
      </w:r>
      <w:r>
        <w:rPr/>
        <w:t>1998; Ellis </w:t>
      </w:r>
      <w:r>
        <w:rPr>
          <w:i/>
        </w:rPr>
        <w:t>et al., </w:t>
      </w:r>
      <w:r>
        <w:rPr/>
        <w:t>1995). La administración de anti-TNF-α y anticuerpos anti-IFN-γ-monoclonal (mAb) aumenta la proliferación bacteriana en órganos de ratones infectados, conduciendo a la muerte de los animales. Tanto el TNF-α y IFN-γ se requieren para la supervivencia y el desarrollo de la inmunidad protectora (Bastos </w:t>
      </w:r>
      <w:r>
        <w:rPr>
          <w:i/>
        </w:rPr>
        <w:t>et al., </w:t>
      </w:r>
      <w:r>
        <w:rPr/>
        <w:t>2012).</w:t>
      </w:r>
    </w:p>
    <w:p>
      <w:pPr>
        <w:pStyle w:val="Heading2"/>
        <w:spacing w:before="205"/>
      </w:pPr>
      <w:bookmarkStart w:name="_bookmark10" w:id="11"/>
      <w:bookmarkEnd w:id="11"/>
      <w:r>
        <w:rPr>
          <w:b w:val="0"/>
        </w:rPr>
      </w:r>
      <w:r>
        <w:rPr/>
        <w:t>Prevalencia</w:t>
      </w:r>
    </w:p>
    <w:p>
      <w:pPr>
        <w:pStyle w:val="BodyText"/>
        <w:spacing w:line="360" w:lineRule="auto" w:before="43"/>
        <w:ind w:left="152" w:right="106"/>
        <w:jc w:val="both"/>
      </w:pPr>
      <w:r>
        <w:rPr/>
        <w:t>Se ha reconocido la distribución mundial de </w:t>
      </w:r>
      <w:r>
        <w:rPr>
          <w:i/>
        </w:rPr>
        <w:t>C. pseudotuberculosis </w:t>
      </w:r>
      <w:r>
        <w:rPr/>
        <w:t>y que LC está presente en la mayoría de las áreas de cría de ovejas (Bair y Fontaine, 2007). En Brasil, (Langenegger </w:t>
      </w:r>
      <w:r>
        <w:rPr>
          <w:i/>
        </w:rPr>
        <w:t>et al., </w:t>
      </w:r>
      <w:r>
        <w:rPr/>
        <w:t>1991) plantearon que esta enfermedad está ampliamente diseminada en crías del noreste del país, aunque actualmente está siendo registrada en otras regiones. Ellos citan además a seis autores que registran una prevalencia de hasta el 30% de animales con ganglios linfáticos abscedados, también se refieren rebaños con 28 y 10% de reactores asintomáticos. Estos autores en su propio trabajo efectuado en la región de Río de Janeiro encontraron que el 77 % de los rebaños caprinos estaban infectados por</w:t>
      </w:r>
    </w:p>
    <w:p>
      <w:pPr>
        <w:spacing w:before="0"/>
        <w:ind w:left="152" w:right="0" w:firstLine="0"/>
        <w:jc w:val="both"/>
        <w:rPr>
          <w:sz w:val="24"/>
        </w:rPr>
      </w:pPr>
      <w:r>
        <w:rPr>
          <w:i/>
          <w:sz w:val="24"/>
        </w:rPr>
        <w:t>C. pseudotuberculosis</w:t>
      </w:r>
      <w:r>
        <w:rPr>
          <w:sz w:val="24"/>
        </w:rPr>
        <w:t>, con porcentajes de afectación que varían desde el 3,5 % al</w:t>
      </w:r>
    </w:p>
    <w:p>
      <w:pPr>
        <w:spacing w:after="0"/>
        <w:jc w:val="both"/>
        <w:rPr>
          <w:sz w:val="24"/>
        </w:rPr>
        <w:sectPr>
          <w:footerReference w:type="default" r:id="rId8"/>
          <w:pgSz w:w="12240" w:h="15840"/>
          <w:pgMar w:footer="1386" w:header="0" w:top="1500" w:bottom="1580" w:left="1720" w:right="1420"/>
        </w:sectPr>
      </w:pPr>
    </w:p>
    <w:p>
      <w:pPr>
        <w:pStyle w:val="BodyText"/>
        <w:spacing w:before="11"/>
        <w:rPr>
          <w:sz w:val="20"/>
        </w:rPr>
      </w:pPr>
    </w:p>
    <w:p>
      <w:pPr>
        <w:pStyle w:val="BodyText"/>
        <w:spacing w:line="360" w:lineRule="auto" w:before="69"/>
        <w:ind w:left="152" w:right="105"/>
        <w:jc w:val="both"/>
      </w:pPr>
      <w:r>
        <w:rPr/>
        <w:t>100 % de la masa (Ruiz </w:t>
      </w:r>
      <w:r>
        <w:rPr>
          <w:i/>
        </w:rPr>
        <w:t>et al., </w:t>
      </w:r>
      <w:r>
        <w:rPr/>
        <w:t>2007)</w:t>
      </w:r>
      <w:r>
        <w:rPr>
          <w:b/>
        </w:rPr>
        <w:t>. </w:t>
      </w:r>
      <w:r>
        <w:rPr/>
        <w:t>Esto coincide con (Aguilar </w:t>
      </w:r>
      <w:r>
        <w:rPr>
          <w:i/>
        </w:rPr>
        <w:t>et al., </w:t>
      </w:r>
      <w:r>
        <w:rPr/>
        <w:t>1994), quienes en la región del norte del estado de Cearà en Brasil hallaron que el 28,37% de 222 animales estaban afectados de linfadenitis caseosa. (Langenegger </w:t>
      </w:r>
      <w:r>
        <w:rPr>
          <w:i/>
        </w:rPr>
        <w:t>et al., </w:t>
      </w:r>
      <w:r>
        <w:rPr/>
        <w:t>1991). En Argentina encontraron en la región del Tandil una prevalencia   de</w:t>
      </w:r>
    </w:p>
    <w:p>
      <w:pPr>
        <w:pStyle w:val="ListParagraph"/>
        <w:numPr>
          <w:ilvl w:val="1"/>
          <w:numId w:val="1"/>
        </w:numPr>
        <w:tabs>
          <w:tab w:pos="942" w:val="left" w:leader="none"/>
        </w:tabs>
        <w:spacing w:line="360" w:lineRule="auto" w:before="5" w:after="0"/>
        <w:ind w:left="152" w:right="103" w:firstLine="0"/>
        <w:jc w:val="both"/>
        <w:rPr>
          <w:sz w:val="24"/>
        </w:rPr>
      </w:pPr>
      <w:r>
        <w:rPr>
          <w:sz w:val="24"/>
        </w:rPr>
        <w:t>% de lesiones de la enfermedad aislando </w:t>
      </w:r>
      <w:r>
        <w:rPr>
          <w:i/>
          <w:sz w:val="24"/>
        </w:rPr>
        <w:t>Corynebacterium </w:t>
      </w:r>
      <w:r>
        <w:rPr>
          <w:i/>
          <w:sz w:val="24"/>
        </w:rPr>
        <w:t>pseudotuberculosis </w:t>
      </w:r>
      <w:r>
        <w:rPr>
          <w:sz w:val="24"/>
        </w:rPr>
        <w:t>de 10 de esos animales tomados al azar (González </w:t>
      </w:r>
      <w:r>
        <w:rPr>
          <w:i/>
          <w:sz w:val="24"/>
        </w:rPr>
        <w:t>et al., </w:t>
      </w:r>
      <w:r>
        <w:rPr>
          <w:sz w:val="24"/>
        </w:rPr>
        <w:t>1999). En Chile la enfermedad se ha reportado por varios investigadores, han encontraron una prevalencia de LC en animales adultos de un 11,6% al examinar lesiones en canales de 1.397 ovinos en Planta Faenadora de Carnes en Chile (Tadich </w:t>
      </w:r>
      <w:r>
        <w:rPr>
          <w:i/>
          <w:sz w:val="24"/>
        </w:rPr>
        <w:t>et al., </w:t>
      </w:r>
      <w:r>
        <w:rPr>
          <w:sz w:val="24"/>
        </w:rPr>
        <w:t>2005). En América del Norte reportan aislamientos de varias zonas dentro de los Estados Unidos como Arizona, Texas, Washington, Wyoming, Iowa, y en Canadá de regiones como Ontario (Songer </w:t>
      </w:r>
      <w:r>
        <w:rPr>
          <w:i/>
          <w:sz w:val="24"/>
        </w:rPr>
        <w:t>et al., </w:t>
      </w:r>
      <w:r>
        <w:rPr>
          <w:sz w:val="24"/>
        </w:rPr>
        <w:t>1988), Pepin </w:t>
      </w:r>
      <w:r>
        <w:rPr>
          <w:i/>
          <w:sz w:val="24"/>
        </w:rPr>
        <w:t>et al., (</w:t>
      </w:r>
      <w:r>
        <w:rPr>
          <w:sz w:val="24"/>
        </w:rPr>
        <w:t>1988) refieren una prevalencia del 42.4 % en regiones del oeste de los Estados Unidos. Arsenault </w:t>
      </w:r>
      <w:r>
        <w:rPr>
          <w:i/>
          <w:sz w:val="24"/>
        </w:rPr>
        <w:t>et al., </w:t>
      </w:r>
      <w:r>
        <w:rPr>
          <w:sz w:val="24"/>
        </w:rPr>
        <w:t>(2003) hallaron en carneros sacrificados una prevalencia de un 21% en Quebec, Canadá. En México Ochoa </w:t>
      </w:r>
      <w:r>
        <w:rPr>
          <w:i/>
          <w:sz w:val="24"/>
        </w:rPr>
        <w:t>et al</w:t>
      </w:r>
      <w:r>
        <w:rPr>
          <w:sz w:val="24"/>
        </w:rPr>
        <w:t>. (1996) hallaron que el 5,4% de los exudados nasales que analizaron en ovejas trashumantes en Xalatlaco presentaron </w:t>
      </w:r>
      <w:r>
        <w:rPr>
          <w:i/>
          <w:sz w:val="24"/>
        </w:rPr>
        <w:t>Corynebacterium spp</w:t>
      </w:r>
      <w:r>
        <w:rPr>
          <w:sz w:val="24"/>
        </w:rPr>
        <w:t>., así como Barrientos </w:t>
      </w:r>
      <w:r>
        <w:rPr>
          <w:i/>
          <w:sz w:val="24"/>
        </w:rPr>
        <w:t>et al., </w:t>
      </w:r>
      <w:r>
        <w:rPr>
          <w:sz w:val="24"/>
        </w:rPr>
        <w:t>(1996) en ese mismo país aislaron </w:t>
      </w:r>
      <w:r>
        <w:rPr>
          <w:i/>
          <w:sz w:val="24"/>
        </w:rPr>
        <w:t>Corynebacterium pseudotuberculosis </w:t>
      </w:r>
      <w:r>
        <w:rPr>
          <w:sz w:val="24"/>
        </w:rPr>
        <w:t>en el 65% de los casos que estudiaron con lesiones en los nódulos linfáticos (Songer </w:t>
      </w:r>
      <w:r>
        <w:rPr>
          <w:i/>
          <w:sz w:val="24"/>
        </w:rPr>
        <w:t>et al.,</w:t>
      </w:r>
      <w:r>
        <w:rPr>
          <w:i/>
          <w:spacing w:val="-22"/>
          <w:sz w:val="24"/>
        </w:rPr>
        <w:t> </w:t>
      </w:r>
      <w:r>
        <w:rPr>
          <w:sz w:val="24"/>
        </w:rPr>
        <w:t>1988).</w:t>
      </w:r>
    </w:p>
    <w:p>
      <w:pPr>
        <w:pStyle w:val="BodyText"/>
        <w:spacing w:line="360" w:lineRule="auto" w:before="204"/>
        <w:ind w:left="152" w:right="107"/>
        <w:jc w:val="both"/>
      </w:pPr>
      <w:r>
        <w:rPr/>
        <w:t>En Europa, se refiere que la enfermedad se reporta en Holanda desde 1984 (Laak </w:t>
      </w:r>
      <w:r>
        <w:rPr>
          <w:i/>
        </w:rPr>
        <w:t>et al</w:t>
      </w:r>
      <w:r>
        <w:rPr/>
        <w:t>., 1992), mientras que en Francia la enfermedad se incluye como síndrome de la enfermedad de los abscesos, asociada a infecciones por </w:t>
      </w:r>
      <w:r>
        <w:rPr>
          <w:i/>
        </w:rPr>
        <w:t>Staphiloccocus  </w:t>
      </w:r>
      <w:r>
        <w:rPr>
          <w:i/>
        </w:rPr>
        <w:t>aureus</w:t>
      </w:r>
      <w:r>
        <w:rPr/>
        <w:t>, reportando una prevalencia de un 54 % (Pepin </w:t>
      </w:r>
      <w:r>
        <w:rPr>
          <w:i/>
        </w:rPr>
        <w:t>et al</w:t>
      </w:r>
      <w:r>
        <w:rPr/>
        <w:t>., 1988). También se ha reportado en regiones de España, como las Islas Canarias y Granada (Real y León, 1990), en el Reino Unido se ha realizado la caracterización de la bacteria con técnicas de electroforesis (Connor </w:t>
      </w:r>
      <w:r>
        <w:rPr>
          <w:i/>
        </w:rPr>
        <w:t>et al</w:t>
      </w:r>
      <w:r>
        <w:rPr/>
        <w:t>., 2000). Se han realizado investigaciones serológicas en rebaños ovinos de Irlanda (Malone </w:t>
      </w:r>
      <w:r>
        <w:rPr>
          <w:i/>
        </w:rPr>
        <w:t>et al</w:t>
      </w:r>
      <w:r>
        <w:rPr/>
        <w:t>., 2006). En Asia demostraron la presencia de </w:t>
      </w:r>
      <w:r>
        <w:rPr>
          <w:i/>
        </w:rPr>
        <w:t>Corynebacterium pseudotuberculosis </w:t>
      </w:r>
      <w:r>
        <w:rPr/>
        <w:t>en los rebaños</w:t>
      </w:r>
      <w:r>
        <w:rPr>
          <w:spacing w:val="50"/>
        </w:rPr>
        <w:t> </w:t>
      </w:r>
      <w:r>
        <w:rPr/>
        <w:t>bovinos</w:t>
      </w:r>
      <w:r>
        <w:rPr>
          <w:spacing w:val="50"/>
        </w:rPr>
        <w:t> </w:t>
      </w:r>
      <w:r>
        <w:rPr/>
        <w:t>como</w:t>
      </w:r>
      <w:r>
        <w:rPr>
          <w:spacing w:val="51"/>
        </w:rPr>
        <w:t> </w:t>
      </w:r>
      <w:r>
        <w:rPr/>
        <w:t>causa</w:t>
      </w:r>
      <w:r>
        <w:rPr>
          <w:spacing w:val="51"/>
        </w:rPr>
        <w:t> </w:t>
      </w:r>
      <w:r>
        <w:rPr/>
        <w:t>de</w:t>
      </w:r>
      <w:r>
        <w:rPr>
          <w:spacing w:val="51"/>
        </w:rPr>
        <w:t> </w:t>
      </w:r>
      <w:r>
        <w:rPr/>
        <w:t>la</w:t>
      </w:r>
      <w:r>
        <w:rPr>
          <w:spacing w:val="48"/>
        </w:rPr>
        <w:t> </w:t>
      </w:r>
      <w:r>
        <w:rPr/>
        <w:t>mastitis</w:t>
      </w:r>
      <w:r>
        <w:rPr>
          <w:spacing w:val="50"/>
        </w:rPr>
        <w:t> </w:t>
      </w:r>
      <w:r>
        <w:rPr/>
        <w:t>así</w:t>
      </w:r>
      <w:r>
        <w:rPr>
          <w:spacing w:val="48"/>
        </w:rPr>
        <w:t> </w:t>
      </w:r>
      <w:r>
        <w:rPr/>
        <w:t>como</w:t>
      </w:r>
      <w:r>
        <w:rPr>
          <w:spacing w:val="48"/>
        </w:rPr>
        <w:t> </w:t>
      </w:r>
      <w:r>
        <w:rPr/>
        <w:t>el</w:t>
      </w:r>
      <w:r>
        <w:rPr>
          <w:spacing w:val="49"/>
        </w:rPr>
        <w:t> </w:t>
      </w:r>
      <w:r>
        <w:rPr/>
        <w:t>importante</w:t>
      </w:r>
      <w:r>
        <w:rPr>
          <w:spacing w:val="49"/>
        </w:rPr>
        <w:t> </w:t>
      </w:r>
      <w:r>
        <w:rPr/>
        <w:t>papel</w:t>
      </w:r>
      <w:r>
        <w:rPr>
          <w:spacing w:val="49"/>
        </w:rPr>
        <w:t> </w:t>
      </w:r>
      <w:r>
        <w:rPr>
          <w:spacing w:val="-2"/>
        </w:rPr>
        <w:t>que</w:t>
      </w:r>
    </w:p>
    <w:p>
      <w:pPr>
        <w:spacing w:after="0" w:line="360" w:lineRule="auto"/>
        <w:jc w:val="both"/>
        <w:sectPr>
          <w:footerReference w:type="default" r:id="rId9"/>
          <w:pgSz w:w="12240" w:h="15840"/>
          <w:pgMar w:footer="1386" w:header="0" w:top="1500" w:bottom="1580" w:left="1720" w:right="1420"/>
          <w:pgNumType w:start="11"/>
        </w:sectPr>
      </w:pPr>
    </w:p>
    <w:p>
      <w:pPr>
        <w:pStyle w:val="BodyText"/>
        <w:spacing w:before="2"/>
        <w:rPr>
          <w:sz w:val="21"/>
        </w:rPr>
      </w:pPr>
    </w:p>
    <w:p>
      <w:pPr>
        <w:pStyle w:val="BodyText"/>
        <w:spacing w:line="360" w:lineRule="auto" w:before="69"/>
        <w:ind w:left="152" w:right="105"/>
        <w:jc w:val="both"/>
      </w:pPr>
      <w:r>
        <w:rPr/>
        <w:t>juega en esta especie, y han descrito la enfermedad con 3 formas clínicas; la mastitis, la forma visceral y la forma cutánea (Yeruham </w:t>
      </w:r>
      <w:r>
        <w:rPr>
          <w:i/>
        </w:rPr>
        <w:t>et al., </w:t>
      </w:r>
      <w:r>
        <w:rPr/>
        <w:t>1996; Yeruham </w:t>
      </w:r>
      <w:r>
        <w:rPr>
          <w:i/>
        </w:rPr>
        <w:t>et  </w:t>
      </w:r>
      <w:r>
        <w:rPr>
          <w:i/>
        </w:rPr>
        <w:t>al</w:t>
      </w:r>
      <w:r>
        <w:rPr/>
        <w:t>., 1997). En Australia se reporta una incidencia de 58% (Nairn, </w:t>
      </w:r>
      <w:r>
        <w:rPr>
          <w:i/>
        </w:rPr>
        <w:t>et al</w:t>
      </w:r>
      <w:r>
        <w:rPr/>
        <w:t>., 1977), Batey (1986) reportó una prevalencia del 54 %; en Tasmania Middleton </w:t>
      </w:r>
      <w:r>
        <w:rPr>
          <w:i/>
        </w:rPr>
        <w:t>et al., </w:t>
      </w:r>
      <w:r>
        <w:rPr/>
        <w:t>(1991) encontraron lesiones de la enfermedad en el 26 % de los animales que investigaron.</w:t>
      </w:r>
    </w:p>
    <w:p>
      <w:pPr>
        <w:pStyle w:val="Heading2"/>
        <w:spacing w:before="203"/>
      </w:pPr>
      <w:bookmarkStart w:name="_bookmark11" w:id="12"/>
      <w:bookmarkEnd w:id="12"/>
      <w:r>
        <w:rPr>
          <w:b w:val="0"/>
        </w:rPr>
      </w:r>
      <w:r>
        <w:rPr/>
        <w:t>Importancia económica</w:t>
      </w:r>
    </w:p>
    <w:p>
      <w:pPr>
        <w:pStyle w:val="BodyText"/>
        <w:spacing w:line="360" w:lineRule="auto" w:before="46"/>
        <w:ind w:left="152" w:right="105"/>
        <w:jc w:val="both"/>
      </w:pPr>
      <w:r>
        <w:rPr/>
        <w:t>El efecto de la enfermedad, en especial el tipo visceral, causa enflaquecimiento y pérdida del estado general, que es progresivo y se traduce en la disminución de la producción de lana, carne y leche. En las hembras provoca desórdenes reproductivos con un menor porcentaje de preñez en el rebaño y en los machos rechazo de carneros en la revisión previa al servicio (Arrigo, 1984; Patón </w:t>
      </w:r>
      <w:r>
        <w:rPr>
          <w:i/>
        </w:rPr>
        <w:t>et al., </w:t>
      </w:r>
      <w:r>
        <w:rPr/>
        <w:t>1994; Williamson, 2001; Arsenault </w:t>
      </w:r>
      <w:r>
        <w:rPr>
          <w:i/>
        </w:rPr>
        <w:t>et al., </w:t>
      </w:r>
      <w:r>
        <w:rPr/>
        <w:t>2003). Además aumenta la posibilidad de padecer otro tipo de enfermedades debido a la inmunodepresión local principalmente a nivel pulmonar y de ganglios mediastínicos lesionados (Brown y Olander 1987). El daño a la ganadería ovina es importante al producir pérdidas de rendimiento en el rebaño con menor peso de vellón, menor ganancia de peso y decomiso de las vísceras afectadas (A.S.I.A. 1999; Aleman y Spier, 2001). Estos hechos podrían impactar en las exportaciones, disminuyendo las posibilidades de comercialización o el valor de las canales ovinas. Es considerada una de las enfermedades más importantes, desde el punto de vista económico, que afecta ovejas y cabras en países como USA, Canadá y Australia (Burrel, 1980; Patón </w:t>
      </w:r>
      <w:r>
        <w:rPr>
          <w:i/>
        </w:rPr>
        <w:t>et </w:t>
      </w:r>
      <w:r>
        <w:rPr>
          <w:i/>
        </w:rPr>
        <w:t>al., </w:t>
      </w:r>
      <w:r>
        <w:rPr/>
        <w:t>1994; Stanford </w:t>
      </w:r>
      <w:r>
        <w:rPr>
          <w:i/>
        </w:rPr>
        <w:t>et al., </w:t>
      </w:r>
      <w:r>
        <w:rPr/>
        <w:t>1998), habiéndose comunicado para Australia una pérdida en la producción de lana de 17 millones de dólares (Patón </w:t>
      </w:r>
      <w:r>
        <w:rPr>
          <w:i/>
        </w:rPr>
        <w:t>et al., </w:t>
      </w:r>
      <w:r>
        <w:rPr/>
        <w:t>1994).</w:t>
      </w:r>
    </w:p>
    <w:p>
      <w:pPr>
        <w:pStyle w:val="BodyText"/>
      </w:pPr>
    </w:p>
    <w:p>
      <w:pPr>
        <w:pStyle w:val="BodyText"/>
        <w:spacing w:before="8"/>
        <w:rPr>
          <w:sz w:val="29"/>
        </w:rPr>
      </w:pPr>
    </w:p>
    <w:p>
      <w:pPr>
        <w:pStyle w:val="Heading2"/>
      </w:pPr>
      <w:bookmarkStart w:name="_bookmark12" w:id="13"/>
      <w:bookmarkEnd w:id="13"/>
      <w:r>
        <w:rPr>
          <w:b w:val="0"/>
        </w:rPr>
      </w:r>
      <w:r>
        <w:rPr/>
        <w:t>Diagnóstico</w:t>
      </w:r>
    </w:p>
    <w:p>
      <w:pPr>
        <w:pStyle w:val="BodyText"/>
        <w:spacing w:line="360" w:lineRule="auto" w:before="46"/>
        <w:ind w:left="152" w:right="107"/>
        <w:jc w:val="both"/>
      </w:pPr>
      <w:r>
        <w:rPr/>
        <w:t>El diagnóstico presuntivo de la infección por </w:t>
      </w:r>
      <w:r>
        <w:rPr>
          <w:i/>
        </w:rPr>
        <w:t>C. pseudotuberculosis </w:t>
      </w:r>
      <w:r>
        <w:rPr/>
        <w:t>en vivo, se basa en la palpación de ganglios superficiales aumentados de tamaño, las características  macroscópicas  de  los  exudados,  signos  clínicos  como  fiebre o</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57" w:lineRule="auto" w:before="69"/>
        <w:ind w:left="152" w:right="114"/>
        <w:jc w:val="both"/>
      </w:pPr>
      <w:r>
        <w:rPr/>
        <w:t>pérdida de peso, y datos epidemiológicos como la prevalencia local, la edad del ovino (Estevao </w:t>
      </w:r>
      <w:r>
        <w:rPr>
          <w:i/>
        </w:rPr>
        <w:t>et al., </w:t>
      </w:r>
      <w:r>
        <w:rPr/>
        <w:t>2006).</w:t>
      </w:r>
    </w:p>
    <w:p>
      <w:pPr>
        <w:pStyle w:val="BodyText"/>
        <w:spacing w:line="360" w:lineRule="auto" w:before="209"/>
        <w:ind w:left="152" w:right="106"/>
        <w:jc w:val="both"/>
      </w:pPr>
      <w:r>
        <w:rPr/>
        <w:t>El diagnóstico definitivo se establece a través del cultivo del microorganismo a partir de abscesos obtenidos por necropsia o procedimientos quirúrgicos (Alemán y Spier 2001, León </w:t>
      </w:r>
      <w:r>
        <w:rPr>
          <w:i/>
        </w:rPr>
        <w:t>et al., </w:t>
      </w:r>
      <w:r>
        <w:rPr/>
        <w:t>2002). En el análisis histopatológico de dichas muestras, se observa en general un centro amorfo y eosinófilo de necrosis rodeado por una delgada capa de linfocitos, células plasmáticas, algunas células epiteliales y neutrófilos, bordeado por una red de fibroblastos (León </w:t>
      </w:r>
      <w:r>
        <w:rPr>
          <w:i/>
        </w:rPr>
        <w:t>et al.,</w:t>
      </w:r>
      <w:r>
        <w:rPr>
          <w:i/>
          <w:spacing w:val="-22"/>
        </w:rPr>
        <w:t> </w:t>
      </w:r>
      <w:r>
        <w:rPr/>
        <w:t>2002).</w:t>
      </w:r>
    </w:p>
    <w:p>
      <w:pPr>
        <w:pStyle w:val="BodyText"/>
        <w:spacing w:line="360" w:lineRule="auto" w:before="204"/>
        <w:ind w:left="152" w:right="104"/>
        <w:jc w:val="both"/>
      </w:pPr>
      <w:r>
        <w:rPr/>
        <w:t>El análisis bacteriológico incluye microscopía y cultivo de las muestras. Las coloraciones microscópicas incluyen Gram y Ziehl Neelsen para realizar el diagnóstico diferencial con infecciones producidas por bacilos ácido alcohol resistentes (Chirrido-Zarraga </w:t>
      </w:r>
      <w:r>
        <w:rPr>
          <w:i/>
        </w:rPr>
        <w:t>et al., </w:t>
      </w:r>
      <w:r>
        <w:rPr/>
        <w:t>2005). En el Gram de las muestras, se pueden reconocer formas cocobacilares positivas en masa. La cepa desarrolla en agar sangre en 48 horas predominando el desarrollo de colonias pequeñas, blancas, secas y rodeadas de una ß hemólisis tenue, correspondientes a bacilos cortos positivos, algunos agrupados en empalizada, que se identifican metabólicamente. De acuerdo a diferentes trabajos realizados, cepas de diferentes orígenes, muestran el mismo perfil bioquímico. (Chirrido Zarraga </w:t>
      </w:r>
      <w:r>
        <w:rPr>
          <w:i/>
        </w:rPr>
        <w:t>et al., </w:t>
      </w:r>
      <w:r>
        <w:rPr/>
        <w:t>2005; Literak </w:t>
      </w:r>
      <w:r>
        <w:rPr>
          <w:i/>
        </w:rPr>
        <w:t>et al., </w:t>
      </w:r>
      <w:r>
        <w:rPr/>
        <w:t>1999; Songer </w:t>
      </w:r>
      <w:r>
        <w:rPr>
          <w:i/>
        </w:rPr>
        <w:t>et al., </w:t>
      </w:r>
      <w:r>
        <w:rPr/>
        <w:t>1988). El ensayo de hemólisis sinérgica frente a </w:t>
      </w:r>
      <w:r>
        <w:rPr>
          <w:i/>
        </w:rPr>
        <w:t>Rhodococcus </w:t>
      </w:r>
      <w:r>
        <w:rPr>
          <w:i/>
        </w:rPr>
        <w:t>equi </w:t>
      </w:r>
      <w:r>
        <w:rPr/>
        <w:t>e inhibición de la ß hemolisina del </w:t>
      </w:r>
      <w:r>
        <w:rPr>
          <w:i/>
        </w:rPr>
        <w:t>Staphylococcus aureus</w:t>
      </w:r>
      <w:r>
        <w:rPr/>
        <w:t>, ambas pruebas positivas, ponen en evidencia la producción de exotoxinas de </w:t>
      </w:r>
      <w:r>
        <w:rPr>
          <w:i/>
        </w:rPr>
        <w:t>C. </w:t>
      </w:r>
      <w:r>
        <w:rPr>
          <w:i/>
        </w:rPr>
        <w:t>pseudotuberculosis </w:t>
      </w:r>
      <w:r>
        <w:rPr/>
        <w:t>(Songer </w:t>
      </w:r>
      <w:r>
        <w:rPr>
          <w:i/>
        </w:rPr>
        <w:t>et al., </w:t>
      </w:r>
      <w:r>
        <w:rPr/>
        <w:t>1988). La prueba de reducción de nitratos a nitritos diferencia los biotipos de </w:t>
      </w:r>
      <w:r>
        <w:rPr>
          <w:i/>
        </w:rPr>
        <w:t>C. pseudotuberculosis </w:t>
      </w:r>
      <w:r>
        <w:rPr/>
        <w:t>biovar </w:t>
      </w:r>
      <w:r>
        <w:rPr>
          <w:i/>
        </w:rPr>
        <w:t>ovis </w:t>
      </w:r>
      <w:r>
        <w:rPr/>
        <w:t>y </w:t>
      </w:r>
      <w:r>
        <w:rPr>
          <w:i/>
        </w:rPr>
        <w:t>equi </w:t>
      </w:r>
      <w:r>
        <w:rPr/>
        <w:t>(Leardini </w:t>
      </w:r>
      <w:r>
        <w:rPr>
          <w:i/>
        </w:rPr>
        <w:t>et al., </w:t>
      </w:r>
      <w:r>
        <w:rPr/>
        <w:t>2002; Vay y Almuzara, 2002).</w:t>
      </w:r>
    </w:p>
    <w:p>
      <w:pPr>
        <w:pStyle w:val="BodyText"/>
        <w:spacing w:line="360" w:lineRule="auto" w:before="204"/>
        <w:ind w:left="152" w:right="108"/>
        <w:jc w:val="both"/>
      </w:pPr>
      <w:r>
        <w:rPr/>
        <w:t>Se han evaluado sistemas comerciales para la identificación de corynebacterias como el sistema Api Coryne identification system (Biomerieux, France), API20S system (Analytab Productos, NY). Minitek identification system (BBL Microbiology Systems, Cockeysville, Md.), 60-min Rapid Identification Method (Austin</w:t>
      </w:r>
      <w:r>
        <w:rPr>
          <w:spacing w:val="65"/>
        </w:rPr>
        <w:t> </w:t>
      </w:r>
      <w:r>
        <w:rPr/>
        <w:t>Biological</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4"/>
        <w:jc w:val="both"/>
      </w:pPr>
      <w:r>
        <w:rPr/>
        <w:t>Systems, Austin, Tex), Biolog system (Biolog, Calif). Estos sistemas incluyen test enzimáticos y de fermentación de azúcares. Los métodos rápidos ayudan en la identificación pero no superan la precisión de los métodos microbiológicos convencionales, debido a que requieren de pruebas adicionales para arribar a la identificación final (Lipsky </w:t>
      </w:r>
      <w:r>
        <w:rPr>
          <w:i/>
        </w:rPr>
        <w:t>et al., </w:t>
      </w:r>
      <w:r>
        <w:rPr/>
        <w:t>1982; Coyle y Lipsky, 1990; Funke </w:t>
      </w:r>
      <w:r>
        <w:rPr>
          <w:i/>
        </w:rPr>
        <w:t>et al., </w:t>
      </w:r>
      <w:r>
        <w:rPr/>
        <w:t>1997; Hommez </w:t>
      </w:r>
      <w:r>
        <w:rPr>
          <w:i/>
        </w:rPr>
        <w:t>et al., </w:t>
      </w:r>
      <w:r>
        <w:rPr/>
        <w:t>1999).</w:t>
      </w:r>
    </w:p>
    <w:p>
      <w:pPr>
        <w:pStyle w:val="BodyText"/>
        <w:spacing w:line="360" w:lineRule="auto" w:before="206"/>
        <w:ind w:left="152" w:right="106"/>
        <w:jc w:val="both"/>
      </w:pPr>
      <w:r>
        <w:rPr/>
        <w:t>Generalmente, la enfermedad es detectada en etapa post-mortem del animal, sin embargo hay investigaciones que resaltan la importancia del  diagnóstico serológico dado que detecta la enfermedad en estados subclínicos. Se han descrito una variedad de ensayos serológicos basados en técnicas de inmunofluorescencia indirecta (Simón Valencia </w:t>
      </w:r>
      <w:r>
        <w:rPr>
          <w:i/>
        </w:rPr>
        <w:t>et al., </w:t>
      </w:r>
      <w:r>
        <w:rPr/>
        <w:t>1987) microaglutinación, inmunodifusión (Menzies y Muckle, 1989), IHS (Ruiz </w:t>
      </w:r>
      <w:r>
        <w:rPr>
          <w:i/>
        </w:rPr>
        <w:t>et al</w:t>
      </w:r>
      <w:r>
        <w:rPr/>
        <w:t>., 1995), dot blot, western blotting (Ter Laak </w:t>
      </w:r>
      <w:r>
        <w:rPr>
          <w:i/>
        </w:rPr>
        <w:t>et al</w:t>
      </w:r>
      <w:r>
        <w:rPr/>
        <w:t>., 1992), fijación de complemento (Shigidi, 1979) y  diferentes procedimientos de ELISA (Kaba </w:t>
      </w:r>
      <w:r>
        <w:rPr>
          <w:i/>
        </w:rPr>
        <w:t>et al</w:t>
      </w:r>
      <w:r>
        <w:rPr/>
        <w:t>., 2001). Entre los métodos mencionados, se resaltan las pruebas de ELISA e IHS. La prueba de IHS mide la respuesta de IgG a la exotoxina en el suero del paciente; la prueba detecta la dilución mayor que puede prevenir la hemólisis de </w:t>
      </w:r>
      <w:r>
        <w:rPr>
          <w:i/>
        </w:rPr>
        <w:t>Rodococus equi </w:t>
      </w:r>
      <w:r>
        <w:rPr/>
        <w:t>cuando se utilizan glóbulos rojos sensibilizados con exotoxina de </w:t>
      </w:r>
      <w:r>
        <w:rPr>
          <w:i/>
        </w:rPr>
        <w:t>R equi </w:t>
      </w:r>
      <w:r>
        <w:rPr/>
        <w:t>(Aleman y Spier, 2001; Ruiz, et al. 1995). La reacción es interpretada a las 24H. Títulos de anticuerpos en suero equivalentes a 1:128 indican exposición y títulos 1:512 o mayores indican presencia de infección. El test IHS, ha sido utilizado en ovinos y caprinos para monitorear la prevalencia y exposición de animales y detectar infecciones subclínicas. El test tiene una sensibilidad del 98% para cabras y 96% para ovinos (Aleman y Spier, 2001; Brown y Olander,</w:t>
      </w:r>
      <w:r>
        <w:rPr>
          <w:spacing w:val="-16"/>
        </w:rPr>
        <w:t> </w:t>
      </w:r>
      <w:r>
        <w:rPr/>
        <w:t>1987).</w:t>
      </w:r>
    </w:p>
    <w:p>
      <w:pPr>
        <w:pStyle w:val="BodyText"/>
        <w:spacing w:before="5"/>
      </w:pPr>
    </w:p>
    <w:p>
      <w:pPr>
        <w:pStyle w:val="BodyText"/>
        <w:spacing w:line="360" w:lineRule="auto"/>
        <w:ind w:left="152" w:right="105"/>
        <w:jc w:val="both"/>
      </w:pPr>
      <w:r>
        <w:rPr/>
        <w:t>En los procedimiento de ELISA se emplearon diferentes soportes  antigénicos como antígenos bacterianos de pared celular, exotoxina y exotoxina recombinante, utilizándose para detectar infecciones en ovinos (Kaba </w:t>
      </w:r>
      <w:r>
        <w:rPr>
          <w:i/>
        </w:rPr>
        <w:t>et al., </w:t>
      </w:r>
      <w:r>
        <w:rPr/>
        <w:t>2001). Comercialmente  hay  disponibles  métodos  de  ELISA,  que  pueden  </w:t>
      </w:r>
      <w:r>
        <w:rPr>
          <w:spacing w:val="50"/>
        </w:rPr>
        <w:t> </w:t>
      </w:r>
      <w:r>
        <w:rPr/>
        <w:t>determinar</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infecciones subclínicas entre 30 a 60 días post-infección. Los mismos mostraron una especificidad y sensibilidad del 85%. En general, como desventaja, los métodos serológicos pueden presentar resultados falsos positivos debido a similitudes antigénicas entre diferentes especies de Corynebacterias y en  animales vacunados contra la enfermedad (Aleman and Spier, 2001; Çetinkaya </w:t>
      </w:r>
      <w:r>
        <w:rPr>
          <w:i/>
        </w:rPr>
        <w:t>et </w:t>
      </w:r>
      <w:r>
        <w:rPr>
          <w:i/>
        </w:rPr>
        <w:t>al.,</w:t>
      </w:r>
      <w:r>
        <w:rPr>
          <w:i/>
          <w:spacing w:val="-2"/>
        </w:rPr>
        <w:t> </w:t>
      </w:r>
      <w:r>
        <w:rPr/>
        <w:t>2002).</w:t>
      </w:r>
    </w:p>
    <w:p>
      <w:pPr>
        <w:pStyle w:val="BodyText"/>
        <w:spacing w:before="8"/>
      </w:pPr>
    </w:p>
    <w:p>
      <w:pPr>
        <w:pStyle w:val="BodyText"/>
        <w:spacing w:line="360" w:lineRule="auto"/>
        <w:ind w:left="152" w:right="110"/>
        <w:jc w:val="both"/>
      </w:pPr>
      <w:r>
        <w:rPr/>
        <w:t>En un estudio realizado en California, entre diciembre de 1999 y enero de 2004, donde resaltan la importancia de la técnica de ultrasonografía y/o radiografías, en el diagnóstico por imágenes en equinos afectados por la enfermedad en su forma visceral (Vaughan </w:t>
      </w:r>
      <w:r>
        <w:rPr>
          <w:i/>
        </w:rPr>
        <w:t>et al., </w:t>
      </w:r>
      <w:r>
        <w:rPr/>
        <w:t>2004).</w:t>
      </w:r>
    </w:p>
    <w:p>
      <w:pPr>
        <w:pStyle w:val="BodyText"/>
        <w:spacing w:line="360" w:lineRule="auto" w:before="5"/>
        <w:ind w:left="152" w:right="105"/>
        <w:jc w:val="both"/>
      </w:pPr>
      <w:r>
        <w:rPr/>
        <w:t>Debido a la variabilidad fenotípica que tienen algunas cepas de </w:t>
      </w:r>
      <w:r>
        <w:rPr>
          <w:i/>
        </w:rPr>
        <w:t>Corynebaterium </w:t>
      </w:r>
      <w:r>
        <w:rPr>
          <w:i/>
        </w:rPr>
        <w:t>pseudotuberculosis </w:t>
      </w:r>
      <w:r>
        <w:rPr/>
        <w:t>el PCR simplificaría la identificación de los cultivos de esta especie bacteriana (Cetinkaya </w:t>
      </w:r>
      <w:r>
        <w:rPr>
          <w:i/>
        </w:rPr>
        <w:t>et al., </w:t>
      </w:r>
      <w:r>
        <w:rPr/>
        <w:t>2002). Los sistemas de identificación de corynebacterias basados en la genética molecular están en continuo desarrollo y se están utilizando de manera creciente en los laboratorios de Microbiología. Permiten identificar y diferenciar especies estrechamente relacionadas. El más utilizado es el análisis de la secuencia del gen 16S rADN (Drancourt </w:t>
      </w:r>
      <w:r>
        <w:rPr>
          <w:i/>
        </w:rPr>
        <w:t>et al., </w:t>
      </w:r>
      <w:r>
        <w:rPr/>
        <w:t>2000).</w:t>
      </w:r>
    </w:p>
    <w:p>
      <w:pPr>
        <w:pStyle w:val="BodyText"/>
      </w:pPr>
    </w:p>
    <w:p>
      <w:pPr>
        <w:pStyle w:val="BodyText"/>
      </w:pPr>
    </w:p>
    <w:p>
      <w:pPr>
        <w:pStyle w:val="BodyText"/>
        <w:rPr>
          <w:sz w:val="23"/>
        </w:rPr>
      </w:pPr>
    </w:p>
    <w:p>
      <w:pPr>
        <w:pStyle w:val="Heading2"/>
      </w:pPr>
      <w:bookmarkStart w:name="_bookmark13" w:id="14"/>
      <w:bookmarkEnd w:id="14"/>
      <w:r>
        <w:rPr>
          <w:b w:val="0"/>
        </w:rPr>
      </w:r>
      <w:r>
        <w:rPr/>
        <w:t>Diagnóstico molecular</w:t>
      </w:r>
    </w:p>
    <w:p>
      <w:pPr>
        <w:pStyle w:val="BodyText"/>
        <w:rPr>
          <w:b/>
          <w:sz w:val="26"/>
        </w:rPr>
      </w:pPr>
    </w:p>
    <w:p>
      <w:pPr>
        <w:pStyle w:val="BodyText"/>
        <w:spacing w:before="2"/>
        <w:rPr>
          <w:b/>
          <w:sz w:val="38"/>
        </w:rPr>
      </w:pPr>
    </w:p>
    <w:p>
      <w:pPr>
        <w:pStyle w:val="Heading3"/>
        <w:spacing w:before="0"/>
        <w:rPr>
          <w:i/>
        </w:rPr>
      </w:pPr>
      <w:bookmarkStart w:name="_bookmark14" w:id="15"/>
      <w:bookmarkEnd w:id="15"/>
      <w:r>
        <w:rPr>
          <w:b w:val="0"/>
        </w:rPr>
      </w:r>
      <w:r>
        <w:rPr/>
        <w:t>Secuenciación del gen </w:t>
      </w:r>
      <w:r>
        <w:rPr>
          <w:i/>
        </w:rPr>
        <w:t>16s</w:t>
      </w:r>
    </w:p>
    <w:p>
      <w:pPr>
        <w:pStyle w:val="BodyText"/>
        <w:spacing w:line="360" w:lineRule="auto" w:before="43"/>
        <w:ind w:left="152" w:right="115"/>
        <w:jc w:val="both"/>
      </w:pPr>
      <w:r>
        <w:rPr/>
        <w:t>Es la más utilizada en el diagnóstico genotípico bacteriano en general. La comparación de las secuencias de los genes 16S rADN o de los que los codifican, permite.</w:t>
      </w:r>
    </w:p>
    <w:p>
      <w:pPr>
        <w:pStyle w:val="ListParagraph"/>
        <w:numPr>
          <w:ilvl w:val="2"/>
          <w:numId w:val="1"/>
        </w:numPr>
        <w:tabs>
          <w:tab w:pos="873" w:val="left" w:leader="none"/>
        </w:tabs>
        <w:spacing w:line="355" w:lineRule="auto" w:before="202" w:after="0"/>
        <w:ind w:left="872" w:right="110" w:hanging="360"/>
        <w:jc w:val="both"/>
        <w:rPr>
          <w:sz w:val="24"/>
        </w:rPr>
      </w:pPr>
      <w:r>
        <w:rPr>
          <w:sz w:val="24"/>
        </w:rPr>
        <w:t>Establecer las relaciones filogenéticas existentes entre los organismos procariotas. Este hecho ha tenido una gran repercusión en la taxonomía bacteriana,</w:t>
      </w:r>
      <w:r>
        <w:rPr>
          <w:spacing w:val="25"/>
          <w:sz w:val="24"/>
        </w:rPr>
        <w:t> </w:t>
      </w:r>
      <w:r>
        <w:rPr>
          <w:sz w:val="24"/>
        </w:rPr>
        <w:t>dando</w:t>
      </w:r>
      <w:r>
        <w:rPr>
          <w:spacing w:val="25"/>
          <w:sz w:val="24"/>
        </w:rPr>
        <w:t> </w:t>
      </w:r>
      <w:r>
        <w:rPr>
          <w:sz w:val="24"/>
        </w:rPr>
        <w:t>lugar</w:t>
      </w:r>
      <w:r>
        <w:rPr>
          <w:spacing w:val="23"/>
          <w:sz w:val="24"/>
        </w:rPr>
        <w:t> </w:t>
      </w:r>
      <w:r>
        <w:rPr>
          <w:sz w:val="24"/>
        </w:rPr>
        <w:t>al</w:t>
      </w:r>
      <w:r>
        <w:rPr>
          <w:spacing w:val="24"/>
          <w:sz w:val="24"/>
        </w:rPr>
        <w:t> </w:t>
      </w:r>
      <w:r>
        <w:rPr>
          <w:sz w:val="24"/>
        </w:rPr>
        <w:t>sistema</w:t>
      </w:r>
      <w:r>
        <w:rPr>
          <w:spacing w:val="23"/>
          <w:sz w:val="24"/>
        </w:rPr>
        <w:t> </w:t>
      </w:r>
      <w:r>
        <w:rPr>
          <w:sz w:val="24"/>
        </w:rPr>
        <w:t>de</w:t>
      </w:r>
      <w:r>
        <w:rPr>
          <w:spacing w:val="25"/>
          <w:sz w:val="24"/>
        </w:rPr>
        <w:t> </w:t>
      </w:r>
      <w:r>
        <w:rPr>
          <w:sz w:val="24"/>
        </w:rPr>
        <w:t>clasificación</w:t>
      </w:r>
      <w:r>
        <w:rPr>
          <w:spacing w:val="25"/>
          <w:sz w:val="24"/>
        </w:rPr>
        <w:t> </w:t>
      </w:r>
      <w:r>
        <w:rPr>
          <w:sz w:val="24"/>
        </w:rPr>
        <w:t>vigente</w:t>
      </w:r>
      <w:r>
        <w:rPr>
          <w:spacing w:val="25"/>
          <w:sz w:val="24"/>
        </w:rPr>
        <w:t> </w:t>
      </w:r>
      <w:r>
        <w:rPr>
          <w:sz w:val="24"/>
        </w:rPr>
        <w:t>en</w:t>
      </w:r>
      <w:r>
        <w:rPr>
          <w:spacing w:val="25"/>
          <w:sz w:val="24"/>
        </w:rPr>
        <w:t> </w:t>
      </w:r>
      <w:r>
        <w:rPr>
          <w:sz w:val="24"/>
        </w:rPr>
        <w:t>los</w:t>
      </w:r>
      <w:r>
        <w:rPr>
          <w:spacing w:val="22"/>
          <w:sz w:val="24"/>
        </w:rPr>
        <w:t> </w:t>
      </w:r>
      <w:r>
        <w:rPr>
          <w:sz w:val="24"/>
        </w:rPr>
        <w:t>tratados</w:t>
      </w:r>
    </w:p>
    <w:p>
      <w:pPr>
        <w:spacing w:after="0" w:line="355" w:lineRule="auto"/>
        <w:jc w:val="both"/>
        <w:rPr>
          <w:sz w:val="24"/>
        </w:rPr>
        <w:sectPr>
          <w:pgSz w:w="12240" w:h="15840"/>
          <w:pgMar w:header="0" w:footer="1386" w:top="1500" w:bottom="1580" w:left="1720" w:right="1420"/>
        </w:sectPr>
      </w:pPr>
    </w:p>
    <w:p>
      <w:pPr>
        <w:pStyle w:val="BodyText"/>
        <w:spacing w:before="2"/>
        <w:rPr>
          <w:sz w:val="21"/>
        </w:rPr>
      </w:pPr>
    </w:p>
    <w:p>
      <w:pPr>
        <w:pStyle w:val="BodyText"/>
        <w:tabs>
          <w:tab w:pos="2728" w:val="left" w:leader="none"/>
          <w:tab w:pos="3274" w:val="left" w:leader="none"/>
          <w:tab w:pos="5022" w:val="left" w:leader="none"/>
          <w:tab w:pos="6262" w:val="left" w:leader="none"/>
          <w:tab w:pos="7331" w:val="left" w:leader="none"/>
          <w:tab w:pos="7813" w:val="left" w:leader="none"/>
        </w:tabs>
        <w:spacing w:line="360" w:lineRule="auto" w:before="69"/>
        <w:ind w:left="872" w:right="105"/>
      </w:pPr>
      <w:r>
        <w:rPr/>
        <w:t>fundamentales</w:t>
        <w:tab/>
        <w:t>de</w:t>
        <w:tab/>
        <w:t>Bacteriología,</w:t>
        <w:tab/>
        <w:t>Bergey´s</w:t>
        <w:tab/>
        <w:t>Manual</w:t>
        <w:tab/>
        <w:t>of</w:t>
        <w:tab/>
        <w:t>Systematic Bacteriology y</w:t>
      </w:r>
      <w:r>
        <w:rPr>
          <w:spacing w:val="-8"/>
        </w:rPr>
        <w:t> </w:t>
      </w:r>
      <w:r>
        <w:rPr/>
        <w:t>Procaryotes.</w:t>
      </w:r>
    </w:p>
    <w:p>
      <w:pPr>
        <w:pStyle w:val="BodyText"/>
      </w:pPr>
    </w:p>
    <w:p>
      <w:pPr>
        <w:pStyle w:val="ListParagraph"/>
        <w:numPr>
          <w:ilvl w:val="2"/>
          <w:numId w:val="1"/>
        </w:numPr>
        <w:tabs>
          <w:tab w:pos="873" w:val="left" w:leader="none"/>
        </w:tabs>
        <w:spacing w:line="360" w:lineRule="auto" w:before="142" w:after="0"/>
        <w:ind w:left="872" w:right="106" w:hanging="360"/>
        <w:jc w:val="both"/>
        <w:rPr>
          <w:sz w:val="24"/>
        </w:rPr>
      </w:pPr>
      <w:r>
        <w:rPr>
          <w:sz w:val="24"/>
        </w:rPr>
        <w:t>La identificación rápida y precisa de las bacterias. En Microbiología Clínica, la identificación molecular basada en la secuenciación del gen 16S rADN se utiliza para bacterias cuya identificación por otro tipo de técnicas resulta imposible, difícil o requiere mucho tiempo, hecho que sucede en difteromorfos en general y en corynebacterias en particular. El ribosoma bacteriano tiene un coeficiente de sedimentación de 70S (unidades Svedberg), y puede disociarse en dos subunidades, la grande (50S) y la pequeña (30S). Cada subunidad es un complejo ribonucleo-protéico constituido por proteínas ribosómicas y moléculas de ARN ribosomal específicas.</w:t>
      </w:r>
    </w:p>
    <w:p>
      <w:pPr>
        <w:pStyle w:val="BodyText"/>
      </w:pPr>
    </w:p>
    <w:p>
      <w:pPr>
        <w:pStyle w:val="BodyText"/>
      </w:pPr>
    </w:p>
    <w:p>
      <w:pPr>
        <w:spacing w:before="139"/>
        <w:ind w:left="152" w:right="0" w:firstLine="0"/>
        <w:jc w:val="both"/>
        <w:rPr>
          <w:b/>
          <w:i/>
          <w:sz w:val="22"/>
        </w:rPr>
      </w:pPr>
      <w:bookmarkStart w:name="_bookmark15" w:id="16"/>
      <w:bookmarkEnd w:id="16"/>
      <w:r>
        <w:rPr/>
      </w:r>
      <w:r>
        <w:rPr>
          <w:b/>
          <w:sz w:val="22"/>
        </w:rPr>
        <w:t>Secuenciación del gen </w:t>
      </w:r>
      <w:r>
        <w:rPr>
          <w:b/>
          <w:i/>
          <w:sz w:val="22"/>
        </w:rPr>
        <w:t>rpoB</w:t>
      </w:r>
    </w:p>
    <w:p>
      <w:pPr>
        <w:pStyle w:val="BodyText"/>
        <w:spacing w:line="360" w:lineRule="auto" w:before="40"/>
        <w:ind w:left="152" w:right="107"/>
        <w:jc w:val="both"/>
      </w:pPr>
      <w:r>
        <w:rPr/>
        <w:t>El gen </w:t>
      </w:r>
      <w:r>
        <w:rPr>
          <w:i/>
        </w:rPr>
        <w:t>rpoB </w:t>
      </w:r>
      <w:r>
        <w:rPr/>
        <w:t>codifica para la subunidad I de la RNA polimerasa (las mutaciones en este gen condicionan la aparición de resistencia de diferentes microorganismos a rifampicina) (Khamis </w:t>
      </w:r>
      <w:r>
        <w:rPr>
          <w:i/>
        </w:rPr>
        <w:t>et al., </w:t>
      </w:r>
      <w:r>
        <w:rPr/>
        <w:t>2004; Khamis </w:t>
      </w:r>
      <w:r>
        <w:rPr>
          <w:i/>
        </w:rPr>
        <w:t>et al., </w:t>
      </w:r>
      <w:r>
        <w:rPr/>
        <w:t>2005). La secuencia completa de este gen es de aproximadamente 3.500 pb. El punto de corte del grado de semejanza para definir especies y subespecies del género </w:t>
      </w:r>
      <w:r>
        <w:rPr>
          <w:i/>
        </w:rPr>
        <w:t>Corynebacterium </w:t>
      </w:r>
      <w:r>
        <w:rPr/>
        <w:t>ha sido establecido en &lt;96.6 y &gt;98% respectivamente. Pero la secuenciación de un fragmento de 434 a 452 pb permite identificar acertadamente especies de </w:t>
      </w:r>
      <w:r>
        <w:rPr>
          <w:i/>
        </w:rPr>
        <w:t>Corynebacterium </w:t>
      </w:r>
      <w:r>
        <w:rPr/>
        <w:t>. El mayor grado de semejanza de esta secuencia parcial entre dos especies ha sido de 95,9% frente a un 99,7% de la secuencia completa de  16S rADN (1.500 pb) (programa SVARAP) (Renaud </w:t>
      </w:r>
      <w:r>
        <w:rPr>
          <w:i/>
        </w:rPr>
        <w:t>et al.,</w:t>
      </w:r>
      <w:r>
        <w:rPr>
          <w:i/>
          <w:spacing w:val="-15"/>
        </w:rPr>
        <w:t> </w:t>
      </w:r>
      <w:r>
        <w:rPr/>
        <w:t>2007).</w:t>
      </w:r>
    </w:p>
    <w:p>
      <w:pPr>
        <w:spacing w:before="204"/>
        <w:ind w:left="152" w:right="0" w:firstLine="0"/>
        <w:jc w:val="both"/>
        <w:rPr>
          <w:b/>
          <w:i/>
          <w:sz w:val="22"/>
        </w:rPr>
      </w:pPr>
      <w:bookmarkStart w:name="_bookmark16" w:id="17"/>
      <w:bookmarkEnd w:id="17"/>
      <w:r>
        <w:rPr/>
      </w:r>
      <w:r>
        <w:rPr>
          <w:b/>
          <w:sz w:val="22"/>
        </w:rPr>
        <w:t>Secuenciación o identificación del gen </w:t>
      </w:r>
      <w:r>
        <w:rPr>
          <w:b/>
          <w:i/>
          <w:sz w:val="22"/>
        </w:rPr>
        <w:t>pld</w:t>
      </w:r>
    </w:p>
    <w:p>
      <w:pPr>
        <w:pStyle w:val="BodyText"/>
        <w:spacing w:line="360" w:lineRule="auto" w:before="40"/>
        <w:ind w:left="152" w:right="106"/>
        <w:jc w:val="both"/>
      </w:pPr>
      <w:r>
        <w:rPr/>
        <w:t>Que corresponde a un gen que codifica para una proteína (fosfolipasa D) la cual altera la permeabilidad vascular y afecta la función de los neutrófilos en la respuesta inflamatoria (D´Afonseca </w:t>
      </w:r>
      <w:r>
        <w:rPr>
          <w:i/>
        </w:rPr>
        <w:t>et al., </w:t>
      </w:r>
      <w:r>
        <w:rPr/>
        <w:t>2008). Es un blanco de amplificación  en</w:t>
      </w:r>
    </w:p>
    <w:p>
      <w:pPr>
        <w:spacing w:after="0" w:line="360" w:lineRule="auto"/>
        <w:jc w:val="both"/>
        <w:sectPr>
          <w:pgSz w:w="12240" w:h="15840"/>
          <w:pgMar w:header="0" w:footer="1386" w:top="1500" w:bottom="1580" w:left="1720" w:right="1420"/>
        </w:sectPr>
      </w:pPr>
    </w:p>
    <w:p>
      <w:pPr>
        <w:pStyle w:val="BodyText"/>
        <w:spacing w:before="11"/>
        <w:rPr>
          <w:sz w:val="20"/>
        </w:rPr>
      </w:pPr>
    </w:p>
    <w:p>
      <w:pPr>
        <w:spacing w:line="360" w:lineRule="auto" w:before="69"/>
        <w:ind w:left="152" w:right="103" w:firstLine="0"/>
        <w:jc w:val="both"/>
        <w:rPr>
          <w:sz w:val="24"/>
        </w:rPr>
      </w:pPr>
      <w:r>
        <w:rPr>
          <w:sz w:val="24"/>
        </w:rPr>
        <w:t>ensayos de PCR para discriminar entre aislados de </w:t>
      </w:r>
      <w:r>
        <w:rPr>
          <w:i/>
          <w:sz w:val="24"/>
        </w:rPr>
        <w:t>Corynebacterium </w:t>
      </w:r>
      <w:r>
        <w:rPr>
          <w:i/>
          <w:sz w:val="24"/>
        </w:rPr>
        <w:t>pseudotuberculosis </w:t>
      </w:r>
      <w:r>
        <w:rPr>
          <w:sz w:val="24"/>
        </w:rPr>
        <w:t>y </w:t>
      </w:r>
      <w:r>
        <w:rPr>
          <w:i/>
          <w:sz w:val="24"/>
        </w:rPr>
        <w:t>Corynebacterium ulcerans </w:t>
      </w:r>
      <w:r>
        <w:rPr>
          <w:sz w:val="24"/>
        </w:rPr>
        <w:t>una especie genotípicamente  muy relacionada (Pacheco </w:t>
      </w:r>
      <w:r>
        <w:rPr>
          <w:i/>
          <w:sz w:val="24"/>
        </w:rPr>
        <w:t>et al.,</w:t>
      </w:r>
      <w:r>
        <w:rPr>
          <w:i/>
          <w:spacing w:val="-10"/>
          <w:sz w:val="24"/>
        </w:rPr>
        <w:t> </w:t>
      </w:r>
      <w:r>
        <w:rPr>
          <w:sz w:val="24"/>
        </w:rPr>
        <w:t>2007).</w:t>
      </w:r>
    </w:p>
    <w:p>
      <w:pPr>
        <w:pStyle w:val="BodyText"/>
        <w:spacing w:line="360" w:lineRule="auto" w:before="204"/>
        <w:ind w:left="152" w:right="105"/>
        <w:jc w:val="both"/>
      </w:pPr>
      <w:r>
        <w:rPr/>
        <w:t>Estos tres genes </w:t>
      </w:r>
      <w:r>
        <w:rPr>
          <w:i/>
        </w:rPr>
        <w:t>pld, rpoB, 16s, </w:t>
      </w:r>
      <w:r>
        <w:rPr/>
        <w:t>son los más importantes para el diagnóstico de </w:t>
      </w:r>
      <w:r>
        <w:rPr>
          <w:i/>
        </w:rPr>
        <w:t>Corynebacterium pseudotuberculosis </w:t>
      </w:r>
      <w:r>
        <w:rPr/>
        <w:t>y los tres fueron amplificados en un estudio de PCR multiplex con excelentes resultados; obteniendo un método de alta sensibilidad reproducibilidad y eficacia en el diagnóstico de la bacteria (Pacheco </w:t>
      </w:r>
      <w:r>
        <w:rPr>
          <w:i/>
        </w:rPr>
        <w:t>et </w:t>
      </w:r>
      <w:r>
        <w:rPr>
          <w:i/>
        </w:rPr>
        <w:t>al., </w:t>
      </w:r>
      <w:r>
        <w:rPr/>
        <w:t>2007).</w:t>
      </w:r>
    </w:p>
    <w:p>
      <w:pPr>
        <w:pStyle w:val="Heading2"/>
        <w:spacing w:before="202"/>
      </w:pPr>
      <w:bookmarkStart w:name="_bookmark17" w:id="18"/>
      <w:bookmarkEnd w:id="18"/>
      <w:r>
        <w:rPr>
          <w:b w:val="0"/>
        </w:rPr>
      </w:r>
      <w:r>
        <w:rPr/>
        <w:t>Secuenciación completa del genoma</w:t>
      </w:r>
    </w:p>
    <w:p>
      <w:pPr>
        <w:spacing w:line="360" w:lineRule="auto" w:before="48"/>
        <w:ind w:left="152" w:right="103" w:firstLine="0"/>
        <w:jc w:val="both"/>
        <w:rPr>
          <w:sz w:val="24"/>
        </w:rPr>
      </w:pPr>
      <w:r>
        <w:rPr>
          <w:sz w:val="24"/>
        </w:rPr>
        <w:t>Se ha secuenciado el genoma completo de cinco corynebacterias en los últimos seis años: </w:t>
      </w:r>
      <w:r>
        <w:rPr>
          <w:i/>
          <w:sz w:val="24"/>
        </w:rPr>
        <w:t>C. diphtheriae </w:t>
      </w:r>
      <w:r>
        <w:rPr>
          <w:sz w:val="24"/>
        </w:rPr>
        <w:t>(Cerdeño-Tárrega </w:t>
      </w:r>
      <w:r>
        <w:rPr>
          <w:i/>
          <w:sz w:val="24"/>
        </w:rPr>
        <w:t>et al., </w:t>
      </w:r>
      <w:r>
        <w:rPr>
          <w:sz w:val="24"/>
        </w:rPr>
        <w:t>2003), </w:t>
      </w:r>
      <w:r>
        <w:rPr>
          <w:i/>
          <w:sz w:val="24"/>
        </w:rPr>
        <w:t>C. jeikeium </w:t>
      </w:r>
      <w:r>
        <w:rPr>
          <w:sz w:val="24"/>
        </w:rPr>
        <w:t>(Tauch </w:t>
      </w:r>
      <w:r>
        <w:rPr>
          <w:i/>
          <w:sz w:val="24"/>
        </w:rPr>
        <w:t>et al., </w:t>
      </w:r>
      <w:r>
        <w:rPr>
          <w:sz w:val="24"/>
        </w:rPr>
        <w:t>2005), </w:t>
      </w:r>
      <w:r>
        <w:rPr>
          <w:i/>
          <w:sz w:val="24"/>
        </w:rPr>
        <w:t>C. urealyticum </w:t>
      </w:r>
      <w:r>
        <w:rPr>
          <w:sz w:val="24"/>
        </w:rPr>
        <w:t>(Tauch </w:t>
      </w:r>
      <w:r>
        <w:rPr>
          <w:i/>
          <w:sz w:val="24"/>
        </w:rPr>
        <w:t>et al., </w:t>
      </w:r>
      <w:r>
        <w:rPr>
          <w:sz w:val="24"/>
        </w:rPr>
        <w:t>2008), </w:t>
      </w:r>
      <w:r>
        <w:rPr>
          <w:i/>
          <w:sz w:val="24"/>
        </w:rPr>
        <w:t>C. kroppenstedtii </w:t>
      </w:r>
      <w:r>
        <w:rPr>
          <w:sz w:val="24"/>
        </w:rPr>
        <w:t>(Tauch </w:t>
      </w:r>
      <w:r>
        <w:rPr>
          <w:i/>
          <w:sz w:val="24"/>
        </w:rPr>
        <w:t>et al., </w:t>
      </w:r>
      <w:r>
        <w:rPr>
          <w:sz w:val="24"/>
        </w:rPr>
        <w:t>2008)  y</w:t>
      </w:r>
    </w:p>
    <w:p>
      <w:pPr>
        <w:pStyle w:val="BodyText"/>
        <w:spacing w:line="362" w:lineRule="auto" w:before="2"/>
        <w:ind w:left="152" w:right="111"/>
        <w:jc w:val="both"/>
      </w:pPr>
      <w:r>
        <w:rPr>
          <w:i/>
        </w:rPr>
        <w:t>C. aurimucosum </w:t>
      </w:r>
      <w:r>
        <w:rPr/>
        <w:t>(Tauch, 2008). El conocimiento del genoma de estas bacterias explica aspectos relacionados con su patogenicidad, virulencia, ecología y resistencia antimicrobiana (Soriano y Tauch, 2008).</w:t>
      </w:r>
    </w:p>
    <w:p>
      <w:pPr>
        <w:pStyle w:val="Heading2"/>
        <w:spacing w:before="199"/>
      </w:pPr>
      <w:bookmarkStart w:name="_bookmark18" w:id="19"/>
      <w:bookmarkEnd w:id="19"/>
      <w:r>
        <w:rPr>
          <w:b w:val="0"/>
        </w:rPr>
      </w:r>
      <w:r>
        <w:rPr/>
        <w:t>Genes, proteínas y vacunas</w:t>
      </w:r>
    </w:p>
    <w:p>
      <w:pPr>
        <w:pStyle w:val="BodyText"/>
        <w:spacing w:line="360" w:lineRule="auto" w:before="43"/>
        <w:ind w:left="152" w:right="103"/>
        <w:jc w:val="both"/>
      </w:pPr>
      <w:r>
        <w:rPr/>
        <w:t>Los datos de determinantes de virulencia más estudiados en </w:t>
      </w:r>
      <w:r>
        <w:rPr>
          <w:i/>
        </w:rPr>
        <w:t>Corynebacterium </w:t>
      </w:r>
      <w:r>
        <w:rPr>
          <w:i/>
        </w:rPr>
        <w:t>pseudotuberculosis </w:t>
      </w:r>
      <w:r>
        <w:rPr/>
        <w:t>son: la proteína PLD (fosfolipasa D), una exoproteína que es considerada también leucotóxica, que contribuye a la formación de lesiones y de la destrucción de macrófagos caprinos durante la infección, el operon </w:t>
      </w:r>
      <w:r>
        <w:rPr>
          <w:i/>
        </w:rPr>
        <w:t>fagABC </w:t>
      </w:r>
      <w:r>
        <w:rPr/>
        <w:t>y el gen </w:t>
      </w:r>
      <w:r>
        <w:rPr>
          <w:i/>
        </w:rPr>
        <w:t>fagD, </w:t>
      </w:r>
      <w:r>
        <w:rPr/>
        <w:t>ambos juegan un rol en la virulencia de la bacteria, la alta concentración de lípidos en la pared celular, los cuales hacen que el microorganismo resistan la digestión por enzimas celulares y así persistan como parásitos intracelulares facultativos y la proteína CP40, identificada como una proteína inmunógena que exhibe actividad proteolítica (Pinto </w:t>
      </w:r>
      <w:r>
        <w:rPr>
          <w:i/>
        </w:rPr>
        <w:t>et al., </w:t>
      </w:r>
      <w:r>
        <w:rPr/>
        <w:t>2014).</w:t>
      </w:r>
    </w:p>
    <w:p>
      <w:pPr>
        <w:pStyle w:val="BodyText"/>
        <w:spacing w:line="360" w:lineRule="auto" w:before="204"/>
        <w:ind w:left="152" w:right="107"/>
        <w:jc w:val="both"/>
      </w:pPr>
      <w:r>
        <w:rPr/>
        <w:t>Debido a la gran importancia de </w:t>
      </w:r>
      <w:r>
        <w:rPr>
          <w:i/>
        </w:rPr>
        <w:t>C. pseudotuberculosis </w:t>
      </w:r>
      <w:r>
        <w:rPr/>
        <w:t>en veterinaria, y teniendo en cuenta la ineficacia de los antibióticos, varias estrategias de vacunas ya se han</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57" w:lineRule="auto" w:before="69"/>
        <w:ind w:left="152" w:right="115"/>
        <w:jc w:val="both"/>
      </w:pPr>
      <w:r>
        <w:rPr/>
        <w:t>desarrollado, incluyendo el uso de bacterias atenuadas o inactivadas, fracciones de la pared celular, y las vacunas de ADN (Dorella </w:t>
      </w:r>
      <w:r>
        <w:rPr>
          <w:i/>
        </w:rPr>
        <w:t>et al.,</w:t>
      </w:r>
      <w:r>
        <w:rPr>
          <w:i/>
          <w:spacing w:val="-19"/>
        </w:rPr>
        <w:t> </w:t>
      </w:r>
      <w:r>
        <w:rPr/>
        <w:t>2009).</w:t>
      </w:r>
    </w:p>
    <w:p>
      <w:pPr>
        <w:pStyle w:val="BodyText"/>
        <w:spacing w:line="360" w:lineRule="auto" w:before="209"/>
        <w:ind w:left="152" w:right="104"/>
        <w:jc w:val="both"/>
      </w:pPr>
      <w:r>
        <w:rPr/>
        <w:t>Las vacunas actuales se basan principalmente en la inactivación con formalina de la fosfolipasa D (PLD), el principal antígeno protector de </w:t>
      </w:r>
      <w:r>
        <w:rPr>
          <w:i/>
        </w:rPr>
        <w:t>Corynebacterium </w:t>
      </w:r>
      <w:r>
        <w:rPr>
          <w:i/>
        </w:rPr>
        <w:t>pseudotuberculosis </w:t>
      </w:r>
      <w:r>
        <w:rPr/>
        <w:t>y uno de los principales factores de virulencia, la cual promueve la difusión del patógeno mediante la activación de la permeabilización vascular, hemólisis, y la interrupción de la membrana (Hodgson </w:t>
      </w:r>
      <w:r>
        <w:rPr>
          <w:i/>
        </w:rPr>
        <w:t>et al., </w:t>
      </w:r>
      <w:r>
        <w:rPr/>
        <w:t>1999; Selvy </w:t>
      </w:r>
      <w:r>
        <w:rPr>
          <w:i/>
        </w:rPr>
        <w:t>et al., </w:t>
      </w:r>
      <w:r>
        <w:rPr/>
        <w:t>2011).</w:t>
      </w:r>
    </w:p>
    <w:p>
      <w:pPr>
        <w:pStyle w:val="BodyText"/>
        <w:spacing w:line="360" w:lineRule="auto" w:before="204"/>
        <w:ind w:left="152" w:right="110"/>
        <w:jc w:val="both"/>
      </w:pPr>
      <w:r>
        <w:rPr/>
        <w:t>Sin embargo, aunque existen estrategias de vacunación, los animales vacunados presentan variables en los niveles de protección; no todas las vacunas disponibles para su uso en el ganado ovino tienen la misma eficacia en el ganado caprino (Windsor, 2011).</w:t>
      </w:r>
    </w:p>
    <w:p>
      <w:pPr>
        <w:pStyle w:val="BodyText"/>
        <w:spacing w:line="360" w:lineRule="auto" w:before="204"/>
        <w:ind w:left="152" w:right="107"/>
        <w:jc w:val="both"/>
      </w:pPr>
      <w:r>
        <w:rPr/>
        <w:t>Por ello existe la necesidad de una mejor caracterización de los factores de virulencia de </w:t>
      </w:r>
      <w:r>
        <w:rPr>
          <w:i/>
        </w:rPr>
        <w:t>Corynebacterium pseudotuberculosis </w:t>
      </w:r>
      <w:r>
        <w:rPr/>
        <w:t>y realizar comparaciones completas de los factores de virulencia de los distintos biotipos para el desarrollo de nuevas estrategias de vacunación, que sean capaces de proteger no sólo a los pequeños rumiantes, sino también a caballos y ganado vacuno.</w:t>
      </w:r>
    </w:p>
    <w:p>
      <w:pPr>
        <w:pStyle w:val="BodyText"/>
        <w:spacing w:line="360" w:lineRule="auto" w:before="202"/>
        <w:ind w:left="152" w:right="110"/>
        <w:jc w:val="both"/>
      </w:pPr>
      <w:r>
        <w:rPr/>
        <w:t>Existen múltiples trabajos que muestran las diferentes proteínas antigénicas de </w:t>
      </w:r>
      <w:r>
        <w:rPr>
          <w:i/>
        </w:rPr>
        <w:t>Corynebacterium pseudotuberculosis </w:t>
      </w:r>
      <w:r>
        <w:rPr/>
        <w:t>y de los cuales podemos hacer un análisis para poder elegir las posibles candidatas en elaboración de inmunógenos protectores.</w:t>
      </w:r>
    </w:p>
    <w:p>
      <w:pPr>
        <w:pStyle w:val="BodyText"/>
        <w:spacing w:line="360" w:lineRule="auto" w:before="202"/>
        <w:ind w:left="152" w:right="103"/>
        <w:jc w:val="both"/>
      </w:pPr>
      <w:r>
        <w:rPr/>
        <w:t>Los determinantes genéticos de virulencia de </w:t>
      </w:r>
      <w:r>
        <w:rPr>
          <w:i/>
        </w:rPr>
        <w:t>Corynebacterium  </w:t>
      </w:r>
      <w:r>
        <w:rPr>
          <w:i/>
        </w:rPr>
        <w:t>pseudotuberculosis </w:t>
      </w:r>
      <w:r>
        <w:rPr/>
        <w:t>han sido pobremente caracterizados (Dorella </w:t>
      </w:r>
      <w:r>
        <w:rPr>
          <w:i/>
        </w:rPr>
        <w:t>et al., </w:t>
      </w:r>
      <w:r>
        <w:rPr/>
        <w:t>2006) y hasta el 2006 solo 19 proteínas estaba identificadas en la base de datos Gen Pept (GenBank) y las cuales se muestra en el cuadro</w:t>
      </w:r>
      <w:r>
        <w:rPr>
          <w:spacing w:val="-9"/>
        </w:rPr>
        <w:t> </w:t>
      </w:r>
      <w:r>
        <w:rPr/>
        <w:t>1.</w:t>
      </w:r>
    </w:p>
    <w:p>
      <w:pPr>
        <w:spacing w:after="0" w:line="360" w:lineRule="auto"/>
        <w:jc w:val="both"/>
        <w:sectPr>
          <w:pgSz w:w="12240" w:h="15840"/>
          <w:pgMar w:header="0" w:footer="1386" w:top="1500" w:bottom="1580" w:left="1720" w:right="1420"/>
        </w:sectPr>
      </w:pPr>
    </w:p>
    <w:p>
      <w:pPr>
        <w:pStyle w:val="BodyText"/>
        <w:spacing w:before="11"/>
        <w:rPr>
          <w:sz w:val="20"/>
        </w:rPr>
      </w:pPr>
    </w:p>
    <w:p>
      <w:pPr>
        <w:spacing w:line="242" w:lineRule="auto" w:before="69"/>
        <w:ind w:left="152" w:right="259" w:firstLine="0"/>
        <w:jc w:val="left"/>
        <w:rPr>
          <w:b/>
          <w:sz w:val="24"/>
        </w:rPr>
      </w:pPr>
      <w:bookmarkStart w:name="_bookmark19" w:id="20"/>
      <w:bookmarkEnd w:id="20"/>
      <w:r>
        <w:rPr/>
      </w:r>
      <w:r>
        <w:rPr>
          <w:b/>
          <w:sz w:val="24"/>
        </w:rPr>
        <w:t>Cuadro 1 Genes de </w:t>
      </w:r>
      <w:r>
        <w:rPr>
          <w:b/>
          <w:i/>
          <w:sz w:val="24"/>
        </w:rPr>
        <w:t>Corynebacterium pseudotuberculosis </w:t>
      </w:r>
      <w:r>
        <w:rPr>
          <w:b/>
          <w:sz w:val="24"/>
        </w:rPr>
        <w:t>depositados en el Gen Pept (NCBI)</w:t>
      </w:r>
    </w:p>
    <w:p>
      <w:pPr>
        <w:pStyle w:val="BodyText"/>
        <w:spacing w:before="9"/>
        <w:rPr>
          <w:b/>
          <w:sz w:val="13"/>
        </w:rPr>
      </w:pPr>
      <w:r>
        <w:rPr/>
        <w:drawing>
          <wp:anchor distT="0" distB="0" distL="0" distR="0" allowOverlap="1" layoutInCell="1" locked="0" behindDoc="0" simplePos="0" relativeHeight="1168">
            <wp:simplePos x="0" y="0"/>
            <wp:positionH relativeFrom="page">
              <wp:posOffset>1190244</wp:posOffset>
            </wp:positionH>
            <wp:positionV relativeFrom="paragraph">
              <wp:posOffset>125767</wp:posOffset>
            </wp:positionV>
            <wp:extent cx="5632444" cy="3024378"/>
            <wp:effectExtent l="0" t="0" r="0" b="0"/>
            <wp:wrapTopAndBottom/>
            <wp:docPr id="5" name="image2.jpeg" descr=""/>
            <wp:cNvGraphicFramePr>
              <a:graphicFrameLocks noChangeAspect="1"/>
            </wp:cNvGraphicFramePr>
            <a:graphic>
              <a:graphicData uri="http://schemas.openxmlformats.org/drawingml/2006/picture">
                <pic:pic>
                  <pic:nvPicPr>
                    <pic:cNvPr id="6" name="image2.jpeg"/>
                    <pic:cNvPicPr/>
                  </pic:nvPicPr>
                  <pic:blipFill>
                    <a:blip r:embed="rId10" cstate="print"/>
                    <a:stretch>
                      <a:fillRect/>
                    </a:stretch>
                  </pic:blipFill>
                  <pic:spPr>
                    <a:xfrm>
                      <a:off x="0" y="0"/>
                      <a:ext cx="5632444" cy="3024378"/>
                    </a:xfrm>
                    <a:prstGeom prst="rect">
                      <a:avLst/>
                    </a:prstGeom>
                  </pic:spPr>
                </pic:pic>
              </a:graphicData>
            </a:graphic>
          </wp:anchor>
        </w:drawing>
      </w:r>
    </w:p>
    <w:p>
      <w:pPr>
        <w:pStyle w:val="BodyText"/>
        <w:rPr>
          <w:b/>
          <w:sz w:val="19"/>
        </w:rPr>
      </w:pPr>
    </w:p>
    <w:p>
      <w:pPr>
        <w:pStyle w:val="BodyText"/>
        <w:spacing w:line="360" w:lineRule="auto"/>
        <w:ind w:left="152" w:right="107"/>
        <w:jc w:val="both"/>
      </w:pPr>
      <w:r>
        <w:rPr/>
        <w:t>La mayoría de estos genes representan factores de virulencia o modulan positivamente genes de virulencia o codifican factores de virulencia que confieren características patógenas para </w:t>
      </w:r>
      <w:r>
        <w:rPr>
          <w:i/>
        </w:rPr>
        <w:t>Corynebacterium pseudotuberculosis </w:t>
      </w:r>
      <w:r>
        <w:rPr/>
        <w:t>(D´Afonseca </w:t>
      </w:r>
      <w:r>
        <w:rPr>
          <w:i/>
        </w:rPr>
        <w:t>et al., </w:t>
      </w:r>
      <w:r>
        <w:rPr/>
        <w:t>2008).</w:t>
      </w:r>
    </w:p>
    <w:p>
      <w:pPr>
        <w:pStyle w:val="BodyText"/>
        <w:spacing w:line="362" w:lineRule="auto" w:before="204"/>
        <w:ind w:left="152" w:right="108"/>
        <w:jc w:val="both"/>
      </w:pPr>
      <w:r>
        <w:rPr/>
        <w:t>Sin embargo en un artículo más reciente (Bastos </w:t>
      </w:r>
      <w:r>
        <w:rPr>
          <w:i/>
        </w:rPr>
        <w:t>et al</w:t>
      </w:r>
      <w:r>
        <w:rPr/>
        <w:t>., 2012) fueron enlistadas las publicaciones de 40 años sobre modelos de vacunas.</w:t>
      </w:r>
    </w:p>
    <w:p>
      <w:pPr>
        <w:pStyle w:val="BodyText"/>
        <w:spacing w:line="360" w:lineRule="auto" w:before="199"/>
        <w:ind w:left="152" w:right="109"/>
        <w:jc w:val="both"/>
      </w:pPr>
      <w:r>
        <w:rPr/>
        <w:t>Estudios más recientes a los mencionados anteriormente y con nuevas técnicas y herramientas moleculares se han llevado a cabo, y entre ellos podemos mencionar los siguientes:</w:t>
      </w:r>
    </w:p>
    <w:p>
      <w:pPr>
        <w:spacing w:after="0" w:line="360" w:lineRule="auto"/>
        <w:jc w:val="both"/>
        <w:sectPr>
          <w:pgSz w:w="12240" w:h="15840"/>
          <w:pgMar w:header="0" w:footer="1386" w:top="1500" w:bottom="1580" w:left="1720" w:right="1420"/>
        </w:sectPr>
      </w:pPr>
    </w:p>
    <w:p>
      <w:pPr>
        <w:pStyle w:val="BodyText"/>
        <w:spacing w:before="3"/>
        <w:rPr>
          <w:sz w:val="21"/>
        </w:rPr>
      </w:pPr>
    </w:p>
    <w:p>
      <w:pPr>
        <w:pStyle w:val="Heading2"/>
        <w:spacing w:before="66"/>
      </w:pPr>
      <w:bookmarkStart w:name="_bookmark20" w:id="21"/>
      <w:bookmarkEnd w:id="21"/>
      <w:r>
        <w:rPr>
          <w:b w:val="0"/>
        </w:rPr>
      </w:r>
      <w:r>
        <w:rPr/>
        <w:t>Estudios recientes</w:t>
      </w:r>
    </w:p>
    <w:p>
      <w:pPr>
        <w:pStyle w:val="BodyText"/>
        <w:spacing w:line="360" w:lineRule="auto" w:before="46"/>
        <w:ind w:left="152" w:right="108"/>
        <w:jc w:val="both"/>
      </w:pPr>
      <w:r>
        <w:rPr>
          <w:b/>
        </w:rPr>
        <w:t>Las proteínas de choque térmico (HSPs) </w:t>
      </w:r>
      <w:r>
        <w:rPr/>
        <w:t>son tradicionalmente clasificadas en base a su peso molecular, son proteínas altamente conservadas, abundantemente expresadas en organismos eucariontes y procariontes. Las proteínas de choque térmico son consideradas inmunológicamente importantes por el hecho de que  son reconocidas en el hospedero en bacterias, hongos e infecciones parasitarias; induciendo una fuerte respuesta inmune humoral y celular en mamíferos. Muchos estudios han mostrado que estas versátiles proteínas pueden ser usadas como antígenos para uso como</w:t>
      </w:r>
      <w:r>
        <w:rPr>
          <w:spacing w:val="-12"/>
        </w:rPr>
        <w:t> </w:t>
      </w:r>
      <w:r>
        <w:rPr/>
        <w:t>vacunas.</w:t>
      </w:r>
    </w:p>
    <w:p>
      <w:pPr>
        <w:pStyle w:val="BodyText"/>
        <w:spacing w:line="360" w:lineRule="auto" w:before="202"/>
        <w:ind w:left="152" w:right="107"/>
        <w:jc w:val="both"/>
      </w:pPr>
      <w:r>
        <w:rPr/>
        <w:t>La proteína </w:t>
      </w:r>
      <w:r>
        <w:rPr>
          <w:b/>
        </w:rPr>
        <w:t>Hsp60 </w:t>
      </w:r>
      <w:r>
        <w:rPr/>
        <w:t>de </w:t>
      </w:r>
      <w:r>
        <w:rPr>
          <w:i/>
        </w:rPr>
        <w:t>Corynebacterium pseudotubeculosis </w:t>
      </w:r>
      <w:r>
        <w:rPr/>
        <w:t>fue usada como una subunidad proteínica inmunógena contra Linfadenitis caseosa, sin embargo, falló para conferir protección en ratones contra la infección de </w:t>
      </w:r>
      <w:r>
        <w:rPr>
          <w:i/>
        </w:rPr>
        <w:t>C. pseudotuberculosis. </w:t>
      </w:r>
      <w:r>
        <w:rPr/>
        <w:t>Por otro lado, en un estudio donde se usó una estrategia alterna, identificaron y caracterizaron el operon bicistrinico </w:t>
      </w:r>
      <w:r>
        <w:rPr>
          <w:b/>
          <w:i/>
        </w:rPr>
        <w:t>hsp60-hsp10 </w:t>
      </w:r>
      <w:r>
        <w:rPr/>
        <w:t>de la bacteria </w:t>
      </w:r>
      <w:r>
        <w:rPr>
          <w:i/>
        </w:rPr>
        <w:t>Corynebacterium </w:t>
      </w:r>
      <w:r>
        <w:rPr>
          <w:i/>
        </w:rPr>
        <w:t>pseudotuberculosis, </w:t>
      </w:r>
      <w:r>
        <w:rPr/>
        <w:t>realizando la construcción de una vacuna ADN mediante la clonación del gen en un vector de expresión de mamífero. Ratones BALB/c fueron inmunizados por vía intramuscular con el plásmido recombinante (Pvax1/hsp60). Esta vacunación indujo significante producción de isotipos anti-hsp60 IgG, IgG1 e IgG2a. Sin embargo la inmunización con esta vacuna de ADN no confirió inmunidad protectora (Costa </w:t>
      </w:r>
      <w:r>
        <w:rPr>
          <w:i/>
        </w:rPr>
        <w:t>et al., </w:t>
      </w:r>
      <w:r>
        <w:rPr/>
        <w:t>2011).</w:t>
      </w:r>
    </w:p>
    <w:p>
      <w:pPr>
        <w:pStyle w:val="BodyText"/>
        <w:spacing w:line="360" w:lineRule="auto" w:before="204"/>
        <w:ind w:left="152" w:right="106"/>
        <w:jc w:val="both"/>
      </w:pPr>
      <w:r>
        <w:rPr/>
        <w:t>Ruiz </w:t>
      </w:r>
      <w:r>
        <w:rPr>
          <w:i/>
        </w:rPr>
        <w:t>et al., </w:t>
      </w:r>
      <w:r>
        <w:rPr/>
        <w:t>(2011) realizó un estudio en el cual identificó las islas de patogenicidad </w:t>
      </w:r>
      <w:r>
        <w:rPr>
          <w:b/>
        </w:rPr>
        <w:t>(PAIs)</w:t>
      </w:r>
      <w:r>
        <w:rPr/>
        <w:t>. Menciona que en bacterias patógenas es altamente relevante para comprender las razones detrás de las diferentes respuestas a las vacunas y los mecanismos biológicos que conducen a la plasticidad del genoma. Las biovariedades </w:t>
      </w:r>
      <w:r>
        <w:rPr>
          <w:i/>
        </w:rPr>
        <w:t>equi </w:t>
      </w:r>
      <w:r>
        <w:rPr/>
        <w:t>y </w:t>
      </w:r>
      <w:r>
        <w:rPr>
          <w:i/>
        </w:rPr>
        <w:t>ovis </w:t>
      </w:r>
      <w:r>
        <w:rPr/>
        <w:t>de </w:t>
      </w:r>
      <w:r>
        <w:rPr>
          <w:i/>
        </w:rPr>
        <w:t>C. pseudotuberculosis </w:t>
      </w:r>
      <w:r>
        <w:rPr/>
        <w:t>causan distintas  enfermedades en sus hospederos, la evaluación de los genes de virulencia podrían ayudar a identificar genes involucrados en estas diferencias específicas del</w:t>
      </w:r>
      <w:r>
        <w:rPr>
          <w:spacing w:val="-5"/>
        </w:rPr>
        <w:t> </w:t>
      </w:r>
      <w:r>
        <w:rPr/>
        <w:t>hospedero.</w:t>
      </w:r>
    </w:p>
    <w:p>
      <w:pPr>
        <w:spacing w:after="0" w:line="360" w:lineRule="auto"/>
        <w:jc w:val="both"/>
        <w:sectPr>
          <w:footerReference w:type="default" r:id="rId11"/>
          <w:pgSz w:w="12240" w:h="15840"/>
          <w:pgMar w:footer="1386" w:header="0" w:top="1500" w:bottom="1580" w:left="1720" w:right="1420"/>
        </w:sectPr>
      </w:pPr>
    </w:p>
    <w:p>
      <w:pPr>
        <w:pStyle w:val="BodyText"/>
        <w:spacing w:before="11"/>
        <w:rPr>
          <w:sz w:val="20"/>
        </w:rPr>
      </w:pPr>
    </w:p>
    <w:p>
      <w:pPr>
        <w:pStyle w:val="BodyText"/>
        <w:spacing w:line="360" w:lineRule="auto" w:before="69"/>
        <w:ind w:left="152" w:right="105"/>
        <w:jc w:val="both"/>
      </w:pPr>
      <w:r>
        <w:rPr/>
        <w:t>Sá </w:t>
      </w:r>
      <w:r>
        <w:rPr>
          <w:i/>
        </w:rPr>
        <w:t>et al., </w:t>
      </w:r>
      <w:r>
        <w:rPr/>
        <w:t>(2013) realizó un estudio mediante la utilización de la técnica de PCR para identificar la presencia de genes de virulencia de la fosfolipasa D </w:t>
      </w:r>
      <w:r>
        <w:rPr>
          <w:b/>
        </w:rPr>
        <w:t>(</w:t>
      </w:r>
      <w:r>
        <w:rPr>
          <w:b/>
          <w:i/>
        </w:rPr>
        <w:t>pld</w:t>
      </w:r>
      <w:r>
        <w:rPr>
          <w:b/>
        </w:rPr>
        <w:t>)</w:t>
      </w:r>
      <w:r>
        <w:rPr/>
        <w:t>, proteína integral de membrana </w:t>
      </w:r>
      <w:r>
        <w:rPr>
          <w:b/>
        </w:rPr>
        <w:t>(</w:t>
      </w:r>
      <w:r>
        <w:rPr>
          <w:b/>
          <w:i/>
        </w:rPr>
        <w:t>Fag A</w:t>
      </w:r>
      <w:r>
        <w:rPr>
          <w:b/>
        </w:rPr>
        <w:t>)</w:t>
      </w:r>
      <w:r>
        <w:rPr/>
        <w:t>, proteína trasportadora de hierro </w:t>
      </w:r>
      <w:r>
        <w:rPr>
          <w:b/>
        </w:rPr>
        <w:t>(</w:t>
      </w:r>
      <w:r>
        <w:rPr>
          <w:b/>
          <w:i/>
        </w:rPr>
        <w:t>Fag B</w:t>
      </w:r>
      <w:r>
        <w:rPr>
          <w:b/>
        </w:rPr>
        <w:t>)</w:t>
      </w:r>
      <w:r>
        <w:rPr/>
        <w:t>, proteína de la membrana citoplasmática ATP binding </w:t>
      </w:r>
      <w:r>
        <w:rPr>
          <w:b/>
        </w:rPr>
        <w:t>(</w:t>
      </w:r>
      <w:r>
        <w:rPr>
          <w:b/>
          <w:i/>
        </w:rPr>
        <w:t>Fag C</w:t>
      </w:r>
      <w:r>
        <w:rPr>
          <w:b/>
        </w:rPr>
        <w:t>) </w:t>
      </w:r>
      <w:r>
        <w:rPr/>
        <w:t>y </w:t>
      </w:r>
      <w:r>
        <w:rPr>
          <w:b/>
        </w:rPr>
        <w:t>(</w:t>
      </w:r>
      <w:r>
        <w:rPr>
          <w:b/>
          <w:i/>
        </w:rPr>
        <w:t>Fag D</w:t>
      </w:r>
      <w:r>
        <w:rPr>
          <w:b/>
        </w:rPr>
        <w:t>) </w:t>
      </w:r>
      <w:r>
        <w:rPr/>
        <w:t>en 168 aislados de </w:t>
      </w:r>
      <w:r>
        <w:rPr>
          <w:i/>
        </w:rPr>
        <w:t>C. pseudotuberculosis </w:t>
      </w:r>
      <w:r>
        <w:rPr/>
        <w:t>obtenidos de casos de linfadenitis caseosa en ovejas y cabras. Los genes de </w:t>
      </w:r>
      <w:r>
        <w:rPr>
          <w:i/>
        </w:rPr>
        <w:t>FagA, FagB </w:t>
      </w:r>
      <w:r>
        <w:rPr/>
        <w:t>y </w:t>
      </w:r>
      <w:r>
        <w:rPr>
          <w:i/>
        </w:rPr>
        <w:t>pld </w:t>
      </w:r>
      <w:r>
        <w:rPr/>
        <w:t>fueron detectados en las 145 cepas aisladas de abscesos de linfonodos superficiales y en 23 cepas de aislados de vísceras.</w:t>
      </w:r>
    </w:p>
    <w:p>
      <w:pPr>
        <w:pStyle w:val="BodyText"/>
        <w:spacing w:before="202"/>
        <w:ind w:left="152"/>
        <w:jc w:val="both"/>
      </w:pPr>
      <w:r>
        <w:rPr/>
        <w:t>El gen </w:t>
      </w:r>
      <w:r>
        <w:rPr>
          <w:i/>
        </w:rPr>
        <w:t>FagC </w:t>
      </w:r>
      <w:r>
        <w:rPr/>
        <w:t>fue positivo en 167aislados (99.4%). El gen </w:t>
      </w:r>
      <w:r>
        <w:rPr>
          <w:i/>
        </w:rPr>
        <w:t>FagD </w:t>
      </w:r>
      <w:r>
        <w:rPr/>
        <w:t>fue detectado en</w:t>
      </w:r>
    </w:p>
    <w:p>
      <w:pPr>
        <w:pStyle w:val="BodyText"/>
        <w:spacing w:line="360" w:lineRule="auto" w:before="141"/>
        <w:ind w:left="152" w:right="105"/>
        <w:jc w:val="both"/>
      </w:pPr>
      <w:r>
        <w:rPr/>
        <w:t>160 aislados (95.23%). Todos los factores de virulencia analizados fueron encontrados más frecuentemente entre aislados colectados en las vísceras de animales con Linfadenitis caseosa, indicando una naturaleza multifactorial, así como las variaciones en la potencial invasión de las cepas de </w:t>
      </w:r>
      <w:r>
        <w:rPr>
          <w:i/>
        </w:rPr>
        <w:t>Corynebacterium </w:t>
      </w:r>
      <w:r>
        <w:rPr>
          <w:i/>
        </w:rPr>
        <w:t>pseudotuberculosis. </w:t>
      </w:r>
      <w:r>
        <w:rPr/>
        <w:t>Además en este trabajo se pudo demostrar que los genes de virulencia que codifican </w:t>
      </w:r>
      <w:r>
        <w:rPr>
          <w:i/>
        </w:rPr>
        <w:t>pld </w:t>
      </w:r>
      <w:r>
        <w:rPr/>
        <w:t>y </w:t>
      </w:r>
      <w:r>
        <w:rPr>
          <w:i/>
        </w:rPr>
        <w:t>FagA </w:t>
      </w:r>
      <w:r>
        <w:rPr/>
        <w:t>y </w:t>
      </w:r>
      <w:r>
        <w:rPr>
          <w:i/>
        </w:rPr>
        <w:t>D </w:t>
      </w:r>
      <w:r>
        <w:rPr/>
        <w:t>están presentes en la mayoría de cepas aisladas de </w:t>
      </w:r>
      <w:r>
        <w:rPr>
          <w:i/>
        </w:rPr>
        <w:t>C. pseudotuberculosis </w:t>
      </w:r>
      <w:r>
        <w:rPr/>
        <w:t>de animales con Linfadenitis caseosa,  indicando una amplia distribución en el campo y un alto potencial patógeno (Sá </w:t>
      </w:r>
      <w:r>
        <w:rPr>
          <w:i/>
        </w:rPr>
        <w:t>et </w:t>
      </w:r>
      <w:r>
        <w:rPr>
          <w:i/>
        </w:rPr>
        <w:t>al.,</w:t>
      </w:r>
      <w:r>
        <w:rPr>
          <w:i/>
          <w:spacing w:val="-2"/>
        </w:rPr>
        <w:t> </w:t>
      </w:r>
      <w:r>
        <w:rPr/>
        <w:t>2013).</w:t>
      </w:r>
    </w:p>
    <w:p>
      <w:pPr>
        <w:pStyle w:val="BodyText"/>
        <w:spacing w:line="360" w:lineRule="auto" w:before="204"/>
        <w:ind w:left="152" w:right="105"/>
        <w:jc w:val="both"/>
      </w:pPr>
      <w:r>
        <w:rPr/>
        <w:t>Soares </w:t>
      </w:r>
      <w:r>
        <w:rPr>
          <w:i/>
        </w:rPr>
        <w:t>et al., </w:t>
      </w:r>
      <w:r>
        <w:rPr/>
        <w:t>(2013) llevaron a cabo un estudio donde utilizaron la vacunología inversa para predecir proteínas antigénicas. Las proteínas predichas por SurfG + se analizaron adicionalmente con el software Vaxign, lo que resulta en la  detección de proteínas con propiedades antigénicas en las cepas de </w:t>
      </w:r>
      <w:r>
        <w:rPr>
          <w:i/>
        </w:rPr>
        <w:t>C. </w:t>
      </w:r>
      <w:r>
        <w:rPr>
          <w:i/>
        </w:rPr>
        <w:t>pseudotuberculosis </w:t>
      </w:r>
      <w:r>
        <w:rPr/>
        <w:t>1002, CIP 52.97, y 258. Realizaron un análisis más detallado que tomo solo en cuenta las proteínas candidatas de vacunas que son compartidos por las tres cepas, se predijo como antigénica en al menos una de las cepas, un total de 49 proteínas. Del total se encontró a la superfamila de proteínas </w:t>
      </w:r>
      <w:r>
        <w:rPr>
          <w:b/>
        </w:rPr>
        <w:t>HtaA </w:t>
      </w:r>
      <w:r>
        <w:rPr/>
        <w:t>que están bien caracterizada y asociada a receptores de membrana expuestos  en  la  superficie,  que  actúan  en  el  secuestro  de  hemo  desde    </w:t>
      </w:r>
      <w:r>
        <w:rPr>
          <w:spacing w:val="39"/>
        </w:rPr>
        <w:t> </w:t>
      </w:r>
      <w:r>
        <w:rPr/>
        <w:t>el</w:t>
      </w:r>
    </w:p>
    <w:p>
      <w:pPr>
        <w:spacing w:after="0" w:line="360" w:lineRule="auto"/>
        <w:jc w:val="both"/>
        <w:sectPr>
          <w:footerReference w:type="default" r:id="rId12"/>
          <w:pgSz w:w="12240" w:h="15840"/>
          <w:pgMar w:footer="1386" w:header="0" w:top="1500" w:bottom="1580" w:left="1720" w:right="1420"/>
          <w:pgNumType w:start="21"/>
        </w:sectPr>
      </w:pPr>
    </w:p>
    <w:p>
      <w:pPr>
        <w:pStyle w:val="BodyText"/>
        <w:spacing w:before="2"/>
        <w:rPr>
          <w:sz w:val="21"/>
        </w:rPr>
      </w:pPr>
    </w:p>
    <w:p>
      <w:pPr>
        <w:pStyle w:val="BodyText"/>
        <w:spacing w:line="360" w:lineRule="auto" w:before="69"/>
        <w:ind w:left="152" w:right="106"/>
        <w:jc w:val="both"/>
      </w:pPr>
      <w:r>
        <w:rPr/>
        <w:t>hospedero para adquirir hierro en entornos donde este componente es escaso, por lo tanto juega un papel crítico en la capacidad de los patógenos para causar la enfermedad. </w:t>
      </w:r>
      <w:r>
        <w:rPr>
          <w:i/>
        </w:rPr>
        <w:t>C. pseudotuberculosis </w:t>
      </w:r>
      <w:r>
        <w:rPr/>
        <w:t>también presenta otra proteína antigénica implicada en la adquisición de hierro, representada por el gen </w:t>
      </w:r>
      <w:r>
        <w:rPr>
          <w:b/>
        </w:rPr>
        <w:t>fhuD </w:t>
      </w:r>
      <w:r>
        <w:rPr/>
        <w:t>que codifica para una proteína de unión al sustrato expuesto en la superficie implicada en el transporte de ferricromo u otros sideróforos de hidroxamato. Además de estas dos proteínas de adquisición de hierro, las proteínas potencialmente antigénicas  </w:t>
      </w:r>
      <w:r>
        <w:rPr>
          <w:b/>
        </w:rPr>
        <w:t>PbpA, PbPB, MalE, RpfA, RuvA, CopC </w:t>
      </w:r>
      <w:r>
        <w:rPr/>
        <w:t>y </w:t>
      </w:r>
      <w:r>
        <w:rPr>
          <w:b/>
        </w:rPr>
        <w:t>NrfC </w:t>
      </w:r>
      <w:r>
        <w:rPr/>
        <w:t>también merecen</w:t>
      </w:r>
      <w:r>
        <w:rPr>
          <w:spacing w:val="-25"/>
        </w:rPr>
        <w:t> </w:t>
      </w:r>
      <w:r>
        <w:rPr/>
        <w:t>atención.</w:t>
      </w:r>
    </w:p>
    <w:p>
      <w:pPr>
        <w:pStyle w:val="BodyText"/>
      </w:pPr>
    </w:p>
    <w:p>
      <w:pPr>
        <w:pStyle w:val="BodyText"/>
      </w:pPr>
    </w:p>
    <w:p>
      <w:pPr>
        <w:pStyle w:val="BodyText"/>
        <w:spacing w:before="11"/>
        <w:rPr>
          <w:sz w:val="22"/>
        </w:rPr>
      </w:pPr>
    </w:p>
    <w:p>
      <w:pPr>
        <w:pStyle w:val="BodyText"/>
        <w:spacing w:line="360" w:lineRule="auto"/>
        <w:ind w:left="152" w:right="106"/>
        <w:jc w:val="both"/>
      </w:pPr>
      <w:r>
        <w:rPr/>
        <w:t>Silva </w:t>
      </w:r>
      <w:r>
        <w:rPr>
          <w:i/>
        </w:rPr>
        <w:t>et al., </w:t>
      </w:r>
      <w:r>
        <w:rPr/>
        <w:t>(2013) realizaron un trabajo donde se llevó a cabo una comparación de exoproteomas (proteínas extracelulares) de dos cepas de </w:t>
      </w:r>
      <w:r>
        <w:rPr>
          <w:i/>
        </w:rPr>
        <w:t>C. pseudotuberculosis </w:t>
      </w:r>
      <w:r>
        <w:rPr/>
        <w:t>(C231y 1002), basándose en un estudio previo por Pacheco </w:t>
      </w:r>
      <w:r>
        <w:rPr>
          <w:i/>
        </w:rPr>
        <w:t>et al., </w:t>
      </w:r>
      <w:r>
        <w:rPr/>
        <w:t>(2011), como resultados obtuvieron diferencias en los exoproteomas entre estas dos cepas ya que existían diferencias en los hospederos y localización geográfica, una fue aislada en Brasil y la otra en Australia. Llevaron a cabo dos técnicas la: 2-DE y la TTP-LC/MS(gel-independet) con las cuales identificaron 11 nuevas proteínas (Cuadro 2) no identificadas en el estudio previo por Pacheco. De las 11 proteínas nuevas encontradas en este trabajo, de 3 se desconoce sus funciones (proteínas hipotéticas) y 8 han sido relacionadas a varias funciones fisiológicas y factores de virulencia.</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3"/>
        <w:ind w:left="641"/>
        <w:jc w:val="left"/>
      </w:pPr>
      <w:bookmarkStart w:name="_bookmark21" w:id="22"/>
      <w:bookmarkEnd w:id="22"/>
      <w:r>
        <w:rPr>
          <w:b w:val="0"/>
        </w:rPr>
      </w:r>
      <w:r>
        <w:rPr/>
        <w:t>Cuadro 2 Lista de las 11 nuevas proteínas de C. pseudotuberculosis.</w:t>
      </w:r>
    </w:p>
    <w:p>
      <w:pPr>
        <w:pStyle w:val="BodyText"/>
        <w:rPr>
          <w:b/>
          <w:sz w:val="14"/>
        </w:rPr>
      </w:pPr>
      <w:r>
        <w:rPr/>
        <w:drawing>
          <wp:anchor distT="0" distB="0" distL="0" distR="0" allowOverlap="1" layoutInCell="1" locked="0" behindDoc="0" simplePos="0" relativeHeight="1192">
            <wp:simplePos x="0" y="0"/>
            <wp:positionH relativeFrom="page">
              <wp:posOffset>2004060</wp:posOffset>
            </wp:positionH>
            <wp:positionV relativeFrom="paragraph">
              <wp:posOffset>127469</wp:posOffset>
            </wp:positionV>
            <wp:extent cx="3971928" cy="2655570"/>
            <wp:effectExtent l="0" t="0" r="0" b="0"/>
            <wp:wrapTopAndBottom/>
            <wp:docPr id="7" name="image3.png" descr=""/>
            <wp:cNvGraphicFramePr>
              <a:graphicFrameLocks noChangeAspect="1"/>
            </wp:cNvGraphicFramePr>
            <a:graphic>
              <a:graphicData uri="http://schemas.openxmlformats.org/drawingml/2006/picture">
                <pic:pic>
                  <pic:nvPicPr>
                    <pic:cNvPr id="8" name="image3.png"/>
                    <pic:cNvPicPr/>
                  </pic:nvPicPr>
                  <pic:blipFill>
                    <a:blip r:embed="rId13" cstate="print"/>
                    <a:stretch>
                      <a:fillRect/>
                    </a:stretch>
                  </pic:blipFill>
                  <pic:spPr>
                    <a:xfrm>
                      <a:off x="0" y="0"/>
                      <a:ext cx="3971928" cy="2655570"/>
                    </a:xfrm>
                    <a:prstGeom prst="rect">
                      <a:avLst/>
                    </a:prstGeom>
                  </pic:spPr>
                </pic:pic>
              </a:graphicData>
            </a:graphic>
          </wp:anchor>
        </w:drawing>
      </w:r>
    </w:p>
    <w:p>
      <w:pPr>
        <w:pStyle w:val="BodyText"/>
        <w:spacing w:before="8"/>
        <w:rPr>
          <w:b/>
          <w:sz w:val="26"/>
        </w:rPr>
      </w:pPr>
    </w:p>
    <w:p>
      <w:pPr>
        <w:pStyle w:val="BodyText"/>
        <w:spacing w:line="360" w:lineRule="auto"/>
        <w:ind w:left="152" w:right="106"/>
        <w:jc w:val="both"/>
      </w:pPr>
      <w:r>
        <w:rPr/>
        <w:t>En el estudio realizado por Pinto </w:t>
      </w:r>
      <w:r>
        <w:rPr>
          <w:i/>
        </w:rPr>
        <w:t>et al., </w:t>
      </w:r>
      <w:r>
        <w:rPr/>
        <w:t>(2014) simularon las condiciones experimentadas por </w:t>
      </w:r>
      <w:r>
        <w:rPr>
          <w:i/>
        </w:rPr>
        <w:t>Corynebacterium </w:t>
      </w:r>
      <w:r>
        <w:rPr/>
        <w:t>durante la infección en su hospedero. Por secuenciación transcripta usando la plataforma SOLID </w:t>
      </w:r>
      <w:r>
        <w:rPr>
          <w:position w:val="8"/>
          <w:sz w:val="16"/>
        </w:rPr>
        <w:t>TM </w:t>
      </w:r>
      <w:r>
        <w:rPr/>
        <w:t>3 Plus (tecnología RNAseq) identificaron nuevas tarjetas (proteínas) con potentes expectativas para la supervivencia y replicación del patógeno en ambientes adversos; por consiguiente estas proteínas son candidatas potenciales para la elaboración de vacunas, kit de diagnóstico o tratamientos para linfadenitis caseosa. Estas proteínas son: factor esencial </w:t>
      </w:r>
      <w:r>
        <w:rPr>
          <w:b/>
        </w:rPr>
        <w:t>sig </w:t>
      </w:r>
      <w:r>
        <w:rPr>
          <w:b/>
          <w:spacing w:val="-3"/>
        </w:rPr>
        <w:t>A</w:t>
      </w:r>
      <w:r>
        <w:rPr>
          <w:spacing w:val="-3"/>
        </w:rPr>
        <w:t>, </w:t>
      </w:r>
      <w:r>
        <w:rPr/>
        <w:t>no esencial y alternativo </w:t>
      </w:r>
      <w:r>
        <w:rPr>
          <w:b/>
        </w:rPr>
        <w:t>sig B </w:t>
      </w:r>
      <w:r>
        <w:rPr/>
        <w:t>y 6 factores alternativos dentro de los factores extra-citoplasmáticos </w:t>
      </w:r>
      <w:r>
        <w:rPr>
          <w:b/>
        </w:rPr>
        <w:t>sig C</w:t>
      </w:r>
      <w:r>
        <w:rPr/>
        <w:t>, </w:t>
      </w:r>
      <w:r>
        <w:rPr>
          <w:b/>
        </w:rPr>
        <w:t>sig D</w:t>
      </w:r>
      <w:r>
        <w:rPr/>
        <w:t>, </w:t>
      </w:r>
      <w:r>
        <w:rPr>
          <w:b/>
        </w:rPr>
        <w:t>sig E</w:t>
      </w:r>
      <w:r>
        <w:rPr/>
        <w:t>, </w:t>
      </w:r>
      <w:r>
        <w:rPr>
          <w:b/>
        </w:rPr>
        <w:t>sig H</w:t>
      </w:r>
      <w:r>
        <w:rPr/>
        <w:t>, </w:t>
      </w:r>
      <w:r>
        <w:rPr>
          <w:b/>
        </w:rPr>
        <w:t>sig K</w:t>
      </w:r>
      <w:r>
        <w:rPr/>
        <w:t>, </w:t>
      </w:r>
      <w:r>
        <w:rPr>
          <w:b/>
        </w:rPr>
        <w:t>sig</w:t>
      </w:r>
      <w:r>
        <w:rPr>
          <w:b/>
          <w:spacing w:val="-2"/>
        </w:rPr>
        <w:t> </w:t>
      </w:r>
      <w:r>
        <w:rPr>
          <w:b/>
        </w:rPr>
        <w:t>M</w:t>
      </w:r>
      <w:r>
        <w:rPr/>
        <w:t>.</w:t>
      </w:r>
    </w:p>
    <w:p>
      <w:pPr>
        <w:pStyle w:val="BodyText"/>
        <w:spacing w:line="360" w:lineRule="auto" w:before="205"/>
        <w:ind w:left="152" w:right="108"/>
        <w:jc w:val="both"/>
      </w:pPr>
      <w:r>
        <w:rPr/>
        <w:t>Actualmente, hay grandes avances en la genómica, principalmente en la optimización de las técnicas de secuenciación, lo que significa que la secuenciación se ha convertido menos costosa y más precisa. Un depósito masivo de secuencias como el estudio de secuencia genómica en las bases de datos públicas ha facilitado la búsqueda de homología y predicción de nuevos genes. A través de estos avances en el campo de la genómica, el objetivo es el uso de estas herramientas para el descubrimiento de nuevos genes, nuevos métodos  </w:t>
      </w:r>
      <w:r>
        <w:rPr>
          <w:spacing w:val="16"/>
        </w:rPr>
        <w:t> </w:t>
      </w:r>
      <w:r>
        <w:rPr/>
        <w:t>de</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11"/>
        <w:jc w:val="both"/>
      </w:pPr>
      <w:r>
        <w:rPr/>
        <w:t>diagnóstico y vacunas más eficaces para el control de LC. Por otra parte, los genomas de varias </w:t>
      </w:r>
      <w:r>
        <w:rPr>
          <w:i/>
        </w:rPr>
        <w:t>Corynebacterias sp </w:t>
      </w:r>
      <w:r>
        <w:rPr/>
        <w:t>están ampliamente disponibles, donde  esta información se puede utilizar en la genómica comparativa para ayudar a obtener un mejor conocimiento de contenido de genes y la organización genómica de </w:t>
      </w:r>
      <w:r>
        <w:rPr>
          <w:i/>
        </w:rPr>
        <w:t>C.</w:t>
      </w:r>
      <w:r>
        <w:rPr>
          <w:i/>
          <w:spacing w:val="-10"/>
        </w:rPr>
        <w:t> </w:t>
      </w:r>
      <w:r>
        <w:rPr>
          <w:i/>
        </w:rPr>
        <w:t>pseudotuberculosis</w:t>
      </w:r>
      <w:r>
        <w:rPr/>
        <w:t>.</w:t>
      </w:r>
    </w:p>
    <w:p>
      <w:pPr>
        <w:pStyle w:val="Heading2"/>
        <w:spacing w:before="205"/>
      </w:pPr>
      <w:bookmarkStart w:name="_bookmark22" w:id="23"/>
      <w:bookmarkEnd w:id="23"/>
      <w:r>
        <w:rPr>
          <w:b w:val="0"/>
        </w:rPr>
      </w:r>
      <w:r>
        <w:rPr/>
        <w:t>Variaciones genotípicas encontradas</w:t>
      </w:r>
    </w:p>
    <w:p>
      <w:pPr>
        <w:pStyle w:val="BodyText"/>
        <w:rPr>
          <w:b/>
          <w:sz w:val="26"/>
        </w:rPr>
      </w:pPr>
    </w:p>
    <w:p>
      <w:pPr>
        <w:pStyle w:val="BodyText"/>
        <w:spacing w:before="3"/>
        <w:rPr>
          <w:b/>
          <w:sz w:val="22"/>
        </w:rPr>
      </w:pPr>
    </w:p>
    <w:p>
      <w:pPr>
        <w:pStyle w:val="BodyText"/>
        <w:spacing w:line="360" w:lineRule="auto"/>
        <w:ind w:left="152" w:right="107"/>
        <w:jc w:val="both"/>
      </w:pPr>
      <w:r>
        <w:rPr/>
        <w:t>En los últimos años muchos estudios han demostrado el valor de las técnicas moleculares en la identificación y diferenciación genotípica de agentes patógenos e infecciosos. Diferentes estudios sobre </w:t>
      </w:r>
      <w:r>
        <w:rPr>
          <w:i/>
        </w:rPr>
        <w:t>C. pseudotuberculosis </w:t>
      </w:r>
      <w:r>
        <w:rPr/>
        <w:t>ya describen hallazgos de variaciones genotípicas y polimorfismos a nivel de ácidos nucleicos observándose variabilidad entre las</w:t>
      </w:r>
      <w:r>
        <w:rPr>
          <w:spacing w:val="-17"/>
        </w:rPr>
        <w:t> </w:t>
      </w:r>
      <w:r>
        <w:rPr/>
        <w:t>cepas.</w:t>
      </w:r>
    </w:p>
    <w:p>
      <w:pPr>
        <w:pStyle w:val="BodyText"/>
        <w:spacing w:line="360" w:lineRule="auto" w:before="202"/>
        <w:ind w:left="152" w:right="105"/>
        <w:jc w:val="both"/>
      </w:pPr>
      <w:r>
        <w:rPr/>
        <w:t>En un estudio de 50 aislados de </w:t>
      </w:r>
      <w:r>
        <w:rPr>
          <w:i/>
        </w:rPr>
        <w:t>Corynebacterium pseudotuberculosis </w:t>
      </w:r>
      <w:r>
        <w:rPr/>
        <w:t>del Reino Unido, se demostraron 6 pulsotipos mediante la técnica Pulsed-Fiel Gel Electroforesis, mostrando un arreglo de clonalidad entre los aislados de ovinos y caprinos (Connor </w:t>
      </w:r>
      <w:r>
        <w:rPr>
          <w:i/>
        </w:rPr>
        <w:t>et al., </w:t>
      </w:r>
      <w:r>
        <w:rPr/>
        <w:t>2000)</w:t>
      </w:r>
    </w:p>
    <w:p>
      <w:pPr>
        <w:pStyle w:val="BodyText"/>
        <w:spacing w:line="360" w:lineRule="auto" w:before="204"/>
        <w:ind w:left="152" w:right="105"/>
        <w:jc w:val="both"/>
      </w:pPr>
      <w:r>
        <w:rPr/>
        <w:t>El estudio realizado por Estefanska </w:t>
      </w:r>
      <w:r>
        <w:rPr>
          <w:i/>
        </w:rPr>
        <w:t>et al., </w:t>
      </w:r>
      <w:r>
        <w:rPr/>
        <w:t>(2008) utilizó tres diferentes técnicas de Fingerprinting basados en PCR (BOX-PCR, RAPD and ADSPJlS-fingerprinting) para evaluar la diversidad del genoma entre las cepas de </w:t>
      </w:r>
      <w:r>
        <w:rPr>
          <w:i/>
        </w:rPr>
        <w:t>C. pseudotuberculosis </w:t>
      </w:r>
      <w:r>
        <w:rPr/>
        <w:t>que causan infecciones en las cabras en Polonia. En este estudio se demostró  que las cepas de </w:t>
      </w:r>
      <w:r>
        <w:rPr>
          <w:i/>
        </w:rPr>
        <w:t>C. pseudotuberculosis </w:t>
      </w:r>
      <w:r>
        <w:rPr/>
        <w:t>que causan infecciones en el ganado caprino en Polonia son genéticamente diversas; ya que patrones de  genoma fueron idénticos en cepas aisladas de animales de rebaños de diferentes regiones y cepas que mostraron perfiles de genoma diferentes fueron aislados de un mismo rebaño.</w:t>
      </w:r>
    </w:p>
    <w:p>
      <w:pPr>
        <w:pStyle w:val="BodyText"/>
        <w:spacing w:line="360" w:lineRule="auto" w:before="202"/>
        <w:ind w:left="152" w:right="107"/>
        <w:jc w:val="both"/>
      </w:pPr>
      <w:r>
        <w:rPr/>
        <w:t>Otro ejemplo claro fuel el estudio realizado por Hoelzle </w:t>
      </w:r>
      <w:r>
        <w:rPr>
          <w:i/>
        </w:rPr>
        <w:t>et al</w:t>
      </w:r>
      <w:r>
        <w:rPr/>
        <w:t>., (2013) donde por medio de la técnica SDS-PAGE Inmunoblot Analysis encontraron diferencias en</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BodyText"/>
        <w:spacing w:line="360" w:lineRule="auto" w:before="69"/>
        <w:ind w:left="152" w:right="103"/>
        <w:jc w:val="both"/>
      </w:pPr>
      <w:r>
        <w:rPr/>
        <w:t>las estructuras antigénicas de aislados de campo </w:t>
      </w:r>
      <w:r>
        <w:rPr>
          <w:i/>
        </w:rPr>
        <w:t>Corynebacterium </w:t>
      </w:r>
      <w:r>
        <w:rPr>
          <w:i/>
        </w:rPr>
        <w:t>pseudotuberculosis </w:t>
      </w:r>
      <w:r>
        <w:rPr/>
        <w:t>de ovinos y caprinos, y que por lo tanto un diagnostico basado en un solo antígeno como el PLD no es correcto, sino que se requiere la combinación de dos o tres proteínas inmunodominantes. El estudio realizado por Dorneles </w:t>
      </w:r>
      <w:r>
        <w:rPr>
          <w:i/>
        </w:rPr>
        <w:t>et al., </w:t>
      </w:r>
      <w:r>
        <w:rPr/>
        <w:t>(2014) mediante la tipificación de </w:t>
      </w:r>
      <w:r>
        <w:rPr>
          <w:i/>
        </w:rPr>
        <w:t>C. pseudotuberculosis </w:t>
      </w:r>
      <w:r>
        <w:rPr/>
        <w:t>con el uso de la técnica ERIC PCR, sugiere que existe una amplia diversidad genética entre los aislados de </w:t>
      </w:r>
      <w:r>
        <w:rPr>
          <w:i/>
        </w:rPr>
        <w:t>C. pseudotuberculosis </w:t>
      </w:r>
      <w:r>
        <w:rPr/>
        <w:t>de municipios de Brasil ya que lograron identificar de 7 a 10 genotipos diferentes dependiendo de los cebadores utilizados.</w:t>
      </w:r>
    </w:p>
    <w:p>
      <w:pPr>
        <w:pStyle w:val="BodyText"/>
        <w:spacing w:line="360" w:lineRule="auto" w:before="202"/>
        <w:ind w:left="152" w:right="105"/>
        <w:jc w:val="both"/>
      </w:pPr>
      <w:r>
        <w:rPr/>
        <w:t>Sá </w:t>
      </w:r>
      <w:r>
        <w:rPr>
          <w:i/>
        </w:rPr>
        <w:t>et al., </w:t>
      </w:r>
      <w:r>
        <w:rPr/>
        <w:t>(2013) realizo un estudio de un total de 127 aislados de </w:t>
      </w:r>
      <w:r>
        <w:rPr>
          <w:i/>
        </w:rPr>
        <w:t>C. </w:t>
      </w:r>
      <w:r>
        <w:rPr>
          <w:i/>
        </w:rPr>
        <w:t>pseudotuberculosis </w:t>
      </w:r>
      <w:r>
        <w:rPr/>
        <w:t>en localidad de Minas de Gerais en Brasil mediante un análisis genotípico con la técnica de ERIC PCR. Está técnica permitió una buena diferenciación genética de cepas de </w:t>
      </w:r>
      <w:r>
        <w:rPr>
          <w:i/>
        </w:rPr>
        <w:t>C. pseudotuberculosis </w:t>
      </w:r>
      <w:r>
        <w:rPr/>
        <w:t>obtenidas de lesiones de Linfadenitis caseosa, identificando de 17 a 21 genotipos distintos dependiendo de los cebadores utilizados.</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1"/>
      </w:pPr>
      <w:bookmarkStart w:name="_bookmark23" w:id="24"/>
      <w:bookmarkEnd w:id="24"/>
      <w:r>
        <w:rPr>
          <w:b w:val="0"/>
        </w:rPr>
      </w:r>
      <w:r>
        <w:rPr/>
        <w:t>JUSTIFICACIÓN</w:t>
      </w:r>
    </w:p>
    <w:p>
      <w:pPr>
        <w:pStyle w:val="BodyText"/>
        <w:spacing w:line="360" w:lineRule="auto" w:before="51"/>
        <w:ind w:left="152" w:right="111"/>
        <w:jc w:val="both"/>
      </w:pPr>
      <w:r>
        <w:rPr/>
        <w:t>En los últimos años, la ovinocultura nacional se ha fortalecido de manera considerable, ha incrementado el número de unidades animales de 5.8 millones en 1998 a más de 7 millones en la actualidad, con distribución principalmente en los Estado de México, Hidalgo, Zacatecas, Oaxaca, San Luis Potosí, Jalisco, Guanajuato que concentran cerca del 55% del inventario. Sin embargo, la producción no logra cubrir la demanda nacional, por ello, se importa más del 52% del consumo de carne a partir de países como Australia, Nueva Zelanda, Estados Unidos y chile.</w:t>
      </w:r>
    </w:p>
    <w:p>
      <w:pPr>
        <w:pStyle w:val="BodyText"/>
      </w:pPr>
    </w:p>
    <w:p>
      <w:pPr>
        <w:pStyle w:val="BodyText"/>
        <w:spacing w:line="360" w:lineRule="auto" w:before="139"/>
        <w:ind w:left="152" w:right="108"/>
        <w:jc w:val="both"/>
      </w:pPr>
      <w:r>
        <w:rPr/>
        <w:t>El reto es incrementar la producción y controlar las enfermedades que limitan la producción, como el caso de linfadenitis caseosa (LC). LC es una enfermedad crónica que se caracteriza por la formación de abscesos en nódulos linfáticos, piel y diversos órganos internos principalmente en pequeños rumiantes. En países como Australia, Brasil, Canadá y Estados Unidos, es considerada una de las enfermedades infecciosas económicamente más importante que afecta la producción ovina y caprina. Causa pérdidas debido al deterioro progresivo del estado general del animal, que se traduce en disminución de la producción de lana, carne, leche; desórdenes reproductivos y decomiso de vísceras. Además aumenta la posibilidad de padecer otro tipo de enfermedades debido a la inmunodepresión local principalmente a nivel pulmonar y de nódulos linfoides mediastínicos lesionados. Además, LC tiene implicaciones zoonóticas en personal dedicado a la cría y explotación ovina y</w:t>
      </w:r>
      <w:r>
        <w:rPr>
          <w:spacing w:val="-15"/>
        </w:rPr>
        <w:t> </w:t>
      </w:r>
      <w:r>
        <w:rPr/>
        <w:t>caprina.</w:t>
      </w:r>
    </w:p>
    <w:p>
      <w:pPr>
        <w:pStyle w:val="BodyText"/>
      </w:pPr>
    </w:p>
    <w:p>
      <w:pPr>
        <w:pStyle w:val="BodyText"/>
        <w:spacing w:line="360" w:lineRule="auto" w:before="142"/>
        <w:ind w:left="152" w:right="108"/>
        <w:jc w:val="both"/>
      </w:pPr>
      <w:r>
        <w:rPr/>
        <w:t>Debido a su curso crónico y poca respuesta al tratamiento, es difícil erradicar la infección una vez que se establece. Por ello, las estrategias para establecer los programas de prevención, control y erradicación de la enfermedad deben considerar aspectos integrales. Algunos de los aspectos limitantes para el control de  LC  es  que  no  existen  pruebas  de  diagnóstico  suficientemente  sensibles y</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específicos para establecer el diagnóstico de la fase precoz y en la fase clínica visceral, las vacunas y bacterinas no han arrojado resultados satisfactorios en modelos animales, por lo que se requiere investigar más sobre estos aspectos para encontrar proteínas que confieran mayor protección inmunogénica y para el diagnóstico y todo esto debido probablemente a que en estudios previos se demuestra la variabilidad genética de aislados de </w:t>
      </w:r>
      <w:r>
        <w:rPr>
          <w:i/>
        </w:rPr>
        <w:t>C. pseudotubeculosis</w:t>
      </w:r>
      <w:r>
        <w:rPr/>
        <w:t>, a lo cual se le atribuiría la poca respuesta de los inmunógenos</w:t>
      </w:r>
      <w:r>
        <w:rPr>
          <w:spacing w:val="-27"/>
        </w:rPr>
        <w:t> </w:t>
      </w:r>
      <w:r>
        <w:rPr/>
        <w:t>existentes.</w:t>
      </w:r>
    </w:p>
    <w:p>
      <w:pPr>
        <w:pStyle w:val="BodyText"/>
      </w:pPr>
    </w:p>
    <w:p>
      <w:pPr>
        <w:pStyle w:val="BodyText"/>
        <w:spacing w:line="360" w:lineRule="auto" w:before="142"/>
        <w:ind w:left="152" w:right="112"/>
        <w:jc w:val="both"/>
      </w:pPr>
      <w:r>
        <w:rPr/>
        <w:t>En México, la importancia de la enfermedad no se ha establecido adecuadamente, se sabe que está ampliamente difundida con prevalencias que oscilan entre 10 y 52%; pero falta precisar las cepas existentes, las diferencias moleculares de acuerdo al cuadro clínico y a la especie afectada, las proteínas inmunogénicas para la prevención y el diagnóstico.</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1"/>
        <w:jc w:val="left"/>
      </w:pPr>
      <w:bookmarkStart w:name="_bookmark24" w:id="25"/>
      <w:bookmarkEnd w:id="25"/>
      <w:r>
        <w:rPr>
          <w:b w:val="0"/>
        </w:rPr>
      </w:r>
      <w:r>
        <w:rPr/>
        <w:t>OBJETIVOS</w:t>
      </w:r>
    </w:p>
    <w:p>
      <w:pPr>
        <w:spacing w:line="360" w:lineRule="auto" w:before="51"/>
        <w:ind w:left="152" w:right="114" w:firstLine="0"/>
        <w:jc w:val="left"/>
        <w:rPr>
          <w:sz w:val="24"/>
        </w:rPr>
      </w:pPr>
      <w:r>
        <w:rPr>
          <w:sz w:val="24"/>
        </w:rPr>
        <w:t>Realizar la caracterización molecular y el análisis filogenético de los aislamientos de </w:t>
      </w:r>
      <w:r>
        <w:rPr>
          <w:i/>
          <w:sz w:val="24"/>
        </w:rPr>
        <w:t>Corynebacterium pseudotuberculosis </w:t>
      </w:r>
      <w:r>
        <w:rPr>
          <w:sz w:val="24"/>
        </w:rPr>
        <w:t>de origen cutáneo.</w:t>
      </w:r>
    </w:p>
    <w:p>
      <w:pPr>
        <w:pStyle w:val="BodyText"/>
      </w:pPr>
    </w:p>
    <w:p>
      <w:pPr>
        <w:pStyle w:val="Heading3"/>
        <w:spacing w:before="144"/>
        <w:jc w:val="left"/>
      </w:pPr>
      <w:r>
        <w:rPr/>
        <w:t>Objetivos específicos:</w:t>
      </w:r>
    </w:p>
    <w:p>
      <w:pPr>
        <w:pStyle w:val="ListParagraph"/>
        <w:numPr>
          <w:ilvl w:val="0"/>
          <w:numId w:val="2"/>
        </w:numPr>
        <w:tabs>
          <w:tab w:pos="873" w:val="left" w:leader="none"/>
        </w:tabs>
        <w:spacing w:line="360" w:lineRule="auto" w:before="137" w:after="0"/>
        <w:ind w:left="872" w:right="113" w:hanging="360"/>
        <w:jc w:val="both"/>
        <w:rPr>
          <w:i/>
          <w:sz w:val="24"/>
        </w:rPr>
      </w:pPr>
      <w:r>
        <w:rPr>
          <w:sz w:val="24"/>
        </w:rPr>
        <w:t>Identificación fenotípica mediante técnicas bacteriológicas y bioquímicas de los aislados de </w:t>
      </w:r>
      <w:r>
        <w:rPr>
          <w:i/>
          <w:sz w:val="24"/>
        </w:rPr>
        <w:t>Corynebacterium</w:t>
      </w:r>
      <w:r>
        <w:rPr>
          <w:i/>
          <w:spacing w:val="-18"/>
          <w:sz w:val="24"/>
        </w:rPr>
        <w:t> </w:t>
      </w:r>
      <w:r>
        <w:rPr>
          <w:i/>
          <w:sz w:val="24"/>
        </w:rPr>
        <w:t>pseudotuberculosis.</w:t>
      </w:r>
    </w:p>
    <w:p>
      <w:pPr>
        <w:pStyle w:val="ListParagraph"/>
        <w:numPr>
          <w:ilvl w:val="0"/>
          <w:numId w:val="2"/>
        </w:numPr>
        <w:tabs>
          <w:tab w:pos="873" w:val="left" w:leader="none"/>
        </w:tabs>
        <w:spacing w:line="360" w:lineRule="auto" w:before="3" w:after="0"/>
        <w:ind w:left="872" w:right="105" w:hanging="360"/>
        <w:jc w:val="both"/>
        <w:rPr>
          <w:sz w:val="24"/>
        </w:rPr>
      </w:pPr>
      <w:r>
        <w:rPr>
          <w:sz w:val="24"/>
        </w:rPr>
        <w:t>Identificación genotípica mediante PCR de aislados de </w:t>
      </w:r>
      <w:r>
        <w:rPr>
          <w:i/>
          <w:sz w:val="24"/>
        </w:rPr>
        <w:t>Corynebacterium </w:t>
      </w:r>
      <w:r>
        <w:rPr>
          <w:i/>
          <w:sz w:val="24"/>
        </w:rPr>
        <w:t>pseudotuberculosis </w:t>
      </w:r>
      <w:r>
        <w:rPr>
          <w:sz w:val="24"/>
        </w:rPr>
        <w:t>obtenidos previamente de casos clínicos de linfadenitis caseosa en ovinos y</w:t>
      </w:r>
      <w:r>
        <w:rPr>
          <w:spacing w:val="-9"/>
          <w:sz w:val="24"/>
        </w:rPr>
        <w:t> </w:t>
      </w:r>
      <w:r>
        <w:rPr>
          <w:sz w:val="24"/>
        </w:rPr>
        <w:t>caprinos.</w:t>
      </w:r>
    </w:p>
    <w:p>
      <w:pPr>
        <w:pStyle w:val="ListParagraph"/>
        <w:numPr>
          <w:ilvl w:val="0"/>
          <w:numId w:val="2"/>
        </w:numPr>
        <w:tabs>
          <w:tab w:pos="873" w:val="left" w:leader="none"/>
        </w:tabs>
        <w:spacing w:line="360" w:lineRule="auto" w:before="0" w:after="0"/>
        <w:ind w:left="872" w:right="107" w:hanging="360"/>
        <w:jc w:val="both"/>
        <w:rPr>
          <w:i/>
          <w:sz w:val="24"/>
        </w:rPr>
      </w:pPr>
      <w:r>
        <w:rPr>
          <w:sz w:val="24"/>
        </w:rPr>
        <w:t>Identificar cepas de </w:t>
      </w:r>
      <w:r>
        <w:rPr>
          <w:i/>
          <w:sz w:val="24"/>
        </w:rPr>
        <w:t>Corynebacterium pseudotuberculosis </w:t>
      </w:r>
      <w:r>
        <w:rPr>
          <w:sz w:val="24"/>
        </w:rPr>
        <w:t>portadoras de los genes de patogenicidad: </w:t>
      </w:r>
      <w:r>
        <w:rPr>
          <w:i/>
          <w:sz w:val="24"/>
        </w:rPr>
        <w:t>pld</w:t>
      </w:r>
      <w:r>
        <w:rPr>
          <w:sz w:val="24"/>
        </w:rPr>
        <w:t>, </w:t>
      </w:r>
      <w:r>
        <w:rPr>
          <w:i/>
          <w:sz w:val="24"/>
        </w:rPr>
        <w:t>Fag A, Fag B, Fag C </w:t>
      </w:r>
      <w:r>
        <w:rPr>
          <w:sz w:val="24"/>
        </w:rPr>
        <w:t>y </w:t>
      </w:r>
      <w:r>
        <w:rPr>
          <w:i/>
          <w:sz w:val="24"/>
        </w:rPr>
        <w:t>Fag</w:t>
      </w:r>
      <w:r>
        <w:rPr>
          <w:i/>
          <w:spacing w:val="-18"/>
          <w:sz w:val="24"/>
        </w:rPr>
        <w:t> </w:t>
      </w:r>
      <w:r>
        <w:rPr>
          <w:i/>
          <w:sz w:val="24"/>
        </w:rPr>
        <w:t>D.</w:t>
      </w:r>
    </w:p>
    <w:p>
      <w:pPr>
        <w:pStyle w:val="ListParagraph"/>
        <w:numPr>
          <w:ilvl w:val="0"/>
          <w:numId w:val="2"/>
        </w:numPr>
        <w:tabs>
          <w:tab w:pos="873" w:val="left" w:leader="none"/>
        </w:tabs>
        <w:spacing w:line="362" w:lineRule="auto" w:before="2" w:after="0"/>
        <w:ind w:left="872" w:right="109" w:hanging="360"/>
        <w:jc w:val="both"/>
        <w:rPr>
          <w:sz w:val="24"/>
        </w:rPr>
      </w:pPr>
      <w:r>
        <w:rPr>
          <w:sz w:val="24"/>
        </w:rPr>
        <w:t>Análisis filogenético mediante el gen </w:t>
      </w:r>
      <w:r>
        <w:rPr>
          <w:i/>
          <w:sz w:val="24"/>
        </w:rPr>
        <w:t>rpoB </w:t>
      </w:r>
      <w:r>
        <w:rPr>
          <w:sz w:val="24"/>
        </w:rPr>
        <w:t>e identificación de variabilidad genética de los</w:t>
      </w:r>
      <w:r>
        <w:rPr>
          <w:spacing w:val="-11"/>
          <w:sz w:val="24"/>
        </w:rPr>
        <w:t> </w:t>
      </w:r>
      <w:r>
        <w:rPr>
          <w:sz w:val="24"/>
        </w:rPr>
        <w:t>aislados,</w:t>
      </w:r>
    </w:p>
    <w:p>
      <w:pPr>
        <w:spacing w:after="0" w:line="362" w:lineRule="auto"/>
        <w:jc w:val="both"/>
        <w:rPr>
          <w:sz w:val="24"/>
        </w:rPr>
        <w:sectPr>
          <w:pgSz w:w="12240" w:h="15840"/>
          <w:pgMar w:header="0" w:footer="1386" w:top="1500" w:bottom="1580" w:left="1720" w:right="14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9"/>
        </w:rPr>
      </w:pPr>
    </w:p>
    <w:p>
      <w:pPr>
        <w:pStyle w:val="Heading1"/>
      </w:pPr>
      <w:bookmarkStart w:name="_bookmark25" w:id="26"/>
      <w:bookmarkEnd w:id="26"/>
      <w:r>
        <w:rPr>
          <w:b w:val="0"/>
        </w:rPr>
      </w:r>
      <w:r>
        <w:rPr/>
        <w:t>HIPOTESIS</w:t>
      </w:r>
    </w:p>
    <w:p>
      <w:pPr>
        <w:pStyle w:val="BodyText"/>
        <w:rPr>
          <w:b/>
          <w:sz w:val="28"/>
        </w:rPr>
      </w:pPr>
    </w:p>
    <w:p>
      <w:pPr>
        <w:pStyle w:val="BodyText"/>
        <w:spacing w:before="5"/>
        <w:rPr>
          <w:b/>
          <w:sz w:val="29"/>
        </w:rPr>
      </w:pPr>
    </w:p>
    <w:p>
      <w:pPr>
        <w:pStyle w:val="BodyText"/>
        <w:spacing w:line="362" w:lineRule="auto"/>
        <w:ind w:left="152" w:right="103"/>
        <w:jc w:val="both"/>
      </w:pPr>
      <w:r>
        <w:rPr/>
        <w:t>Existen diferencias genotípicas entre los aislados de </w:t>
      </w:r>
      <w:r>
        <w:rPr>
          <w:i/>
        </w:rPr>
        <w:t>Corynebacterium </w:t>
      </w:r>
      <w:r>
        <w:rPr>
          <w:i/>
        </w:rPr>
        <w:t>pseudotuberculosis </w:t>
      </w:r>
      <w:r>
        <w:rPr/>
        <w:t>obtenidos de muestras de casos clínicos de lesiones superficiales de Linfadenitis caseosa en ovinos y caprinos.</w:t>
      </w:r>
    </w:p>
    <w:p>
      <w:pPr>
        <w:spacing w:after="0" w:line="362" w:lineRule="auto"/>
        <w:jc w:val="both"/>
        <w:sectPr>
          <w:pgSz w:w="12240" w:h="15840"/>
          <w:pgMar w:header="0" w:footer="1386" w:top="1500" w:bottom="1580" w:left="1720" w:right="1420"/>
        </w:sectPr>
      </w:pPr>
    </w:p>
    <w:p>
      <w:pPr>
        <w:pStyle w:val="BodyText"/>
        <w:spacing w:before="2"/>
        <w:rPr>
          <w:sz w:val="21"/>
        </w:rPr>
      </w:pPr>
    </w:p>
    <w:p>
      <w:pPr>
        <w:pStyle w:val="Heading1"/>
      </w:pPr>
      <w:bookmarkStart w:name="_bookmark26" w:id="27"/>
      <w:bookmarkEnd w:id="27"/>
      <w:r>
        <w:rPr>
          <w:b w:val="0"/>
        </w:rPr>
      </w:r>
      <w:r>
        <w:rPr/>
        <w:t>MATERIAL Y METODOS</w:t>
      </w:r>
    </w:p>
    <w:p>
      <w:pPr>
        <w:pStyle w:val="Heading3"/>
        <w:spacing w:before="51"/>
      </w:pPr>
      <w:r>
        <w:rPr/>
        <w:t>Límite de Espacio</w:t>
      </w:r>
    </w:p>
    <w:p>
      <w:pPr>
        <w:pStyle w:val="BodyText"/>
        <w:spacing w:line="360" w:lineRule="auto" w:before="139"/>
        <w:ind w:left="152" w:right="111"/>
        <w:jc w:val="both"/>
      </w:pPr>
      <w:r>
        <w:rPr/>
        <w:t>La colección de muestras se realizó en explotaciones ovinas y caprinas en municipios pertenecientes a los Estados de Jalisco y México (Zapotlanejo, Zapopan, Tlaquepaque, Tepatitlán, Acatic, Tlajomulco y Jiquipilco).</w:t>
      </w:r>
    </w:p>
    <w:p>
      <w:pPr>
        <w:pStyle w:val="BodyText"/>
        <w:spacing w:line="360" w:lineRule="auto" w:before="202"/>
        <w:ind w:left="152" w:right="109"/>
        <w:jc w:val="both"/>
      </w:pPr>
      <w:r>
        <w:rPr/>
        <w:t>Las pruebas de identificación bacteriológicas, bioquímicas y las técnicas moleculares se realizaron en el área de Bacteriología del Centro de Investigación y Estudios Avanzados en Salud Animal, CIESA, Facultad de Medicina Veterinaria y Zootecnia, Universidad Autónoma del Estado de México, Km 15.5 Carretera Toluca-Atlacomulco, Toluca, Estado de México,C.P.50090, México.</w:t>
      </w:r>
    </w:p>
    <w:p>
      <w:pPr>
        <w:pStyle w:val="Heading3"/>
        <w:spacing w:before="204"/>
      </w:pPr>
      <w:r>
        <w:rPr/>
        <w:t>Aislados</w:t>
      </w:r>
    </w:p>
    <w:p>
      <w:pPr>
        <w:pStyle w:val="BodyText"/>
        <w:spacing w:before="4"/>
        <w:rPr>
          <w:b/>
          <w:sz w:val="29"/>
        </w:rPr>
      </w:pPr>
    </w:p>
    <w:p>
      <w:pPr>
        <w:spacing w:before="1"/>
        <w:ind w:left="152" w:right="0" w:firstLine="0"/>
        <w:jc w:val="both"/>
        <w:rPr>
          <w:b/>
          <w:sz w:val="24"/>
        </w:rPr>
      </w:pPr>
      <w:r>
        <w:rPr>
          <w:b/>
          <w:sz w:val="24"/>
        </w:rPr>
        <w:t>Aislamiento de </w:t>
      </w:r>
      <w:r>
        <w:rPr>
          <w:b/>
          <w:i/>
          <w:sz w:val="24"/>
        </w:rPr>
        <w:t>Corynebacterium pseudotuberculosis </w:t>
      </w:r>
      <w:r>
        <w:rPr>
          <w:b/>
          <w:sz w:val="24"/>
        </w:rPr>
        <w:t>biovar ovis.</w:t>
      </w:r>
    </w:p>
    <w:p>
      <w:pPr>
        <w:pStyle w:val="BodyText"/>
        <w:spacing w:before="4"/>
        <w:rPr>
          <w:b/>
          <w:sz w:val="29"/>
        </w:rPr>
      </w:pPr>
    </w:p>
    <w:p>
      <w:pPr>
        <w:pStyle w:val="BodyText"/>
        <w:spacing w:line="360" w:lineRule="auto" w:before="1"/>
        <w:ind w:left="152" w:right="106"/>
        <w:jc w:val="both"/>
      </w:pPr>
      <w:r>
        <w:rPr/>
        <w:t>Se partió de un total de 69 aislamientos recolectados a partir de hisopados de animales identificados con lesiones clínicas de linfadenitis caseosa ovina y caprina (Anexo 1). Se procedió a realizar el sembrado en medio de cultivo de gelosa sangre, incubándolas a 37°C por 24-48 horas, en presencia de oxígeno y en condiciones anaeróbicas. Se observó el crecimiento de colonias color crema y rodeadas de una zona de hemólisis incompleta. A los aislamientos se les realizó la tinción de Gram dando como resultado bacilos Gram positivos cortos y curvos.</w:t>
      </w:r>
    </w:p>
    <w:p>
      <w:pPr>
        <w:pStyle w:val="BodyText"/>
      </w:pPr>
    </w:p>
    <w:p>
      <w:pPr>
        <w:pStyle w:val="BodyText"/>
        <w:spacing w:line="360" w:lineRule="auto" w:before="142"/>
        <w:ind w:left="152" w:right="106"/>
        <w:jc w:val="both"/>
      </w:pPr>
      <w:r>
        <w:rPr/>
        <w:t>Se realizaron pruebas bioquímicas clásicas catalasa y ureasa positiva, fermentación de glucosa, galactosa, maltosa y manosa. El biotipo </w:t>
      </w:r>
      <w:r>
        <w:rPr>
          <w:i/>
        </w:rPr>
        <w:t>ovis </w:t>
      </w:r>
      <w:r>
        <w:rPr/>
        <w:t>no reducen los nitratos a diferencia de los aislados de equinos. Se aplicaron además pruebas bioquímicas de identificación miniaturizado Api Coryne (Lab. Biomeriux, REF, 20- 900. Francia). El procedimiento, realización e interpretación de la prueba se llevó a cabo de acuerdo al Manual Api Coryne suministrado por el laboratorio fabricante (anexo I).</w:t>
      </w:r>
    </w:p>
    <w:p>
      <w:pPr>
        <w:spacing w:after="0" w:line="360" w:lineRule="auto"/>
        <w:jc w:val="both"/>
        <w:sectPr>
          <w:footerReference w:type="default" r:id="rId14"/>
          <w:pgSz w:w="12240" w:h="15840"/>
          <w:pgMar w:footer="1386" w:header="0" w:top="1500" w:bottom="1580" w:left="1720" w:right="1420"/>
        </w:sectPr>
      </w:pPr>
    </w:p>
    <w:p>
      <w:pPr>
        <w:pStyle w:val="BodyText"/>
        <w:spacing w:before="2"/>
        <w:rPr>
          <w:sz w:val="21"/>
        </w:rPr>
      </w:pPr>
    </w:p>
    <w:p>
      <w:pPr>
        <w:pStyle w:val="Heading3"/>
        <w:spacing w:line="360" w:lineRule="auto"/>
        <w:ind w:right="4393"/>
        <w:jc w:val="left"/>
      </w:pPr>
      <w:r>
        <w:rPr/>
        <w:t>Identificación molecular de los aislados Extracción de ADN</w:t>
      </w:r>
    </w:p>
    <w:p>
      <w:pPr>
        <w:pStyle w:val="BodyText"/>
        <w:spacing w:line="360" w:lineRule="auto" w:before="202"/>
        <w:ind w:left="152" w:right="103"/>
        <w:jc w:val="both"/>
      </w:pPr>
      <w:r>
        <w:rPr/>
        <w:t>Se llevó a cabo la extracción de ADN de los 60 aislados de </w:t>
      </w:r>
      <w:r>
        <w:rPr>
          <w:i/>
        </w:rPr>
        <w:t>Corynebacterium </w:t>
      </w:r>
      <w:r>
        <w:rPr>
          <w:i/>
        </w:rPr>
        <w:t>pseudotuberculosis </w:t>
      </w:r>
      <w:r>
        <w:rPr/>
        <w:t>mediante un kit comercial KAPA BIOSYSTEMS siguiendo las especificaciones del proveedor.</w:t>
      </w:r>
    </w:p>
    <w:p>
      <w:pPr>
        <w:pStyle w:val="BodyText"/>
        <w:spacing w:before="204"/>
        <w:ind w:left="152"/>
        <w:jc w:val="both"/>
      </w:pPr>
      <w:r>
        <w:rPr/>
        <w:t>El protocolo fue el siguiente:</w:t>
      </w:r>
    </w:p>
    <w:p>
      <w:pPr>
        <w:pStyle w:val="BodyText"/>
        <w:spacing w:before="5"/>
        <w:rPr>
          <w:sz w:val="29"/>
        </w:rPr>
      </w:pPr>
    </w:p>
    <w:p>
      <w:pPr>
        <w:pStyle w:val="BodyText"/>
        <w:spacing w:line="360" w:lineRule="auto"/>
        <w:ind w:left="152" w:right="116"/>
        <w:jc w:val="both"/>
      </w:pPr>
      <w:r>
        <w:rPr/>
        <w:t>La extracción de ADN se realizó en volumen de 100 </w:t>
      </w:r>
      <w:r>
        <w:rPr>
          <w:spacing w:val="2"/>
        </w:rPr>
        <w:t>µL </w:t>
      </w:r>
      <w:r>
        <w:rPr/>
        <w:t>establecidos de la  siguiente</w:t>
      </w:r>
      <w:r>
        <w:rPr>
          <w:spacing w:val="-4"/>
        </w:rPr>
        <w:t> </w:t>
      </w:r>
      <w:r>
        <w:rPr/>
        <w:t>manera:</w:t>
      </w:r>
    </w:p>
    <w:p>
      <w:pPr>
        <w:pStyle w:val="BodyText"/>
        <w:spacing w:line="360" w:lineRule="auto" w:before="204"/>
        <w:ind w:left="152" w:right="110"/>
        <w:jc w:val="both"/>
      </w:pPr>
      <w:r>
        <w:rPr/>
        <w:t>PCR-Grade wáter: 88 µL, 10x kapa Express Extract Buffer: 10 µL, 1 U/µL Kapa Express Enzyme: 2 µL.</w:t>
      </w:r>
    </w:p>
    <w:p>
      <w:pPr>
        <w:pStyle w:val="BodyText"/>
        <w:spacing w:line="360" w:lineRule="auto" w:before="202"/>
        <w:ind w:left="152" w:right="107"/>
        <w:jc w:val="both"/>
      </w:pPr>
      <w:r>
        <w:rPr/>
        <w:t>Se mezclaron los componentes según el cuadro y se procedió a la lisis de la muestra a 75 °C por 10 min, para luego inactivar la enzima a 95 °C por 5 min; posteriormente un proceso de centrifugación de 1 min a 12 rpm para sedimentar los restos celulares, se extrajo el sobrenadante a un tubo nuevo y se desecha el pellet (Figura 1). Los extractos fueron estables a 4 °C durante al menos 1 mes y  a</w:t>
      </w:r>
    </w:p>
    <w:p>
      <w:pPr>
        <w:pStyle w:val="BodyText"/>
        <w:spacing w:before="5"/>
        <w:ind w:left="152"/>
        <w:jc w:val="both"/>
      </w:pPr>
      <w:r>
        <w:rPr/>
        <w:t>-20 °C durante al menos 6 meses.</w:t>
      </w:r>
    </w:p>
    <w:p>
      <w:pPr>
        <w:pStyle w:val="BodyText"/>
        <w:rPr>
          <w:sz w:val="20"/>
        </w:rPr>
      </w:pPr>
    </w:p>
    <w:p>
      <w:pPr>
        <w:pStyle w:val="BodyText"/>
        <w:rPr>
          <w:sz w:val="20"/>
        </w:rPr>
      </w:pPr>
    </w:p>
    <w:p>
      <w:pPr>
        <w:pStyle w:val="BodyText"/>
        <w:rPr>
          <w:sz w:val="20"/>
        </w:rPr>
      </w:pPr>
    </w:p>
    <w:p>
      <w:pPr>
        <w:pStyle w:val="BodyText"/>
        <w:spacing w:before="3"/>
        <w:rPr>
          <w:sz w:val="19"/>
        </w:rPr>
      </w:pPr>
      <w:r>
        <w:rPr/>
        <w:drawing>
          <wp:anchor distT="0" distB="0" distL="0" distR="0" allowOverlap="1" layoutInCell="1" locked="0" behindDoc="0" simplePos="0" relativeHeight="1216">
            <wp:simplePos x="0" y="0"/>
            <wp:positionH relativeFrom="page">
              <wp:posOffset>1441703</wp:posOffset>
            </wp:positionH>
            <wp:positionV relativeFrom="paragraph">
              <wp:posOffset>165734</wp:posOffset>
            </wp:positionV>
            <wp:extent cx="5072548" cy="1263586"/>
            <wp:effectExtent l="0" t="0" r="0" b="0"/>
            <wp:wrapTopAndBottom/>
            <wp:docPr id="9" name="image4.jpeg" descr=""/>
            <wp:cNvGraphicFramePr>
              <a:graphicFrameLocks noChangeAspect="1"/>
            </wp:cNvGraphicFramePr>
            <a:graphic>
              <a:graphicData uri="http://schemas.openxmlformats.org/drawingml/2006/picture">
                <pic:pic>
                  <pic:nvPicPr>
                    <pic:cNvPr id="10" name="image4.jpeg"/>
                    <pic:cNvPicPr/>
                  </pic:nvPicPr>
                  <pic:blipFill>
                    <a:blip r:embed="rId16" cstate="print"/>
                    <a:stretch>
                      <a:fillRect/>
                    </a:stretch>
                  </pic:blipFill>
                  <pic:spPr>
                    <a:xfrm>
                      <a:off x="0" y="0"/>
                      <a:ext cx="5072548" cy="1263586"/>
                    </a:xfrm>
                    <a:prstGeom prst="rect">
                      <a:avLst/>
                    </a:prstGeom>
                  </pic:spPr>
                </pic:pic>
              </a:graphicData>
            </a:graphic>
          </wp:anchor>
        </w:drawing>
      </w:r>
    </w:p>
    <w:p>
      <w:pPr>
        <w:pStyle w:val="BodyText"/>
        <w:spacing w:before="8"/>
        <w:rPr>
          <w:sz w:val="22"/>
        </w:rPr>
      </w:pPr>
    </w:p>
    <w:p>
      <w:pPr>
        <w:pStyle w:val="Heading3"/>
        <w:spacing w:before="0"/>
        <w:ind w:left="2989"/>
        <w:jc w:val="left"/>
      </w:pPr>
      <w:bookmarkStart w:name="_bookmark27" w:id="28"/>
      <w:bookmarkEnd w:id="28"/>
      <w:r>
        <w:rPr>
          <w:b w:val="0"/>
        </w:rPr>
      </w:r>
      <w:r>
        <w:rPr/>
        <w:t>Figura 1 Extracción de ADN</w:t>
      </w:r>
    </w:p>
    <w:p>
      <w:pPr>
        <w:spacing w:after="0"/>
        <w:jc w:val="left"/>
        <w:sectPr>
          <w:footerReference w:type="default" r:id="rId15"/>
          <w:pgSz w:w="12240" w:h="15840"/>
          <w:pgMar w:footer="1386" w:header="0" w:top="1500" w:bottom="1580" w:left="1720" w:right="1420"/>
          <w:pgNumType w:start="31"/>
        </w:sectPr>
      </w:pPr>
    </w:p>
    <w:p>
      <w:pPr>
        <w:pStyle w:val="BodyText"/>
        <w:spacing w:before="2"/>
        <w:rPr>
          <w:b/>
          <w:sz w:val="21"/>
        </w:rPr>
      </w:pPr>
    </w:p>
    <w:p>
      <w:pPr>
        <w:spacing w:line="535" w:lineRule="auto" w:before="69"/>
        <w:ind w:left="212" w:right="6060" w:firstLine="0"/>
        <w:jc w:val="left"/>
        <w:rPr>
          <w:b/>
          <w:sz w:val="24"/>
        </w:rPr>
      </w:pPr>
      <w:r>
        <w:rPr>
          <w:b/>
          <w:sz w:val="24"/>
        </w:rPr>
        <w:t>Caracterización molecular Diagnóstico genotípico</w:t>
      </w:r>
    </w:p>
    <w:p>
      <w:pPr>
        <w:pStyle w:val="BodyText"/>
        <w:spacing w:line="360" w:lineRule="auto" w:before="4"/>
        <w:ind w:left="212" w:right="223"/>
        <w:jc w:val="both"/>
      </w:pPr>
      <w:r>
        <w:rPr/>
        <w:t>Se llevó a cabo la identificación genotípica de los 69 aislados de </w:t>
      </w:r>
      <w:r>
        <w:rPr>
          <w:i/>
        </w:rPr>
        <w:t>Corynebacterium </w:t>
      </w:r>
      <w:r>
        <w:rPr>
          <w:i/>
        </w:rPr>
        <w:t>pseudotuberculosis </w:t>
      </w:r>
      <w:r>
        <w:rPr/>
        <w:t>(Anexo 1) mediante el uso del ADN extraído con el kit comercial KAPA BIOSYSTEMS con la técnica de PCR multiplex mediante el protocolo establecido por Pacheco (Pacheco </w:t>
      </w:r>
      <w:r>
        <w:rPr>
          <w:i/>
        </w:rPr>
        <w:t>et al., </w:t>
      </w:r>
      <w:r>
        <w:rPr/>
        <w:t>2007), la cual se basa en la utilización de tres pares de primers que amplifican tres genes específicos de </w:t>
      </w:r>
      <w:r>
        <w:rPr>
          <w:i/>
        </w:rPr>
        <w:t>Corynebacterium pseudotuberculosis: 16s, rpoB </w:t>
      </w:r>
      <w:r>
        <w:rPr/>
        <w:t>y pld, los cuales son capaces de diferenciar entre otros géneros y especies de </w:t>
      </w:r>
      <w:r>
        <w:rPr>
          <w:i/>
        </w:rPr>
        <w:t>Corynebacterium</w:t>
      </w:r>
      <w:r>
        <w:rPr/>
        <w:t>, garantizándonos  la correcta</w:t>
      </w:r>
      <w:r>
        <w:rPr>
          <w:spacing w:val="-10"/>
        </w:rPr>
        <w:t> </w:t>
      </w:r>
      <w:r>
        <w:rPr/>
        <w:t>identificación.</w:t>
      </w:r>
    </w:p>
    <w:p>
      <w:pPr>
        <w:pStyle w:val="BodyText"/>
        <w:spacing w:before="204"/>
        <w:ind w:left="212"/>
        <w:jc w:val="both"/>
      </w:pPr>
      <w:r>
        <w:rPr/>
        <w:t>Los primers Utilizados fueron los siguientes:</w:t>
      </w:r>
    </w:p>
    <w:p>
      <w:pPr>
        <w:pStyle w:val="BodyText"/>
        <w:spacing w:before="6" w:after="1"/>
        <w:rPr>
          <w:sz w:val="29"/>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03"/>
        <w:gridCol w:w="961"/>
        <w:gridCol w:w="2876"/>
        <w:gridCol w:w="2489"/>
        <w:gridCol w:w="1927"/>
      </w:tblGrid>
      <w:tr>
        <w:trPr>
          <w:trHeight w:val="698" w:hRule="exact"/>
        </w:trPr>
        <w:tc>
          <w:tcPr>
            <w:tcW w:w="803" w:type="dxa"/>
            <w:tcBorders>
              <w:left w:val="nil"/>
              <w:right w:val="nil"/>
            </w:tcBorders>
          </w:tcPr>
          <w:p>
            <w:pPr>
              <w:pStyle w:val="TableParagraph"/>
              <w:spacing w:before="5"/>
              <w:ind w:left="0"/>
              <w:rPr>
                <w:rFonts w:ascii="Arial"/>
                <w:sz w:val="17"/>
              </w:rPr>
            </w:pPr>
          </w:p>
          <w:p>
            <w:pPr>
              <w:pStyle w:val="TableParagraph"/>
              <w:spacing w:before="0"/>
              <w:ind w:left="107" w:right="235"/>
              <w:rPr>
                <w:rFonts w:ascii="Arial"/>
                <w:b/>
                <w:sz w:val="18"/>
              </w:rPr>
            </w:pPr>
            <w:r>
              <w:rPr>
                <w:rFonts w:ascii="Arial"/>
                <w:b/>
                <w:sz w:val="18"/>
              </w:rPr>
              <w:t>Gen</w:t>
            </w:r>
          </w:p>
        </w:tc>
        <w:tc>
          <w:tcPr>
            <w:tcW w:w="961" w:type="dxa"/>
            <w:tcBorders>
              <w:left w:val="nil"/>
              <w:right w:val="nil"/>
            </w:tcBorders>
          </w:tcPr>
          <w:p>
            <w:pPr>
              <w:pStyle w:val="TableParagraph"/>
              <w:spacing w:before="5"/>
              <w:ind w:left="0"/>
              <w:rPr>
                <w:rFonts w:ascii="Arial"/>
                <w:sz w:val="17"/>
              </w:rPr>
            </w:pPr>
          </w:p>
          <w:p>
            <w:pPr>
              <w:pStyle w:val="TableParagraph"/>
              <w:spacing w:before="0"/>
              <w:ind w:left="0" w:right="132"/>
              <w:jc w:val="right"/>
              <w:rPr>
                <w:rFonts w:ascii="Arial"/>
                <w:b/>
                <w:sz w:val="18"/>
              </w:rPr>
            </w:pPr>
            <w:r>
              <w:rPr>
                <w:rFonts w:ascii="Arial"/>
                <w:b/>
                <w:w w:val="95"/>
                <w:sz w:val="18"/>
              </w:rPr>
              <w:t>Primer</w:t>
            </w:r>
          </w:p>
        </w:tc>
        <w:tc>
          <w:tcPr>
            <w:tcW w:w="2876" w:type="dxa"/>
            <w:tcBorders>
              <w:left w:val="nil"/>
              <w:right w:val="nil"/>
            </w:tcBorders>
          </w:tcPr>
          <w:p>
            <w:pPr>
              <w:pStyle w:val="TableParagraph"/>
              <w:spacing w:before="5"/>
              <w:ind w:left="0"/>
              <w:rPr>
                <w:rFonts w:ascii="Arial"/>
                <w:sz w:val="17"/>
              </w:rPr>
            </w:pPr>
          </w:p>
          <w:p>
            <w:pPr>
              <w:pStyle w:val="TableParagraph"/>
              <w:spacing w:before="0"/>
              <w:ind w:left="134"/>
              <w:rPr>
                <w:rFonts w:ascii="Arial" w:hAnsi="Arial"/>
                <w:b/>
                <w:sz w:val="18"/>
              </w:rPr>
            </w:pPr>
            <w:r>
              <w:rPr>
                <w:rFonts w:ascii="Arial" w:hAnsi="Arial"/>
                <w:b/>
                <w:sz w:val="18"/>
              </w:rPr>
              <w:t>Secuencia (5´-3´)</w:t>
            </w:r>
          </w:p>
        </w:tc>
        <w:tc>
          <w:tcPr>
            <w:tcW w:w="2489" w:type="dxa"/>
            <w:tcBorders>
              <w:left w:val="nil"/>
              <w:right w:val="nil"/>
            </w:tcBorders>
          </w:tcPr>
          <w:p>
            <w:pPr>
              <w:pStyle w:val="TableParagraph"/>
              <w:spacing w:before="5"/>
              <w:ind w:left="0"/>
              <w:rPr>
                <w:rFonts w:ascii="Arial"/>
                <w:sz w:val="17"/>
              </w:rPr>
            </w:pPr>
          </w:p>
          <w:p>
            <w:pPr>
              <w:pStyle w:val="TableParagraph"/>
              <w:spacing w:before="0"/>
              <w:ind w:left="191" w:right="48"/>
              <w:rPr>
                <w:rFonts w:ascii="Arial"/>
                <w:b/>
                <w:sz w:val="18"/>
              </w:rPr>
            </w:pPr>
            <w:r>
              <w:rPr>
                <w:rFonts w:ascii="Arial"/>
                <w:b/>
                <w:sz w:val="18"/>
              </w:rPr>
              <w:t>Longitud del Producto (Pb)</w:t>
            </w:r>
          </w:p>
        </w:tc>
        <w:tc>
          <w:tcPr>
            <w:tcW w:w="1927" w:type="dxa"/>
            <w:tcBorders>
              <w:left w:val="nil"/>
              <w:right w:val="nil"/>
            </w:tcBorders>
          </w:tcPr>
          <w:p>
            <w:pPr>
              <w:pStyle w:val="TableParagraph"/>
              <w:spacing w:before="5"/>
              <w:ind w:left="0"/>
              <w:rPr>
                <w:rFonts w:ascii="Arial"/>
                <w:sz w:val="17"/>
              </w:rPr>
            </w:pPr>
          </w:p>
          <w:p>
            <w:pPr>
              <w:pStyle w:val="TableParagraph"/>
              <w:spacing w:before="0"/>
              <w:ind w:left="107"/>
              <w:rPr>
                <w:rFonts w:ascii="Arial"/>
                <w:b/>
                <w:sz w:val="18"/>
              </w:rPr>
            </w:pPr>
            <w:r>
              <w:rPr>
                <w:rFonts w:ascii="Arial"/>
                <w:b/>
                <w:sz w:val="18"/>
              </w:rPr>
              <w:t>Referencia</w:t>
            </w:r>
          </w:p>
        </w:tc>
      </w:tr>
      <w:tr>
        <w:trPr>
          <w:trHeight w:val="386" w:hRule="exact"/>
        </w:trPr>
        <w:tc>
          <w:tcPr>
            <w:tcW w:w="803" w:type="dxa"/>
            <w:tcBorders>
              <w:left w:val="nil"/>
              <w:bottom w:val="nil"/>
              <w:right w:val="nil"/>
            </w:tcBorders>
          </w:tcPr>
          <w:p>
            <w:pPr>
              <w:pStyle w:val="TableParagraph"/>
              <w:spacing w:before="0"/>
              <w:ind w:left="107" w:right="235"/>
              <w:rPr>
                <w:rFonts w:ascii="Arial"/>
                <w:sz w:val="18"/>
              </w:rPr>
            </w:pPr>
            <w:r>
              <w:rPr>
                <w:rFonts w:ascii="Arial"/>
                <w:sz w:val="18"/>
              </w:rPr>
              <w:t>16s rRNA</w:t>
            </w:r>
          </w:p>
        </w:tc>
        <w:tc>
          <w:tcPr>
            <w:tcW w:w="961" w:type="dxa"/>
            <w:tcBorders>
              <w:left w:val="nil"/>
              <w:bottom w:val="nil"/>
              <w:right w:val="nil"/>
            </w:tcBorders>
          </w:tcPr>
          <w:p>
            <w:pPr>
              <w:pStyle w:val="TableParagraph"/>
              <w:spacing w:line="207" w:lineRule="exact" w:before="0"/>
              <w:ind w:left="0" w:right="161"/>
              <w:jc w:val="right"/>
              <w:rPr>
                <w:rFonts w:ascii="Arial"/>
                <w:sz w:val="18"/>
              </w:rPr>
            </w:pPr>
            <w:r>
              <w:rPr>
                <w:rFonts w:ascii="Arial"/>
                <w:sz w:val="18"/>
              </w:rPr>
              <w:t>16S-F:</w:t>
            </w:r>
          </w:p>
        </w:tc>
        <w:tc>
          <w:tcPr>
            <w:tcW w:w="2876" w:type="dxa"/>
            <w:tcBorders>
              <w:left w:val="nil"/>
              <w:bottom w:val="nil"/>
              <w:right w:val="nil"/>
            </w:tcBorders>
          </w:tcPr>
          <w:p>
            <w:pPr>
              <w:pStyle w:val="TableParagraph"/>
              <w:spacing w:line="207" w:lineRule="exact" w:before="0"/>
              <w:ind w:left="134"/>
              <w:rPr>
                <w:rFonts w:ascii="Arial"/>
                <w:sz w:val="18"/>
              </w:rPr>
            </w:pPr>
            <w:r>
              <w:rPr>
                <w:rFonts w:ascii="Arial"/>
                <w:sz w:val="18"/>
              </w:rPr>
              <w:t>ACCGCACTTTAGTGTGTGTG</w:t>
            </w:r>
          </w:p>
        </w:tc>
        <w:tc>
          <w:tcPr>
            <w:tcW w:w="2489" w:type="dxa"/>
            <w:tcBorders>
              <w:left w:val="nil"/>
              <w:bottom w:val="nil"/>
              <w:right w:val="nil"/>
            </w:tcBorders>
          </w:tcPr>
          <w:p>
            <w:pPr>
              <w:pStyle w:val="TableParagraph"/>
              <w:spacing w:line="207" w:lineRule="exact" w:before="0"/>
              <w:ind w:left="191" w:right="48"/>
              <w:rPr>
                <w:rFonts w:ascii="Arial"/>
                <w:sz w:val="18"/>
              </w:rPr>
            </w:pPr>
            <w:r>
              <w:rPr>
                <w:rFonts w:ascii="Arial"/>
                <w:sz w:val="18"/>
              </w:rPr>
              <w:t>816</w:t>
            </w:r>
          </w:p>
        </w:tc>
        <w:tc>
          <w:tcPr>
            <w:tcW w:w="1927" w:type="dxa"/>
            <w:tcBorders>
              <w:left w:val="nil"/>
              <w:bottom w:val="nil"/>
              <w:right w:val="nil"/>
            </w:tcBorders>
          </w:tcPr>
          <w:p>
            <w:pPr>
              <w:pStyle w:val="TableParagraph"/>
              <w:tabs>
                <w:tab w:pos="1193" w:val="left" w:leader="none"/>
                <w:tab w:pos="1627" w:val="left" w:leader="none"/>
              </w:tabs>
              <w:spacing w:line="242" w:lineRule="auto" w:before="0"/>
              <w:ind w:left="107" w:right="108"/>
              <w:rPr>
                <w:rFonts w:ascii="Arial"/>
                <w:sz w:val="18"/>
              </w:rPr>
            </w:pPr>
            <w:r>
              <w:rPr>
                <w:rFonts w:ascii="Arial"/>
                <w:sz w:val="18"/>
              </w:rPr>
              <w:t>Cetinkaya</w:t>
              <w:tab/>
            </w:r>
            <w:r>
              <w:rPr>
                <w:rFonts w:ascii="Arial"/>
                <w:i/>
                <w:sz w:val="18"/>
              </w:rPr>
              <w:t>et</w:t>
              <w:tab/>
              <w:t>al. </w:t>
            </w:r>
            <w:r>
              <w:rPr>
                <w:rFonts w:ascii="Arial"/>
                <w:i/>
                <w:sz w:val="18"/>
              </w:rPr>
              <w:t>(</w:t>
            </w:r>
            <w:r>
              <w:rPr>
                <w:rFonts w:ascii="Arial"/>
                <w:sz w:val="18"/>
              </w:rPr>
              <w:t>2002)</w:t>
            </w:r>
          </w:p>
        </w:tc>
      </w:tr>
      <w:tr>
        <w:trPr>
          <w:trHeight w:val="241" w:hRule="exact"/>
        </w:trPr>
        <w:tc>
          <w:tcPr>
            <w:tcW w:w="803" w:type="dxa"/>
            <w:tcBorders>
              <w:top w:val="nil"/>
              <w:left w:val="nil"/>
              <w:bottom w:val="nil"/>
              <w:right w:val="nil"/>
            </w:tcBorders>
          </w:tcPr>
          <w:p>
            <w:pPr/>
          </w:p>
        </w:tc>
        <w:tc>
          <w:tcPr>
            <w:tcW w:w="961" w:type="dxa"/>
            <w:tcBorders>
              <w:top w:val="nil"/>
              <w:left w:val="nil"/>
              <w:bottom w:val="nil"/>
              <w:right w:val="nil"/>
            </w:tcBorders>
          </w:tcPr>
          <w:p>
            <w:pPr>
              <w:pStyle w:val="TableParagraph"/>
              <w:spacing w:line="166" w:lineRule="exact" w:before="0"/>
              <w:ind w:left="0" w:right="142"/>
              <w:jc w:val="right"/>
              <w:rPr>
                <w:rFonts w:ascii="Arial"/>
                <w:sz w:val="18"/>
              </w:rPr>
            </w:pPr>
            <w:r>
              <w:rPr>
                <w:rFonts w:ascii="Arial"/>
                <w:sz w:val="18"/>
              </w:rPr>
              <w:t>16S-R:</w:t>
            </w:r>
          </w:p>
        </w:tc>
        <w:tc>
          <w:tcPr>
            <w:tcW w:w="2876" w:type="dxa"/>
            <w:tcBorders>
              <w:top w:val="nil"/>
              <w:left w:val="nil"/>
              <w:bottom w:val="nil"/>
              <w:right w:val="nil"/>
            </w:tcBorders>
          </w:tcPr>
          <w:p>
            <w:pPr>
              <w:pStyle w:val="TableParagraph"/>
              <w:spacing w:line="166" w:lineRule="exact" w:before="0"/>
              <w:ind w:left="134"/>
              <w:rPr>
                <w:rFonts w:ascii="Arial"/>
                <w:sz w:val="18"/>
              </w:rPr>
            </w:pPr>
            <w:r>
              <w:rPr>
                <w:rFonts w:ascii="Arial"/>
                <w:sz w:val="18"/>
              </w:rPr>
              <w:t>TCTCTACGCCGATCTTGTAT</w:t>
            </w:r>
          </w:p>
        </w:tc>
        <w:tc>
          <w:tcPr>
            <w:tcW w:w="2489" w:type="dxa"/>
            <w:tcBorders>
              <w:top w:val="nil"/>
              <w:left w:val="nil"/>
              <w:bottom w:val="nil"/>
              <w:right w:val="nil"/>
            </w:tcBorders>
          </w:tcPr>
          <w:p>
            <w:pPr/>
          </w:p>
        </w:tc>
        <w:tc>
          <w:tcPr>
            <w:tcW w:w="1927" w:type="dxa"/>
            <w:tcBorders>
              <w:top w:val="nil"/>
              <w:left w:val="nil"/>
              <w:bottom w:val="nil"/>
              <w:right w:val="nil"/>
            </w:tcBorders>
          </w:tcPr>
          <w:p>
            <w:pPr/>
          </w:p>
        </w:tc>
      </w:tr>
      <w:tr>
        <w:trPr>
          <w:trHeight w:val="481" w:hRule="exact"/>
        </w:trPr>
        <w:tc>
          <w:tcPr>
            <w:tcW w:w="803" w:type="dxa"/>
            <w:tcBorders>
              <w:top w:val="nil"/>
              <w:left w:val="nil"/>
              <w:bottom w:val="nil"/>
              <w:right w:val="nil"/>
            </w:tcBorders>
          </w:tcPr>
          <w:p>
            <w:pPr>
              <w:pStyle w:val="TableParagraph"/>
              <w:spacing w:before="58"/>
              <w:ind w:left="107" w:right="235"/>
              <w:rPr>
                <w:rFonts w:ascii="Arial"/>
                <w:sz w:val="18"/>
              </w:rPr>
            </w:pPr>
            <w:r>
              <w:rPr>
                <w:rFonts w:ascii="Arial"/>
                <w:sz w:val="18"/>
              </w:rPr>
              <w:t>rpoB</w:t>
            </w:r>
          </w:p>
        </w:tc>
        <w:tc>
          <w:tcPr>
            <w:tcW w:w="961" w:type="dxa"/>
            <w:tcBorders>
              <w:top w:val="nil"/>
              <w:left w:val="nil"/>
              <w:bottom w:val="nil"/>
              <w:right w:val="nil"/>
            </w:tcBorders>
          </w:tcPr>
          <w:p>
            <w:pPr>
              <w:pStyle w:val="TableParagraph"/>
              <w:spacing w:before="58"/>
              <w:ind w:left="255" w:right="155"/>
              <w:rPr>
                <w:rFonts w:ascii="Arial"/>
                <w:sz w:val="18"/>
              </w:rPr>
            </w:pPr>
            <w:r>
              <w:rPr>
                <w:rFonts w:ascii="Arial"/>
                <w:sz w:val="18"/>
              </w:rPr>
              <w:t>C2700 F</w:t>
            </w:r>
          </w:p>
        </w:tc>
        <w:tc>
          <w:tcPr>
            <w:tcW w:w="2876" w:type="dxa"/>
            <w:tcBorders>
              <w:top w:val="nil"/>
              <w:left w:val="nil"/>
              <w:bottom w:val="nil"/>
              <w:right w:val="nil"/>
            </w:tcBorders>
          </w:tcPr>
          <w:p>
            <w:pPr>
              <w:pStyle w:val="TableParagraph"/>
              <w:spacing w:before="58"/>
              <w:ind w:left="134"/>
              <w:rPr>
                <w:rFonts w:ascii="Arial"/>
                <w:sz w:val="18"/>
              </w:rPr>
            </w:pPr>
            <w:r>
              <w:rPr>
                <w:rFonts w:ascii="Arial"/>
                <w:sz w:val="18"/>
              </w:rPr>
              <w:t>CGTATGAACATCGGCCAGGT</w:t>
            </w:r>
          </w:p>
        </w:tc>
        <w:tc>
          <w:tcPr>
            <w:tcW w:w="2489" w:type="dxa"/>
            <w:tcBorders>
              <w:top w:val="nil"/>
              <w:left w:val="nil"/>
              <w:bottom w:val="nil"/>
              <w:right w:val="nil"/>
            </w:tcBorders>
          </w:tcPr>
          <w:p>
            <w:pPr>
              <w:pStyle w:val="TableParagraph"/>
              <w:spacing w:before="58"/>
              <w:ind w:left="191" w:right="48"/>
              <w:rPr>
                <w:rFonts w:ascii="Arial"/>
                <w:sz w:val="18"/>
              </w:rPr>
            </w:pPr>
            <w:r>
              <w:rPr>
                <w:rFonts w:ascii="Arial"/>
                <w:sz w:val="18"/>
              </w:rPr>
              <w:t>446</w:t>
            </w:r>
          </w:p>
        </w:tc>
        <w:tc>
          <w:tcPr>
            <w:tcW w:w="1927" w:type="dxa"/>
            <w:tcBorders>
              <w:top w:val="nil"/>
              <w:left w:val="nil"/>
              <w:bottom w:val="nil"/>
              <w:right w:val="nil"/>
            </w:tcBorders>
          </w:tcPr>
          <w:p>
            <w:pPr>
              <w:pStyle w:val="TableParagraph"/>
              <w:spacing w:before="56"/>
              <w:ind w:left="107"/>
              <w:rPr>
                <w:rFonts w:ascii="Arial"/>
                <w:sz w:val="18"/>
              </w:rPr>
            </w:pPr>
            <w:r>
              <w:rPr>
                <w:rFonts w:ascii="Arial"/>
                <w:sz w:val="18"/>
              </w:rPr>
              <w:t>Khamis </w:t>
            </w:r>
            <w:r>
              <w:rPr>
                <w:rFonts w:ascii="Arial"/>
                <w:i/>
                <w:sz w:val="18"/>
              </w:rPr>
              <w:t>et al. </w:t>
            </w:r>
            <w:r>
              <w:rPr>
                <w:rFonts w:ascii="Arial"/>
                <w:sz w:val="18"/>
              </w:rPr>
              <w:t>(2004)</w:t>
            </w:r>
          </w:p>
        </w:tc>
      </w:tr>
      <w:tr>
        <w:trPr>
          <w:trHeight w:val="413" w:hRule="exact"/>
        </w:trPr>
        <w:tc>
          <w:tcPr>
            <w:tcW w:w="803" w:type="dxa"/>
            <w:tcBorders>
              <w:top w:val="nil"/>
              <w:left w:val="nil"/>
              <w:bottom w:val="nil"/>
              <w:right w:val="nil"/>
            </w:tcBorders>
          </w:tcPr>
          <w:p>
            <w:pPr/>
          </w:p>
        </w:tc>
        <w:tc>
          <w:tcPr>
            <w:tcW w:w="961" w:type="dxa"/>
            <w:tcBorders>
              <w:top w:val="nil"/>
              <w:left w:val="nil"/>
              <w:bottom w:val="nil"/>
              <w:right w:val="nil"/>
            </w:tcBorders>
          </w:tcPr>
          <w:p>
            <w:pPr>
              <w:pStyle w:val="TableParagraph"/>
              <w:spacing w:before="0"/>
              <w:ind w:left="255" w:right="155"/>
              <w:rPr>
                <w:rFonts w:ascii="Arial"/>
                <w:sz w:val="18"/>
              </w:rPr>
            </w:pPr>
            <w:r>
              <w:rPr>
                <w:rFonts w:ascii="Arial"/>
                <w:sz w:val="18"/>
              </w:rPr>
              <w:t>C3130 R</w:t>
            </w:r>
          </w:p>
        </w:tc>
        <w:tc>
          <w:tcPr>
            <w:tcW w:w="2876" w:type="dxa"/>
            <w:tcBorders>
              <w:top w:val="nil"/>
              <w:left w:val="nil"/>
              <w:bottom w:val="nil"/>
              <w:right w:val="nil"/>
            </w:tcBorders>
          </w:tcPr>
          <w:p>
            <w:pPr>
              <w:pStyle w:val="TableParagraph"/>
              <w:spacing w:line="197" w:lineRule="exact" w:before="0"/>
              <w:ind w:left="134"/>
              <w:rPr>
                <w:rFonts w:ascii="Arial"/>
                <w:sz w:val="18"/>
              </w:rPr>
            </w:pPr>
            <w:r>
              <w:rPr>
                <w:rFonts w:ascii="Arial"/>
                <w:sz w:val="18"/>
              </w:rPr>
              <w:t>TCCATTTCGCCGAAGCGCTG</w:t>
            </w:r>
          </w:p>
        </w:tc>
        <w:tc>
          <w:tcPr>
            <w:tcW w:w="2489" w:type="dxa"/>
            <w:tcBorders>
              <w:top w:val="nil"/>
              <w:left w:val="nil"/>
              <w:bottom w:val="nil"/>
              <w:right w:val="nil"/>
            </w:tcBorders>
          </w:tcPr>
          <w:p>
            <w:pPr/>
          </w:p>
        </w:tc>
        <w:tc>
          <w:tcPr>
            <w:tcW w:w="1927" w:type="dxa"/>
            <w:tcBorders>
              <w:top w:val="nil"/>
              <w:left w:val="nil"/>
              <w:bottom w:val="nil"/>
              <w:right w:val="nil"/>
            </w:tcBorders>
          </w:tcPr>
          <w:p>
            <w:pPr/>
          </w:p>
        </w:tc>
      </w:tr>
      <w:tr>
        <w:trPr>
          <w:trHeight w:val="366" w:hRule="exact"/>
        </w:trPr>
        <w:tc>
          <w:tcPr>
            <w:tcW w:w="803" w:type="dxa"/>
            <w:tcBorders>
              <w:top w:val="nil"/>
              <w:left w:val="nil"/>
              <w:bottom w:val="nil"/>
              <w:right w:val="nil"/>
            </w:tcBorders>
          </w:tcPr>
          <w:p>
            <w:pPr>
              <w:pStyle w:val="TableParagraph"/>
              <w:spacing w:line="197" w:lineRule="exact" w:before="0"/>
              <w:ind w:left="107" w:right="235"/>
              <w:rPr>
                <w:rFonts w:ascii="Arial"/>
                <w:i/>
                <w:sz w:val="18"/>
              </w:rPr>
            </w:pPr>
            <w:r>
              <w:rPr>
                <w:rFonts w:ascii="Arial"/>
                <w:i/>
                <w:sz w:val="18"/>
              </w:rPr>
              <w:t>pld</w:t>
            </w:r>
          </w:p>
        </w:tc>
        <w:tc>
          <w:tcPr>
            <w:tcW w:w="961" w:type="dxa"/>
            <w:tcBorders>
              <w:top w:val="nil"/>
              <w:left w:val="nil"/>
              <w:bottom w:val="nil"/>
              <w:right w:val="nil"/>
            </w:tcBorders>
          </w:tcPr>
          <w:p>
            <w:pPr>
              <w:pStyle w:val="TableParagraph"/>
              <w:spacing w:line="200" w:lineRule="exact" w:before="0"/>
              <w:ind w:left="0" w:right="183"/>
              <w:jc w:val="right"/>
              <w:rPr>
                <w:rFonts w:ascii="Arial"/>
                <w:sz w:val="18"/>
              </w:rPr>
            </w:pPr>
            <w:r>
              <w:rPr>
                <w:rFonts w:ascii="Arial"/>
                <w:sz w:val="18"/>
              </w:rPr>
              <w:t>PLD-F</w:t>
            </w:r>
          </w:p>
        </w:tc>
        <w:tc>
          <w:tcPr>
            <w:tcW w:w="2876" w:type="dxa"/>
            <w:tcBorders>
              <w:top w:val="nil"/>
              <w:left w:val="nil"/>
              <w:bottom w:val="nil"/>
              <w:right w:val="nil"/>
            </w:tcBorders>
          </w:tcPr>
          <w:p>
            <w:pPr>
              <w:pStyle w:val="TableParagraph"/>
              <w:spacing w:line="200" w:lineRule="exact" w:before="0"/>
              <w:ind w:left="134"/>
              <w:rPr>
                <w:rFonts w:ascii="Arial"/>
                <w:sz w:val="18"/>
              </w:rPr>
            </w:pPr>
            <w:r>
              <w:rPr>
                <w:rFonts w:ascii="Arial"/>
                <w:sz w:val="18"/>
              </w:rPr>
              <w:t>ATAAGCGTAAGCAGGGAGCA</w:t>
            </w:r>
          </w:p>
        </w:tc>
        <w:tc>
          <w:tcPr>
            <w:tcW w:w="2489" w:type="dxa"/>
            <w:tcBorders>
              <w:top w:val="nil"/>
              <w:left w:val="nil"/>
              <w:bottom w:val="nil"/>
              <w:right w:val="nil"/>
            </w:tcBorders>
          </w:tcPr>
          <w:p>
            <w:pPr>
              <w:pStyle w:val="TableParagraph"/>
              <w:spacing w:line="200" w:lineRule="exact" w:before="0"/>
              <w:ind w:left="191" w:right="48"/>
              <w:rPr>
                <w:rFonts w:ascii="Arial"/>
                <w:sz w:val="18"/>
              </w:rPr>
            </w:pPr>
            <w:r>
              <w:rPr>
                <w:rFonts w:ascii="Arial"/>
                <w:sz w:val="18"/>
              </w:rPr>
              <w:t>203</w:t>
            </w:r>
          </w:p>
        </w:tc>
        <w:tc>
          <w:tcPr>
            <w:tcW w:w="1927" w:type="dxa"/>
            <w:tcBorders>
              <w:top w:val="nil"/>
              <w:left w:val="nil"/>
              <w:bottom w:val="nil"/>
              <w:right w:val="nil"/>
            </w:tcBorders>
          </w:tcPr>
          <w:p>
            <w:pPr>
              <w:pStyle w:val="TableParagraph"/>
              <w:tabs>
                <w:tab w:pos="1145" w:val="left" w:leader="none"/>
                <w:tab w:pos="1627" w:val="left" w:leader="none"/>
              </w:tabs>
              <w:spacing w:line="197" w:lineRule="exact" w:before="0"/>
              <w:ind w:left="107"/>
              <w:rPr>
                <w:rFonts w:ascii="Arial"/>
                <w:i/>
                <w:sz w:val="18"/>
              </w:rPr>
            </w:pPr>
            <w:r>
              <w:rPr>
                <w:rFonts w:ascii="Arial"/>
                <w:sz w:val="18"/>
              </w:rPr>
              <w:t>Pacheco</w:t>
              <w:tab/>
            </w:r>
            <w:r>
              <w:rPr>
                <w:rFonts w:ascii="Arial"/>
                <w:i/>
                <w:sz w:val="18"/>
              </w:rPr>
              <w:t>et</w:t>
              <w:tab/>
              <w:t>al.</w:t>
            </w:r>
          </w:p>
          <w:p>
            <w:pPr>
              <w:pStyle w:val="TableParagraph"/>
              <w:spacing w:before="2"/>
              <w:ind w:left="107"/>
              <w:rPr>
                <w:rFonts w:ascii="Arial"/>
                <w:sz w:val="18"/>
              </w:rPr>
            </w:pPr>
            <w:r>
              <w:rPr>
                <w:rFonts w:ascii="Arial"/>
                <w:sz w:val="18"/>
              </w:rPr>
              <w:t>(2007)</w:t>
            </w:r>
          </w:p>
        </w:tc>
      </w:tr>
      <w:tr>
        <w:trPr>
          <w:trHeight w:val="386" w:hRule="exact"/>
        </w:trPr>
        <w:tc>
          <w:tcPr>
            <w:tcW w:w="803" w:type="dxa"/>
            <w:tcBorders>
              <w:top w:val="nil"/>
              <w:left w:val="nil"/>
              <w:right w:val="nil"/>
            </w:tcBorders>
          </w:tcPr>
          <w:p>
            <w:pPr/>
          </w:p>
        </w:tc>
        <w:tc>
          <w:tcPr>
            <w:tcW w:w="961" w:type="dxa"/>
            <w:tcBorders>
              <w:top w:val="nil"/>
              <w:left w:val="nil"/>
              <w:right w:val="nil"/>
            </w:tcBorders>
          </w:tcPr>
          <w:p>
            <w:pPr>
              <w:pStyle w:val="TableParagraph"/>
              <w:spacing w:line="172" w:lineRule="exact" w:before="0"/>
              <w:ind w:left="255" w:right="155"/>
              <w:rPr>
                <w:rFonts w:ascii="Arial"/>
                <w:sz w:val="18"/>
              </w:rPr>
            </w:pPr>
            <w:r>
              <w:rPr>
                <w:rFonts w:ascii="Arial"/>
                <w:sz w:val="18"/>
              </w:rPr>
              <w:t>PLD-</w:t>
            </w:r>
          </w:p>
          <w:p>
            <w:pPr>
              <w:pStyle w:val="TableParagraph"/>
              <w:spacing w:before="2"/>
              <w:ind w:left="255" w:right="155"/>
              <w:rPr>
                <w:rFonts w:ascii="Arial"/>
                <w:sz w:val="18"/>
              </w:rPr>
            </w:pPr>
            <w:r>
              <w:rPr>
                <w:rFonts w:ascii="Arial"/>
                <w:sz w:val="18"/>
              </w:rPr>
              <w:t>R2</w:t>
            </w:r>
          </w:p>
        </w:tc>
        <w:tc>
          <w:tcPr>
            <w:tcW w:w="2876" w:type="dxa"/>
            <w:tcBorders>
              <w:top w:val="nil"/>
              <w:left w:val="nil"/>
              <w:right w:val="nil"/>
            </w:tcBorders>
          </w:tcPr>
          <w:p>
            <w:pPr>
              <w:pStyle w:val="TableParagraph"/>
              <w:spacing w:line="172" w:lineRule="exact" w:before="0"/>
              <w:ind w:left="134"/>
              <w:rPr>
                <w:rFonts w:ascii="Arial"/>
                <w:sz w:val="18"/>
              </w:rPr>
            </w:pPr>
            <w:r>
              <w:rPr>
                <w:rFonts w:ascii="Arial"/>
                <w:sz w:val="18"/>
              </w:rPr>
              <w:t>ATCAGCGGTGATTGTCTTCCA</w:t>
            </w:r>
          </w:p>
          <w:p>
            <w:pPr>
              <w:pStyle w:val="TableParagraph"/>
              <w:spacing w:before="2"/>
              <w:ind w:left="134"/>
              <w:rPr>
                <w:rFonts w:ascii="Arial"/>
                <w:sz w:val="18"/>
              </w:rPr>
            </w:pPr>
            <w:r>
              <w:rPr>
                <w:rFonts w:ascii="Arial"/>
                <w:sz w:val="18"/>
              </w:rPr>
              <w:t>GG</w:t>
            </w:r>
          </w:p>
        </w:tc>
        <w:tc>
          <w:tcPr>
            <w:tcW w:w="2489" w:type="dxa"/>
            <w:tcBorders>
              <w:top w:val="nil"/>
              <w:left w:val="nil"/>
              <w:right w:val="nil"/>
            </w:tcBorders>
          </w:tcPr>
          <w:p>
            <w:pPr/>
          </w:p>
        </w:tc>
        <w:tc>
          <w:tcPr>
            <w:tcW w:w="1927" w:type="dxa"/>
            <w:tcBorders>
              <w:top w:val="nil"/>
              <w:left w:val="nil"/>
              <w:right w:val="nil"/>
            </w:tcBorders>
          </w:tcPr>
          <w:p>
            <w:pPr/>
          </w:p>
        </w:tc>
      </w:tr>
    </w:tbl>
    <w:p>
      <w:pPr>
        <w:pStyle w:val="BodyText"/>
        <w:spacing w:before="8"/>
        <w:rPr>
          <w:sz w:val="29"/>
        </w:rPr>
      </w:pPr>
    </w:p>
    <w:p>
      <w:pPr>
        <w:pStyle w:val="BodyText"/>
        <w:spacing w:line="360" w:lineRule="auto" w:before="69"/>
        <w:ind w:left="212" w:right="226"/>
        <w:jc w:val="both"/>
      </w:pPr>
      <w:r>
        <w:rPr/>
        <w:t>El PCR Multiplex se realizó en un volumen final de 50 µl conteniendo 25 µl 2X Quiagen Multiplex PCR Master Mix, 12 µl 10x primer mix (2 µl de cada primer (dilución de 100 pmol/µl), 5 µ de DNA (10 ng/µl).</w:t>
      </w:r>
    </w:p>
    <w:p>
      <w:pPr>
        <w:pStyle w:val="BodyText"/>
      </w:pPr>
    </w:p>
    <w:p>
      <w:pPr>
        <w:pStyle w:val="BodyText"/>
        <w:spacing w:line="360" w:lineRule="auto" w:before="142"/>
        <w:ind w:left="212" w:right="232"/>
        <w:jc w:val="both"/>
      </w:pPr>
      <w:r>
        <w:rPr/>
        <w:t>El protocolo de la reacción se llevó a cabo en un termociclador (Techne TC 512) es las siguientes condiciones: desnaturalización inicial de 95 °C por 3 min, 40 ciclos de 95°C por 1 min, 58 °C por 40 s y 68 °C por 1 min 30s; y una final extensión de 68 °C por 7</w:t>
      </w:r>
      <w:r>
        <w:rPr>
          <w:spacing w:val="-9"/>
        </w:rPr>
        <w:t> </w:t>
      </w:r>
      <w:r>
        <w:rPr/>
        <w:t>min.</w:t>
      </w:r>
    </w:p>
    <w:p>
      <w:pPr>
        <w:spacing w:after="0" w:line="360" w:lineRule="auto"/>
        <w:jc w:val="both"/>
        <w:sectPr>
          <w:pgSz w:w="12240" w:h="15840"/>
          <w:pgMar w:header="0" w:footer="1386" w:top="1500" w:bottom="1580" w:left="1660" w:right="1300"/>
        </w:sectPr>
      </w:pPr>
    </w:p>
    <w:p>
      <w:pPr>
        <w:pStyle w:val="BodyText"/>
        <w:spacing w:before="2"/>
        <w:rPr>
          <w:sz w:val="21"/>
        </w:rPr>
      </w:pPr>
    </w:p>
    <w:p>
      <w:pPr>
        <w:pStyle w:val="BodyText"/>
        <w:spacing w:line="360" w:lineRule="auto" w:before="69"/>
        <w:ind w:left="232" w:right="235"/>
        <w:jc w:val="both"/>
      </w:pPr>
      <w:r>
        <w:rPr/>
        <w:t>La amplificación de los productos se resolvieron por la técnica de Electroforesis en un gel de Agarosa al 1.5 % y visualizados con tinción de Bromuro de etidio en un trasiluminador (DNR Mini Bis Pro).</w:t>
      </w:r>
    </w:p>
    <w:p>
      <w:pPr>
        <w:pStyle w:val="BodyText"/>
      </w:pPr>
    </w:p>
    <w:p>
      <w:pPr>
        <w:pStyle w:val="Heading3"/>
        <w:spacing w:before="142"/>
        <w:ind w:left="232"/>
      </w:pPr>
      <w:r>
        <w:rPr/>
        <w:t>Identificación de genes de Virulencia y Patogenicidad</w:t>
      </w:r>
    </w:p>
    <w:p>
      <w:pPr>
        <w:pStyle w:val="BodyText"/>
        <w:spacing w:line="360" w:lineRule="auto" w:before="137"/>
        <w:ind w:left="232" w:right="224"/>
        <w:jc w:val="both"/>
      </w:pPr>
      <w:r>
        <w:rPr/>
        <w:t>Se llevó a cabo un PCR sencillo y un PCR Multiplex montados en este estudio basados en el protocolo previamente establecido por Sá </w:t>
      </w:r>
      <w:r>
        <w:rPr>
          <w:i/>
        </w:rPr>
        <w:t>et al</w:t>
      </w:r>
      <w:r>
        <w:rPr/>
        <w:t>., (2013) para la identificación de genes involucrados en la virulencia y patogenicidad de </w:t>
      </w:r>
      <w:r>
        <w:rPr>
          <w:i/>
        </w:rPr>
        <w:t>C. </w:t>
      </w:r>
      <w:r>
        <w:rPr>
          <w:i/>
        </w:rPr>
        <w:t>pseudotuberculosis </w:t>
      </w:r>
      <w:r>
        <w:rPr/>
        <w:t>de los aislados positivos por PCR multiplex. Los genes involucrados en factores de patogenicidad y virulencia que fueron analizados son los siguientes: Gen </w:t>
      </w:r>
      <w:r>
        <w:rPr>
          <w:i/>
        </w:rPr>
        <w:t>pld </w:t>
      </w:r>
      <w:r>
        <w:rPr/>
        <w:t>el cual fue incluido en el PCR Multiplex y los genes FagA, FagB, FagC y FagD.</w:t>
      </w:r>
    </w:p>
    <w:p>
      <w:pPr>
        <w:pStyle w:val="BodyText"/>
        <w:spacing w:before="204"/>
        <w:ind w:left="232"/>
        <w:jc w:val="both"/>
      </w:pPr>
      <w:r>
        <w:rPr/>
        <w:t>Los primers utilizados para identificar estos genes fuero los siguientes:</w:t>
      </w:r>
    </w:p>
    <w:p>
      <w:pPr>
        <w:pStyle w:val="BodyText"/>
        <w:spacing w:before="4"/>
        <w:rPr>
          <w:sz w:val="29"/>
        </w:rPr>
      </w:pPr>
    </w:p>
    <w:p>
      <w:pPr>
        <w:pStyle w:val="Heading3"/>
        <w:spacing w:before="1"/>
        <w:ind w:left="232"/>
      </w:pPr>
      <w:r>
        <w:rPr/>
        <w:t>Para los genes </w:t>
      </w:r>
      <w:r>
        <w:rPr>
          <w:i/>
        </w:rPr>
        <w:t>fag A-D </w:t>
      </w:r>
      <w:r>
        <w:rPr/>
        <w:t>los reportados por (Sá et al., 2013).</w:t>
      </w:r>
    </w:p>
    <w:p>
      <w:pPr>
        <w:pStyle w:val="BodyText"/>
        <w:spacing w:before="7"/>
        <w:rPr>
          <w:b/>
          <w:sz w:val="29"/>
        </w:rPr>
      </w:pPr>
    </w:p>
    <w:tbl>
      <w:tblPr>
        <w:tblW w:w="0" w:type="auto"/>
        <w:jc w:val="left"/>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8"/>
        <w:gridCol w:w="861"/>
        <w:gridCol w:w="3272"/>
        <w:gridCol w:w="2391"/>
        <w:gridCol w:w="1668"/>
      </w:tblGrid>
      <w:tr>
        <w:trPr>
          <w:trHeight w:val="698" w:hRule="exact"/>
        </w:trPr>
        <w:tc>
          <w:tcPr>
            <w:tcW w:w="878" w:type="dxa"/>
            <w:tcBorders>
              <w:left w:val="nil"/>
              <w:right w:val="nil"/>
            </w:tcBorders>
          </w:tcPr>
          <w:p>
            <w:pPr>
              <w:pStyle w:val="TableParagraph"/>
              <w:spacing w:before="6"/>
              <w:ind w:left="0"/>
              <w:rPr>
                <w:rFonts w:ascii="Arial"/>
                <w:b/>
                <w:sz w:val="19"/>
              </w:rPr>
            </w:pPr>
          </w:p>
          <w:p>
            <w:pPr>
              <w:pStyle w:val="TableParagraph"/>
              <w:spacing w:before="0"/>
              <w:ind w:left="122"/>
              <w:rPr>
                <w:rFonts w:ascii="Arial"/>
                <w:b/>
                <w:sz w:val="20"/>
              </w:rPr>
            </w:pPr>
            <w:r>
              <w:rPr>
                <w:rFonts w:ascii="Arial"/>
                <w:b/>
                <w:sz w:val="20"/>
              </w:rPr>
              <w:t>Gen</w:t>
            </w:r>
          </w:p>
        </w:tc>
        <w:tc>
          <w:tcPr>
            <w:tcW w:w="861" w:type="dxa"/>
            <w:tcBorders>
              <w:left w:val="nil"/>
              <w:right w:val="nil"/>
            </w:tcBorders>
          </w:tcPr>
          <w:p>
            <w:pPr>
              <w:pStyle w:val="TableParagraph"/>
              <w:spacing w:before="6"/>
              <w:ind w:left="0"/>
              <w:rPr>
                <w:rFonts w:ascii="Arial"/>
                <w:b/>
                <w:sz w:val="19"/>
              </w:rPr>
            </w:pPr>
          </w:p>
          <w:p>
            <w:pPr>
              <w:pStyle w:val="TableParagraph"/>
              <w:spacing w:before="0"/>
              <w:ind w:left="158" w:right="126"/>
              <w:rPr>
                <w:rFonts w:ascii="Arial"/>
                <w:b/>
                <w:sz w:val="20"/>
              </w:rPr>
            </w:pPr>
            <w:r>
              <w:rPr>
                <w:rFonts w:ascii="Arial"/>
                <w:b/>
                <w:sz w:val="20"/>
              </w:rPr>
              <w:t>Prime</w:t>
            </w:r>
            <w:r>
              <w:rPr>
                <w:rFonts w:ascii="Arial"/>
                <w:b/>
                <w:w w:val="99"/>
                <w:sz w:val="20"/>
              </w:rPr>
              <w:t> </w:t>
            </w:r>
            <w:r>
              <w:rPr>
                <w:rFonts w:ascii="Arial"/>
                <w:b/>
                <w:sz w:val="20"/>
              </w:rPr>
              <w:t>r</w:t>
            </w:r>
          </w:p>
        </w:tc>
        <w:tc>
          <w:tcPr>
            <w:tcW w:w="3272" w:type="dxa"/>
            <w:tcBorders>
              <w:left w:val="nil"/>
              <w:right w:val="nil"/>
            </w:tcBorders>
          </w:tcPr>
          <w:p>
            <w:pPr>
              <w:pStyle w:val="TableParagraph"/>
              <w:spacing w:before="6"/>
              <w:ind w:left="0"/>
              <w:rPr>
                <w:rFonts w:ascii="Arial"/>
                <w:b/>
                <w:sz w:val="19"/>
              </w:rPr>
            </w:pPr>
          </w:p>
          <w:p>
            <w:pPr>
              <w:pStyle w:val="TableParagraph"/>
              <w:spacing w:before="0"/>
              <w:ind w:left="147"/>
              <w:rPr>
                <w:rFonts w:ascii="Arial" w:hAnsi="Arial"/>
                <w:b/>
                <w:sz w:val="20"/>
              </w:rPr>
            </w:pPr>
            <w:r>
              <w:rPr>
                <w:rFonts w:ascii="Arial" w:hAnsi="Arial"/>
                <w:b/>
                <w:sz w:val="20"/>
              </w:rPr>
              <w:t>Secuencia (5´-3´)</w:t>
            </w:r>
          </w:p>
        </w:tc>
        <w:tc>
          <w:tcPr>
            <w:tcW w:w="2391" w:type="dxa"/>
            <w:tcBorders>
              <w:left w:val="nil"/>
              <w:right w:val="nil"/>
            </w:tcBorders>
          </w:tcPr>
          <w:p>
            <w:pPr>
              <w:pStyle w:val="TableParagraph"/>
              <w:spacing w:before="6"/>
              <w:ind w:left="0"/>
              <w:rPr>
                <w:rFonts w:ascii="Arial"/>
                <w:b/>
                <w:sz w:val="19"/>
              </w:rPr>
            </w:pPr>
          </w:p>
          <w:p>
            <w:pPr>
              <w:pStyle w:val="TableParagraph"/>
              <w:spacing w:before="0"/>
              <w:ind w:left="125"/>
              <w:rPr>
                <w:rFonts w:ascii="Arial"/>
                <w:b/>
                <w:sz w:val="20"/>
              </w:rPr>
            </w:pPr>
            <w:r>
              <w:rPr>
                <w:rFonts w:ascii="Arial"/>
                <w:b/>
                <w:sz w:val="20"/>
              </w:rPr>
              <w:t>Longitud del Producto (Pb)</w:t>
            </w:r>
          </w:p>
        </w:tc>
        <w:tc>
          <w:tcPr>
            <w:tcW w:w="1668" w:type="dxa"/>
            <w:tcBorders>
              <w:left w:val="nil"/>
              <w:right w:val="nil"/>
            </w:tcBorders>
          </w:tcPr>
          <w:p>
            <w:pPr>
              <w:pStyle w:val="TableParagraph"/>
              <w:spacing w:before="6"/>
              <w:ind w:left="0"/>
              <w:rPr>
                <w:rFonts w:ascii="Arial"/>
                <w:b/>
                <w:sz w:val="19"/>
              </w:rPr>
            </w:pPr>
          </w:p>
          <w:p>
            <w:pPr>
              <w:pStyle w:val="TableParagraph"/>
              <w:spacing w:before="0"/>
              <w:ind w:left="110"/>
              <w:rPr>
                <w:rFonts w:ascii="Arial"/>
                <w:b/>
                <w:sz w:val="20"/>
              </w:rPr>
            </w:pPr>
            <w:r>
              <w:rPr>
                <w:rFonts w:ascii="Arial"/>
                <w:b/>
                <w:sz w:val="20"/>
              </w:rPr>
              <w:t>Referencia</w:t>
            </w:r>
          </w:p>
        </w:tc>
      </w:tr>
      <w:tr>
        <w:trPr>
          <w:trHeight w:val="298" w:hRule="exact"/>
        </w:trPr>
        <w:tc>
          <w:tcPr>
            <w:tcW w:w="878" w:type="dxa"/>
            <w:tcBorders>
              <w:left w:val="nil"/>
              <w:bottom w:val="nil"/>
              <w:right w:val="nil"/>
            </w:tcBorders>
          </w:tcPr>
          <w:p>
            <w:pPr>
              <w:pStyle w:val="TableParagraph"/>
              <w:spacing w:line="225" w:lineRule="exact" w:before="0"/>
              <w:ind w:left="122"/>
              <w:rPr>
                <w:rFonts w:ascii="Arial"/>
                <w:i/>
                <w:sz w:val="20"/>
              </w:rPr>
            </w:pPr>
            <w:r>
              <w:rPr>
                <w:rFonts w:ascii="Arial"/>
                <w:i/>
                <w:sz w:val="20"/>
              </w:rPr>
              <w:t>Fag_A</w:t>
            </w:r>
          </w:p>
        </w:tc>
        <w:tc>
          <w:tcPr>
            <w:tcW w:w="861" w:type="dxa"/>
            <w:tcBorders>
              <w:left w:val="nil"/>
              <w:bottom w:val="nil"/>
              <w:right w:val="nil"/>
            </w:tcBorders>
          </w:tcPr>
          <w:p>
            <w:pPr>
              <w:pStyle w:val="TableParagraph"/>
              <w:spacing w:line="227" w:lineRule="exact" w:before="0"/>
              <w:ind w:left="158" w:right="126"/>
              <w:rPr>
                <w:rFonts w:ascii="Arial"/>
                <w:sz w:val="20"/>
              </w:rPr>
            </w:pPr>
            <w:r>
              <w:rPr>
                <w:rFonts w:ascii="Arial"/>
                <w:sz w:val="20"/>
              </w:rPr>
              <w:t>F:</w:t>
            </w:r>
          </w:p>
        </w:tc>
        <w:tc>
          <w:tcPr>
            <w:tcW w:w="3272" w:type="dxa"/>
            <w:tcBorders>
              <w:left w:val="nil"/>
              <w:bottom w:val="nil"/>
              <w:right w:val="nil"/>
            </w:tcBorders>
          </w:tcPr>
          <w:p>
            <w:pPr>
              <w:pStyle w:val="TableParagraph"/>
              <w:spacing w:line="227" w:lineRule="exact" w:before="0"/>
              <w:ind w:left="147"/>
              <w:rPr>
                <w:rFonts w:ascii="Arial"/>
                <w:sz w:val="20"/>
              </w:rPr>
            </w:pPr>
            <w:r>
              <w:rPr>
                <w:rFonts w:ascii="Arial"/>
                <w:sz w:val="20"/>
              </w:rPr>
              <w:t>AGCAAGACCAAGAGACATGC</w:t>
            </w:r>
          </w:p>
        </w:tc>
        <w:tc>
          <w:tcPr>
            <w:tcW w:w="2391" w:type="dxa"/>
            <w:tcBorders>
              <w:left w:val="nil"/>
              <w:bottom w:val="nil"/>
              <w:right w:val="nil"/>
            </w:tcBorders>
          </w:tcPr>
          <w:p>
            <w:pPr>
              <w:pStyle w:val="TableParagraph"/>
              <w:spacing w:line="227" w:lineRule="exact" w:before="0"/>
              <w:ind w:left="125"/>
              <w:rPr>
                <w:rFonts w:ascii="Arial"/>
                <w:sz w:val="20"/>
              </w:rPr>
            </w:pPr>
            <w:r>
              <w:rPr>
                <w:rFonts w:ascii="Arial"/>
                <w:sz w:val="20"/>
              </w:rPr>
              <w:t>245</w:t>
            </w:r>
          </w:p>
        </w:tc>
        <w:tc>
          <w:tcPr>
            <w:tcW w:w="1668" w:type="dxa"/>
            <w:tcBorders>
              <w:left w:val="nil"/>
              <w:bottom w:val="nil"/>
              <w:right w:val="nil"/>
            </w:tcBorders>
          </w:tcPr>
          <w:p>
            <w:pPr>
              <w:pStyle w:val="TableParagraph"/>
              <w:spacing w:line="225" w:lineRule="exact" w:before="0"/>
              <w:ind w:left="110"/>
              <w:rPr>
                <w:rFonts w:ascii="Arial" w:hAnsi="Arial"/>
                <w:sz w:val="20"/>
              </w:rPr>
            </w:pPr>
            <w:r>
              <w:rPr>
                <w:rFonts w:ascii="Arial" w:hAnsi="Arial"/>
                <w:sz w:val="20"/>
              </w:rPr>
              <w:t>Sá </w:t>
            </w:r>
            <w:r>
              <w:rPr>
                <w:rFonts w:ascii="Arial" w:hAnsi="Arial"/>
                <w:i/>
                <w:sz w:val="20"/>
              </w:rPr>
              <w:t>et al. </w:t>
            </w:r>
            <w:r>
              <w:rPr>
                <w:rFonts w:ascii="Arial" w:hAnsi="Arial"/>
                <w:sz w:val="20"/>
              </w:rPr>
              <w:t>(2013)</w:t>
            </w:r>
          </w:p>
        </w:tc>
      </w:tr>
      <w:tr>
        <w:trPr>
          <w:trHeight w:val="340" w:hRule="exact"/>
        </w:trPr>
        <w:tc>
          <w:tcPr>
            <w:tcW w:w="878" w:type="dxa"/>
            <w:tcBorders>
              <w:top w:val="nil"/>
              <w:left w:val="nil"/>
              <w:bottom w:val="nil"/>
              <w:right w:val="nil"/>
            </w:tcBorders>
          </w:tcPr>
          <w:p>
            <w:pPr/>
          </w:p>
        </w:tc>
        <w:tc>
          <w:tcPr>
            <w:tcW w:w="861" w:type="dxa"/>
            <w:tcBorders>
              <w:top w:val="nil"/>
              <w:left w:val="nil"/>
              <w:bottom w:val="nil"/>
              <w:right w:val="nil"/>
            </w:tcBorders>
          </w:tcPr>
          <w:p>
            <w:pPr>
              <w:pStyle w:val="TableParagraph"/>
              <w:spacing w:before="44"/>
              <w:ind w:left="158" w:right="126"/>
              <w:rPr>
                <w:rFonts w:ascii="Arial"/>
                <w:sz w:val="20"/>
              </w:rPr>
            </w:pPr>
            <w:r>
              <w:rPr>
                <w:rFonts w:ascii="Arial"/>
                <w:sz w:val="20"/>
              </w:rPr>
              <w:t>R:</w:t>
            </w:r>
          </w:p>
        </w:tc>
        <w:tc>
          <w:tcPr>
            <w:tcW w:w="3272" w:type="dxa"/>
            <w:tcBorders>
              <w:top w:val="nil"/>
              <w:left w:val="nil"/>
              <w:bottom w:val="nil"/>
              <w:right w:val="nil"/>
            </w:tcBorders>
          </w:tcPr>
          <w:p>
            <w:pPr>
              <w:pStyle w:val="TableParagraph"/>
              <w:spacing w:before="44"/>
              <w:ind w:left="147"/>
              <w:rPr>
                <w:rFonts w:ascii="Arial"/>
                <w:sz w:val="20"/>
              </w:rPr>
            </w:pPr>
            <w:r>
              <w:rPr>
                <w:rFonts w:ascii="Arial"/>
                <w:sz w:val="20"/>
              </w:rPr>
              <w:t>AGTCTCAGCCCAACGTACAG</w:t>
            </w:r>
          </w:p>
        </w:tc>
        <w:tc>
          <w:tcPr>
            <w:tcW w:w="2391" w:type="dxa"/>
            <w:tcBorders>
              <w:top w:val="nil"/>
              <w:left w:val="nil"/>
              <w:bottom w:val="nil"/>
              <w:right w:val="nil"/>
            </w:tcBorders>
          </w:tcPr>
          <w:p>
            <w:pPr/>
          </w:p>
        </w:tc>
        <w:tc>
          <w:tcPr>
            <w:tcW w:w="1668" w:type="dxa"/>
            <w:tcBorders>
              <w:top w:val="nil"/>
              <w:left w:val="nil"/>
              <w:bottom w:val="nil"/>
              <w:right w:val="nil"/>
            </w:tcBorders>
          </w:tcPr>
          <w:p>
            <w:pPr/>
          </w:p>
        </w:tc>
      </w:tr>
      <w:tr>
        <w:trPr>
          <w:trHeight w:val="341" w:hRule="exact"/>
        </w:trPr>
        <w:tc>
          <w:tcPr>
            <w:tcW w:w="878" w:type="dxa"/>
            <w:tcBorders>
              <w:top w:val="nil"/>
              <w:left w:val="nil"/>
              <w:bottom w:val="nil"/>
              <w:right w:val="nil"/>
            </w:tcBorders>
          </w:tcPr>
          <w:p>
            <w:pPr>
              <w:pStyle w:val="TableParagraph"/>
              <w:spacing w:before="43"/>
              <w:ind w:left="122"/>
              <w:rPr>
                <w:rFonts w:ascii="Arial"/>
                <w:i/>
                <w:sz w:val="20"/>
              </w:rPr>
            </w:pPr>
            <w:r>
              <w:rPr>
                <w:rFonts w:ascii="Arial"/>
                <w:i/>
                <w:sz w:val="20"/>
              </w:rPr>
              <w:t>Fag_B</w:t>
            </w:r>
          </w:p>
        </w:tc>
        <w:tc>
          <w:tcPr>
            <w:tcW w:w="861" w:type="dxa"/>
            <w:tcBorders>
              <w:top w:val="nil"/>
              <w:left w:val="nil"/>
              <w:bottom w:val="nil"/>
              <w:right w:val="nil"/>
            </w:tcBorders>
          </w:tcPr>
          <w:p>
            <w:pPr>
              <w:pStyle w:val="TableParagraph"/>
              <w:spacing w:before="46"/>
              <w:ind w:left="158"/>
              <w:rPr>
                <w:rFonts w:ascii="Arial"/>
                <w:sz w:val="20"/>
              </w:rPr>
            </w:pPr>
            <w:r>
              <w:rPr>
                <w:rFonts w:ascii="Arial"/>
                <w:w w:val="99"/>
                <w:sz w:val="20"/>
              </w:rPr>
              <w:t>F</w:t>
            </w:r>
          </w:p>
        </w:tc>
        <w:tc>
          <w:tcPr>
            <w:tcW w:w="3272" w:type="dxa"/>
            <w:tcBorders>
              <w:top w:val="nil"/>
              <w:left w:val="nil"/>
              <w:bottom w:val="nil"/>
              <w:right w:val="nil"/>
            </w:tcBorders>
          </w:tcPr>
          <w:p>
            <w:pPr>
              <w:pStyle w:val="TableParagraph"/>
              <w:spacing w:before="46"/>
              <w:ind w:left="147"/>
              <w:rPr>
                <w:rFonts w:ascii="Arial"/>
                <w:sz w:val="20"/>
              </w:rPr>
            </w:pPr>
            <w:r>
              <w:rPr>
                <w:rFonts w:ascii="Arial"/>
                <w:sz w:val="20"/>
              </w:rPr>
              <w:t>GTGAGAAGAACCCCGGTATAG</w:t>
            </w:r>
          </w:p>
        </w:tc>
        <w:tc>
          <w:tcPr>
            <w:tcW w:w="2391" w:type="dxa"/>
            <w:tcBorders>
              <w:top w:val="nil"/>
              <w:left w:val="nil"/>
              <w:bottom w:val="nil"/>
              <w:right w:val="nil"/>
            </w:tcBorders>
          </w:tcPr>
          <w:p>
            <w:pPr>
              <w:pStyle w:val="TableParagraph"/>
              <w:spacing w:before="46"/>
              <w:ind w:left="125"/>
              <w:rPr>
                <w:rFonts w:ascii="Arial"/>
                <w:sz w:val="20"/>
              </w:rPr>
            </w:pPr>
            <w:r>
              <w:rPr>
                <w:rFonts w:ascii="Arial"/>
                <w:sz w:val="20"/>
              </w:rPr>
              <w:t>291</w:t>
            </w:r>
          </w:p>
        </w:tc>
        <w:tc>
          <w:tcPr>
            <w:tcW w:w="1668" w:type="dxa"/>
            <w:tcBorders>
              <w:top w:val="nil"/>
              <w:left w:val="nil"/>
              <w:bottom w:val="nil"/>
              <w:right w:val="nil"/>
            </w:tcBorders>
          </w:tcPr>
          <w:p>
            <w:pPr>
              <w:pStyle w:val="TableParagraph"/>
              <w:spacing w:before="43"/>
              <w:ind w:left="110"/>
              <w:rPr>
                <w:rFonts w:ascii="Arial" w:hAnsi="Arial"/>
                <w:sz w:val="20"/>
              </w:rPr>
            </w:pPr>
            <w:r>
              <w:rPr>
                <w:rFonts w:ascii="Arial" w:hAnsi="Arial"/>
                <w:sz w:val="20"/>
              </w:rPr>
              <w:t>Sá </w:t>
            </w:r>
            <w:r>
              <w:rPr>
                <w:rFonts w:ascii="Arial" w:hAnsi="Arial"/>
                <w:i/>
                <w:sz w:val="20"/>
              </w:rPr>
              <w:t>et al. </w:t>
            </w:r>
            <w:r>
              <w:rPr>
                <w:rFonts w:ascii="Arial" w:hAnsi="Arial"/>
                <w:sz w:val="20"/>
              </w:rPr>
              <w:t>(2013)</w:t>
            </w:r>
          </w:p>
        </w:tc>
      </w:tr>
      <w:tr>
        <w:trPr>
          <w:trHeight w:val="338" w:hRule="exact"/>
        </w:trPr>
        <w:tc>
          <w:tcPr>
            <w:tcW w:w="878" w:type="dxa"/>
            <w:tcBorders>
              <w:top w:val="nil"/>
              <w:left w:val="nil"/>
              <w:bottom w:val="nil"/>
              <w:right w:val="nil"/>
            </w:tcBorders>
          </w:tcPr>
          <w:p>
            <w:pPr/>
          </w:p>
        </w:tc>
        <w:tc>
          <w:tcPr>
            <w:tcW w:w="861" w:type="dxa"/>
            <w:tcBorders>
              <w:top w:val="nil"/>
              <w:left w:val="nil"/>
              <w:bottom w:val="nil"/>
              <w:right w:val="nil"/>
            </w:tcBorders>
          </w:tcPr>
          <w:p>
            <w:pPr>
              <w:pStyle w:val="TableParagraph"/>
              <w:spacing w:before="43"/>
              <w:ind w:left="158"/>
              <w:rPr>
                <w:rFonts w:ascii="Arial"/>
                <w:sz w:val="20"/>
              </w:rPr>
            </w:pPr>
            <w:r>
              <w:rPr>
                <w:rFonts w:ascii="Arial"/>
                <w:w w:val="99"/>
                <w:sz w:val="20"/>
              </w:rPr>
              <w:t>R</w:t>
            </w:r>
          </w:p>
        </w:tc>
        <w:tc>
          <w:tcPr>
            <w:tcW w:w="3272" w:type="dxa"/>
            <w:tcBorders>
              <w:top w:val="nil"/>
              <w:left w:val="nil"/>
              <w:bottom w:val="nil"/>
              <w:right w:val="nil"/>
            </w:tcBorders>
          </w:tcPr>
          <w:p>
            <w:pPr>
              <w:pStyle w:val="TableParagraph"/>
              <w:spacing w:before="43"/>
              <w:ind w:left="147"/>
              <w:rPr>
                <w:rFonts w:ascii="Arial"/>
                <w:sz w:val="20"/>
              </w:rPr>
            </w:pPr>
            <w:r>
              <w:rPr>
                <w:rFonts w:ascii="Arial"/>
                <w:sz w:val="20"/>
              </w:rPr>
              <w:t>TACCGCACTTATTCTGACACTG</w:t>
            </w:r>
          </w:p>
        </w:tc>
        <w:tc>
          <w:tcPr>
            <w:tcW w:w="2391" w:type="dxa"/>
            <w:tcBorders>
              <w:top w:val="nil"/>
              <w:left w:val="nil"/>
              <w:bottom w:val="nil"/>
              <w:right w:val="nil"/>
            </w:tcBorders>
          </w:tcPr>
          <w:p>
            <w:pPr/>
          </w:p>
        </w:tc>
        <w:tc>
          <w:tcPr>
            <w:tcW w:w="1668" w:type="dxa"/>
            <w:tcBorders>
              <w:top w:val="nil"/>
              <w:left w:val="nil"/>
              <w:bottom w:val="nil"/>
              <w:right w:val="nil"/>
            </w:tcBorders>
          </w:tcPr>
          <w:p>
            <w:pPr/>
          </w:p>
        </w:tc>
      </w:tr>
      <w:tr>
        <w:trPr>
          <w:trHeight w:val="342" w:hRule="exact"/>
        </w:trPr>
        <w:tc>
          <w:tcPr>
            <w:tcW w:w="878" w:type="dxa"/>
            <w:tcBorders>
              <w:top w:val="nil"/>
              <w:left w:val="nil"/>
              <w:bottom w:val="nil"/>
              <w:right w:val="nil"/>
            </w:tcBorders>
          </w:tcPr>
          <w:p>
            <w:pPr>
              <w:pStyle w:val="TableParagraph"/>
              <w:spacing w:before="43"/>
              <w:ind w:left="122"/>
              <w:rPr>
                <w:rFonts w:ascii="Arial"/>
                <w:i/>
                <w:sz w:val="20"/>
              </w:rPr>
            </w:pPr>
            <w:r>
              <w:rPr>
                <w:rFonts w:ascii="Arial"/>
                <w:i/>
                <w:sz w:val="20"/>
              </w:rPr>
              <w:t>Fag_C</w:t>
            </w:r>
          </w:p>
        </w:tc>
        <w:tc>
          <w:tcPr>
            <w:tcW w:w="861" w:type="dxa"/>
            <w:tcBorders>
              <w:top w:val="nil"/>
              <w:left w:val="nil"/>
              <w:bottom w:val="nil"/>
              <w:right w:val="nil"/>
            </w:tcBorders>
          </w:tcPr>
          <w:p>
            <w:pPr>
              <w:pStyle w:val="TableParagraph"/>
              <w:spacing w:before="46"/>
              <w:ind w:left="158"/>
              <w:rPr>
                <w:rFonts w:ascii="Arial"/>
                <w:sz w:val="20"/>
              </w:rPr>
            </w:pPr>
            <w:r>
              <w:rPr>
                <w:rFonts w:ascii="Arial"/>
                <w:w w:val="99"/>
                <w:sz w:val="20"/>
              </w:rPr>
              <w:t>F</w:t>
            </w:r>
          </w:p>
        </w:tc>
        <w:tc>
          <w:tcPr>
            <w:tcW w:w="3272" w:type="dxa"/>
            <w:tcBorders>
              <w:top w:val="nil"/>
              <w:left w:val="nil"/>
              <w:bottom w:val="nil"/>
              <w:right w:val="nil"/>
            </w:tcBorders>
          </w:tcPr>
          <w:p>
            <w:pPr>
              <w:pStyle w:val="TableParagraph"/>
              <w:spacing w:before="46"/>
              <w:ind w:left="147"/>
              <w:rPr>
                <w:rFonts w:ascii="Arial"/>
                <w:sz w:val="20"/>
              </w:rPr>
            </w:pPr>
            <w:r>
              <w:rPr>
                <w:rFonts w:ascii="Arial"/>
                <w:sz w:val="20"/>
              </w:rPr>
              <w:t>GTTTGGCTATCTCCTTGGTATG</w:t>
            </w:r>
          </w:p>
        </w:tc>
        <w:tc>
          <w:tcPr>
            <w:tcW w:w="2391" w:type="dxa"/>
            <w:tcBorders>
              <w:top w:val="nil"/>
              <w:left w:val="nil"/>
              <w:bottom w:val="nil"/>
              <w:right w:val="nil"/>
            </w:tcBorders>
          </w:tcPr>
          <w:p>
            <w:pPr>
              <w:pStyle w:val="TableParagraph"/>
              <w:spacing w:before="46"/>
              <w:ind w:left="125"/>
              <w:rPr>
                <w:rFonts w:ascii="Arial"/>
                <w:sz w:val="20"/>
              </w:rPr>
            </w:pPr>
            <w:r>
              <w:rPr>
                <w:rFonts w:ascii="Arial"/>
                <w:sz w:val="20"/>
              </w:rPr>
              <w:t>173</w:t>
            </w:r>
          </w:p>
        </w:tc>
        <w:tc>
          <w:tcPr>
            <w:tcW w:w="1668" w:type="dxa"/>
            <w:tcBorders>
              <w:top w:val="nil"/>
              <w:left w:val="nil"/>
              <w:bottom w:val="nil"/>
              <w:right w:val="nil"/>
            </w:tcBorders>
          </w:tcPr>
          <w:p>
            <w:pPr>
              <w:pStyle w:val="TableParagraph"/>
              <w:spacing w:before="43"/>
              <w:ind w:left="110"/>
              <w:rPr>
                <w:rFonts w:ascii="Arial" w:hAnsi="Arial"/>
                <w:sz w:val="20"/>
              </w:rPr>
            </w:pPr>
            <w:r>
              <w:rPr>
                <w:rFonts w:ascii="Arial" w:hAnsi="Arial"/>
                <w:sz w:val="20"/>
              </w:rPr>
              <w:t>Sá </w:t>
            </w:r>
            <w:r>
              <w:rPr>
                <w:rFonts w:ascii="Arial" w:hAnsi="Arial"/>
                <w:i/>
                <w:sz w:val="20"/>
              </w:rPr>
              <w:t>et al. </w:t>
            </w:r>
            <w:r>
              <w:rPr>
                <w:rFonts w:ascii="Arial" w:hAnsi="Arial"/>
                <w:sz w:val="20"/>
              </w:rPr>
              <w:t>(2013)</w:t>
            </w:r>
          </w:p>
        </w:tc>
      </w:tr>
      <w:tr>
        <w:trPr>
          <w:trHeight w:val="338" w:hRule="exact"/>
        </w:trPr>
        <w:tc>
          <w:tcPr>
            <w:tcW w:w="878" w:type="dxa"/>
            <w:tcBorders>
              <w:top w:val="nil"/>
              <w:left w:val="nil"/>
              <w:bottom w:val="nil"/>
              <w:right w:val="nil"/>
            </w:tcBorders>
          </w:tcPr>
          <w:p>
            <w:pPr/>
          </w:p>
        </w:tc>
        <w:tc>
          <w:tcPr>
            <w:tcW w:w="861" w:type="dxa"/>
            <w:tcBorders>
              <w:top w:val="nil"/>
              <w:left w:val="nil"/>
              <w:bottom w:val="nil"/>
              <w:right w:val="nil"/>
            </w:tcBorders>
          </w:tcPr>
          <w:p>
            <w:pPr>
              <w:pStyle w:val="TableParagraph"/>
              <w:spacing w:before="44"/>
              <w:ind w:left="158"/>
              <w:rPr>
                <w:rFonts w:ascii="Arial"/>
                <w:sz w:val="20"/>
              </w:rPr>
            </w:pPr>
            <w:r>
              <w:rPr>
                <w:rFonts w:ascii="Arial"/>
                <w:w w:val="99"/>
                <w:sz w:val="20"/>
              </w:rPr>
              <w:t>R</w:t>
            </w:r>
          </w:p>
        </w:tc>
        <w:tc>
          <w:tcPr>
            <w:tcW w:w="3272" w:type="dxa"/>
            <w:tcBorders>
              <w:top w:val="nil"/>
              <w:left w:val="nil"/>
              <w:bottom w:val="nil"/>
              <w:right w:val="nil"/>
            </w:tcBorders>
          </w:tcPr>
          <w:p>
            <w:pPr>
              <w:pStyle w:val="TableParagraph"/>
              <w:spacing w:before="44"/>
              <w:ind w:left="147"/>
              <w:rPr>
                <w:rFonts w:ascii="Arial"/>
                <w:sz w:val="20"/>
              </w:rPr>
            </w:pPr>
            <w:r>
              <w:rPr>
                <w:rFonts w:ascii="Arial"/>
                <w:sz w:val="20"/>
              </w:rPr>
              <w:t>CGACCTTAGTGTTGACATACC</w:t>
            </w:r>
          </w:p>
        </w:tc>
        <w:tc>
          <w:tcPr>
            <w:tcW w:w="2391" w:type="dxa"/>
            <w:tcBorders>
              <w:top w:val="nil"/>
              <w:left w:val="nil"/>
              <w:bottom w:val="nil"/>
              <w:right w:val="nil"/>
            </w:tcBorders>
          </w:tcPr>
          <w:p>
            <w:pPr/>
          </w:p>
        </w:tc>
        <w:tc>
          <w:tcPr>
            <w:tcW w:w="1668" w:type="dxa"/>
            <w:tcBorders>
              <w:top w:val="nil"/>
              <w:left w:val="nil"/>
              <w:bottom w:val="nil"/>
              <w:right w:val="nil"/>
            </w:tcBorders>
          </w:tcPr>
          <w:p>
            <w:pPr/>
          </w:p>
        </w:tc>
      </w:tr>
      <w:tr>
        <w:trPr>
          <w:trHeight w:val="341" w:hRule="exact"/>
        </w:trPr>
        <w:tc>
          <w:tcPr>
            <w:tcW w:w="878" w:type="dxa"/>
            <w:tcBorders>
              <w:top w:val="nil"/>
              <w:left w:val="nil"/>
              <w:bottom w:val="nil"/>
              <w:right w:val="nil"/>
            </w:tcBorders>
          </w:tcPr>
          <w:p>
            <w:pPr>
              <w:pStyle w:val="TableParagraph"/>
              <w:spacing w:before="42"/>
              <w:ind w:left="122"/>
              <w:rPr>
                <w:rFonts w:ascii="Arial"/>
                <w:i/>
                <w:sz w:val="20"/>
              </w:rPr>
            </w:pPr>
            <w:r>
              <w:rPr>
                <w:rFonts w:ascii="Arial"/>
                <w:i/>
                <w:sz w:val="20"/>
              </w:rPr>
              <w:t>Fag_D</w:t>
            </w:r>
          </w:p>
        </w:tc>
        <w:tc>
          <w:tcPr>
            <w:tcW w:w="861" w:type="dxa"/>
            <w:tcBorders>
              <w:top w:val="nil"/>
              <w:left w:val="nil"/>
              <w:bottom w:val="nil"/>
              <w:right w:val="nil"/>
            </w:tcBorders>
          </w:tcPr>
          <w:p>
            <w:pPr>
              <w:pStyle w:val="TableParagraph"/>
              <w:spacing w:before="44"/>
              <w:ind w:left="158"/>
              <w:rPr>
                <w:rFonts w:ascii="Arial"/>
                <w:sz w:val="20"/>
              </w:rPr>
            </w:pPr>
            <w:r>
              <w:rPr>
                <w:rFonts w:ascii="Arial"/>
                <w:w w:val="99"/>
                <w:sz w:val="20"/>
              </w:rPr>
              <w:t>F</w:t>
            </w:r>
          </w:p>
        </w:tc>
        <w:tc>
          <w:tcPr>
            <w:tcW w:w="3272" w:type="dxa"/>
            <w:tcBorders>
              <w:top w:val="nil"/>
              <w:left w:val="nil"/>
              <w:bottom w:val="nil"/>
              <w:right w:val="nil"/>
            </w:tcBorders>
          </w:tcPr>
          <w:p>
            <w:pPr>
              <w:pStyle w:val="TableParagraph"/>
              <w:spacing w:before="44"/>
              <w:ind w:left="147"/>
              <w:rPr>
                <w:rFonts w:ascii="Arial"/>
                <w:sz w:val="20"/>
              </w:rPr>
            </w:pPr>
            <w:r>
              <w:rPr>
                <w:rFonts w:ascii="Arial"/>
                <w:sz w:val="20"/>
              </w:rPr>
              <w:t>GAGACTATCGACCAGGCAGA</w:t>
            </w:r>
          </w:p>
        </w:tc>
        <w:tc>
          <w:tcPr>
            <w:tcW w:w="2391" w:type="dxa"/>
            <w:tcBorders>
              <w:top w:val="nil"/>
              <w:left w:val="nil"/>
              <w:bottom w:val="nil"/>
              <w:right w:val="nil"/>
            </w:tcBorders>
          </w:tcPr>
          <w:p>
            <w:pPr>
              <w:pStyle w:val="TableParagraph"/>
              <w:spacing w:before="44"/>
              <w:ind w:left="125"/>
              <w:rPr>
                <w:rFonts w:ascii="Arial"/>
                <w:sz w:val="20"/>
              </w:rPr>
            </w:pPr>
            <w:r>
              <w:rPr>
                <w:rFonts w:ascii="Arial"/>
                <w:sz w:val="20"/>
              </w:rPr>
              <w:t>226</w:t>
            </w:r>
          </w:p>
        </w:tc>
        <w:tc>
          <w:tcPr>
            <w:tcW w:w="1668" w:type="dxa"/>
            <w:tcBorders>
              <w:top w:val="nil"/>
              <w:left w:val="nil"/>
              <w:bottom w:val="nil"/>
              <w:right w:val="nil"/>
            </w:tcBorders>
          </w:tcPr>
          <w:p>
            <w:pPr>
              <w:pStyle w:val="TableParagraph"/>
              <w:spacing w:before="42"/>
              <w:ind w:left="110"/>
              <w:rPr>
                <w:rFonts w:ascii="Arial" w:hAnsi="Arial"/>
                <w:sz w:val="20"/>
              </w:rPr>
            </w:pPr>
            <w:r>
              <w:rPr>
                <w:rFonts w:ascii="Arial" w:hAnsi="Arial"/>
                <w:sz w:val="20"/>
              </w:rPr>
              <w:t>Sá </w:t>
            </w:r>
            <w:r>
              <w:rPr>
                <w:rFonts w:ascii="Arial" w:hAnsi="Arial"/>
                <w:i/>
                <w:sz w:val="20"/>
              </w:rPr>
              <w:t>et al. </w:t>
            </w:r>
            <w:r>
              <w:rPr>
                <w:rFonts w:ascii="Arial" w:hAnsi="Arial"/>
                <w:sz w:val="20"/>
              </w:rPr>
              <w:t>(2013)</w:t>
            </w:r>
          </w:p>
        </w:tc>
      </w:tr>
      <w:tr>
        <w:trPr>
          <w:trHeight w:val="393" w:hRule="exact"/>
        </w:trPr>
        <w:tc>
          <w:tcPr>
            <w:tcW w:w="878" w:type="dxa"/>
            <w:tcBorders>
              <w:top w:val="nil"/>
              <w:left w:val="nil"/>
              <w:right w:val="nil"/>
            </w:tcBorders>
          </w:tcPr>
          <w:p>
            <w:pPr/>
          </w:p>
        </w:tc>
        <w:tc>
          <w:tcPr>
            <w:tcW w:w="861" w:type="dxa"/>
            <w:tcBorders>
              <w:top w:val="nil"/>
              <w:left w:val="nil"/>
              <w:right w:val="nil"/>
            </w:tcBorders>
          </w:tcPr>
          <w:p>
            <w:pPr>
              <w:pStyle w:val="TableParagraph"/>
              <w:spacing w:before="45"/>
              <w:ind w:left="158"/>
              <w:rPr>
                <w:rFonts w:ascii="Arial"/>
                <w:sz w:val="20"/>
              </w:rPr>
            </w:pPr>
            <w:r>
              <w:rPr>
                <w:rFonts w:ascii="Arial"/>
                <w:w w:val="99"/>
                <w:sz w:val="20"/>
              </w:rPr>
              <w:t>R</w:t>
            </w:r>
          </w:p>
        </w:tc>
        <w:tc>
          <w:tcPr>
            <w:tcW w:w="3272" w:type="dxa"/>
            <w:tcBorders>
              <w:top w:val="nil"/>
              <w:left w:val="nil"/>
              <w:right w:val="nil"/>
            </w:tcBorders>
          </w:tcPr>
          <w:p>
            <w:pPr>
              <w:pStyle w:val="TableParagraph"/>
              <w:spacing w:before="45"/>
              <w:ind w:left="147"/>
              <w:rPr>
                <w:rFonts w:ascii="Arial"/>
                <w:sz w:val="20"/>
              </w:rPr>
            </w:pPr>
            <w:r>
              <w:rPr>
                <w:rFonts w:ascii="Arial"/>
                <w:sz w:val="20"/>
              </w:rPr>
              <w:t>ACTTCTTGGGGAGCAGTTCT</w:t>
            </w:r>
          </w:p>
        </w:tc>
        <w:tc>
          <w:tcPr>
            <w:tcW w:w="2391" w:type="dxa"/>
            <w:tcBorders>
              <w:top w:val="nil"/>
              <w:left w:val="nil"/>
              <w:right w:val="nil"/>
            </w:tcBorders>
          </w:tcPr>
          <w:p>
            <w:pPr/>
          </w:p>
        </w:tc>
        <w:tc>
          <w:tcPr>
            <w:tcW w:w="1668" w:type="dxa"/>
            <w:tcBorders>
              <w:top w:val="nil"/>
              <w:left w:val="nil"/>
              <w:right w:val="nil"/>
            </w:tcBorders>
          </w:tcPr>
          <w:p>
            <w:pPr/>
          </w:p>
        </w:tc>
      </w:tr>
    </w:tbl>
    <w:p>
      <w:pPr>
        <w:pStyle w:val="BodyText"/>
        <w:rPr>
          <w:b/>
          <w:sz w:val="20"/>
        </w:rPr>
      </w:pPr>
    </w:p>
    <w:p>
      <w:pPr>
        <w:pStyle w:val="BodyText"/>
        <w:rPr>
          <w:b/>
          <w:sz w:val="27"/>
        </w:rPr>
      </w:pPr>
    </w:p>
    <w:p>
      <w:pPr>
        <w:pStyle w:val="BodyText"/>
        <w:spacing w:line="360" w:lineRule="auto" w:before="69"/>
        <w:ind w:left="232" w:right="229"/>
        <w:jc w:val="both"/>
      </w:pPr>
      <w:r>
        <w:rPr/>
        <w:t>Los ensayos de PCR en punto final para el gen </w:t>
      </w:r>
      <w:r>
        <w:rPr>
          <w:i/>
        </w:rPr>
        <w:t>Fag_B </w:t>
      </w:r>
      <w:r>
        <w:rPr/>
        <w:t>se llevaron a cabo en un volumen final de reacción de 25 µl, que contenían 2.5 µl con 20 ng de ADN genómico, 12.5 µl 2X Quiagen Multiplex PCR Master Mix, 2 µl 10x primer mix (1 µl de  cada  primer  (dilución  de  100  pmol/µl).  La  amplificación  se  realizó  en   un</w:t>
      </w:r>
    </w:p>
    <w:p>
      <w:pPr>
        <w:spacing w:after="0" w:line="360" w:lineRule="auto"/>
        <w:jc w:val="both"/>
        <w:sectPr>
          <w:pgSz w:w="12240" w:h="15840"/>
          <w:pgMar w:header="0" w:footer="1386" w:top="1500" w:bottom="1580" w:left="1640" w:right="1300"/>
        </w:sectPr>
      </w:pPr>
    </w:p>
    <w:p>
      <w:pPr>
        <w:pStyle w:val="BodyText"/>
        <w:spacing w:before="2"/>
        <w:rPr>
          <w:sz w:val="21"/>
        </w:rPr>
      </w:pPr>
    </w:p>
    <w:p>
      <w:pPr>
        <w:pStyle w:val="BodyText"/>
        <w:spacing w:line="360" w:lineRule="auto" w:before="69"/>
        <w:ind w:left="152" w:right="110"/>
        <w:jc w:val="both"/>
      </w:pPr>
      <w:r>
        <w:rPr/>
        <w:t>termociclador (Teche TC-512) con el protocolo siguiente: desnaturalización inicial de 94 °C por 30 s, seguido de 40 ciclos de desnaturalización a 94°C por 40s, alineación de 58°C para </w:t>
      </w:r>
      <w:r>
        <w:rPr>
          <w:i/>
        </w:rPr>
        <w:t>Fag_A </w:t>
      </w:r>
      <w:r>
        <w:rPr/>
        <w:t>y 55°C para </w:t>
      </w:r>
      <w:r>
        <w:rPr>
          <w:i/>
        </w:rPr>
        <w:t>Fag_B </w:t>
      </w:r>
      <w:r>
        <w:rPr/>
        <w:t>por 40s y una extensión de  72</w:t>
      </w:r>
    </w:p>
    <w:p>
      <w:pPr>
        <w:pStyle w:val="BodyText"/>
        <w:spacing w:before="5"/>
        <w:ind w:left="152"/>
        <w:jc w:val="both"/>
      </w:pPr>
      <w:r>
        <w:rPr/>
        <w:t>°C por 40s, terminando con un paso final de 72 °C por 10 min.</w:t>
      </w:r>
    </w:p>
    <w:p>
      <w:pPr>
        <w:pStyle w:val="BodyText"/>
        <w:spacing w:before="2"/>
        <w:rPr>
          <w:sz w:val="29"/>
        </w:rPr>
      </w:pPr>
    </w:p>
    <w:p>
      <w:pPr>
        <w:pStyle w:val="BodyText"/>
        <w:spacing w:line="360" w:lineRule="auto"/>
        <w:ind w:left="152" w:right="107"/>
        <w:jc w:val="both"/>
      </w:pPr>
      <w:r>
        <w:rPr/>
        <w:t>Para los genes </w:t>
      </w:r>
      <w:r>
        <w:rPr>
          <w:i/>
        </w:rPr>
        <w:t>Fag_C </w:t>
      </w:r>
      <w:r>
        <w:rPr/>
        <w:t>y </w:t>
      </w:r>
      <w:r>
        <w:rPr>
          <w:i/>
        </w:rPr>
        <w:t>Fag_D </w:t>
      </w:r>
      <w:r>
        <w:rPr/>
        <w:t>y </w:t>
      </w:r>
      <w:r>
        <w:rPr>
          <w:i/>
        </w:rPr>
        <w:t>Fag A </w:t>
      </w:r>
      <w:r>
        <w:rPr/>
        <w:t>se llevó a cabo un PCR Multiplex en un volumen final de reacción de 25 µl, que contenían 2.5 µl con 20 ng de ADN genómico, 12.5 µl 2X Quiagen Multiplex PCR Master Mix, 2 µl 10x primer mix (1 µl de cada primer (dilución de 100 pmol/µl). La amplificación se realizó en un termociclador (Teche TC-512) donde se ajustó la temperatura de alineación con el protocolo siguiente: desnaturalización inicial de 94 °C por 30 s, seguido de 40 ciclos de desnaturalización a 94°C por 40s, alineación de 60.5°C por 40s y una extensión de 72 °C por 40s, terminando con un paso final de 72 °C por 10 min.</w:t>
      </w:r>
    </w:p>
    <w:p>
      <w:pPr>
        <w:pStyle w:val="BodyText"/>
        <w:spacing w:line="360" w:lineRule="auto" w:before="202"/>
        <w:ind w:left="152" w:right="115"/>
        <w:jc w:val="both"/>
      </w:pPr>
      <w:r>
        <w:rPr/>
        <w:t>La amplificación de los productos se resolvieron por la técnica de Electroforesis en un gel de Agarosa al 1.5 % y visualizados con tinción de Bromuro de etidio en un trasiluminador (DNR Mini Bis Pro).</w:t>
      </w:r>
    </w:p>
    <w:p>
      <w:pPr>
        <w:pStyle w:val="BodyText"/>
      </w:pPr>
    </w:p>
    <w:p>
      <w:pPr>
        <w:pStyle w:val="Heading3"/>
        <w:spacing w:line="360" w:lineRule="auto" w:before="142"/>
        <w:ind w:right="5821"/>
        <w:jc w:val="left"/>
        <w:rPr>
          <w:i/>
        </w:rPr>
      </w:pPr>
      <w:r>
        <w:rPr/>
        <w:t>Análisis Filogenético Amplificación del gen </w:t>
      </w:r>
      <w:r>
        <w:rPr>
          <w:i/>
        </w:rPr>
        <w:t>rpoB</w:t>
      </w:r>
    </w:p>
    <w:p>
      <w:pPr>
        <w:pStyle w:val="BodyText"/>
        <w:spacing w:line="360" w:lineRule="auto" w:before="106"/>
        <w:ind w:left="152" w:right="109"/>
        <w:jc w:val="both"/>
      </w:pPr>
      <w:r>
        <w:rPr/>
        <w:t>De los aislamientos positivos por PCR multiplex se procedió amplificar individualmente la secuencia parcial del gen </w:t>
      </w:r>
      <w:r>
        <w:rPr>
          <w:i/>
        </w:rPr>
        <w:t>rpoB </w:t>
      </w:r>
      <w:r>
        <w:rPr/>
        <w:t>mediante un PCR en punto final y así poder purificarlo. Para lo cual se estableció el mismo protocolo de PCR Multiplex utilizado previamente, ajustando las cantidades de la reacción con un solo un par de primers.</w:t>
      </w:r>
    </w:p>
    <w:p>
      <w:pPr>
        <w:pStyle w:val="Heading3"/>
        <w:spacing w:before="204"/>
      </w:pPr>
      <w:r>
        <w:rPr/>
        <w:t>Purificación del Gen.</w:t>
      </w:r>
    </w:p>
    <w:p>
      <w:pPr>
        <w:pStyle w:val="BodyText"/>
        <w:spacing w:before="10"/>
        <w:rPr>
          <w:b/>
          <w:sz w:val="20"/>
        </w:rPr>
      </w:pPr>
    </w:p>
    <w:p>
      <w:pPr>
        <w:pStyle w:val="BodyText"/>
        <w:spacing w:line="360" w:lineRule="auto"/>
        <w:ind w:left="152" w:right="105"/>
        <w:jc w:val="both"/>
      </w:pPr>
      <w:r>
        <w:rPr/>
        <w:t>Una vez amplificada la secuencia parcial del gen </w:t>
      </w:r>
      <w:r>
        <w:rPr>
          <w:i/>
        </w:rPr>
        <w:t>rpoB </w:t>
      </w:r>
      <w:r>
        <w:rPr/>
        <w:t>se procedió a observarlo nuevamente mediante la técnica de electroforesis en un gel de agarosa al 1.5% y teñido con bromuro de etidio y observado en un transiluminador (Teche  </w:t>
      </w:r>
      <w:r>
        <w:rPr>
          <w:spacing w:val="59"/>
        </w:rPr>
        <w:t> </w:t>
      </w:r>
      <w:r>
        <w:rPr/>
        <w:t>TC-512).</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BodyText"/>
        <w:spacing w:line="360" w:lineRule="auto" w:before="69"/>
        <w:ind w:left="152" w:right="107"/>
        <w:jc w:val="both"/>
      </w:pPr>
      <w:r>
        <w:rPr/>
        <w:t>Los fragmentos del gen </w:t>
      </w:r>
      <w:r>
        <w:rPr>
          <w:i/>
        </w:rPr>
        <w:t>rpoB </w:t>
      </w:r>
      <w:r>
        <w:rPr/>
        <w:t>se purificaron usando el kit PROMEGA (Wizard® SV Gel and PCR Clean-Up System) siguiendo las indicaciones del proveedor. Dicho kit tiene la capacidad de purificar el fragmento a partir de la reacción de PCR, lo cual facilita la obtención y concentración adecuada de ADN</w:t>
      </w:r>
      <w:r>
        <w:rPr>
          <w:spacing w:val="-24"/>
        </w:rPr>
        <w:t> </w:t>
      </w:r>
      <w:r>
        <w:rPr/>
        <w:t>purificado.</w:t>
      </w:r>
    </w:p>
    <w:p>
      <w:pPr>
        <w:pStyle w:val="BodyText"/>
        <w:spacing w:before="5"/>
        <w:ind w:left="152"/>
        <w:jc w:val="both"/>
      </w:pPr>
      <w:r>
        <w:rPr/>
        <w:t>El kit cuenta con los siguientes reactivos</w:t>
      </w:r>
    </w:p>
    <w:p>
      <w:pPr>
        <w:pStyle w:val="ListParagraph"/>
        <w:numPr>
          <w:ilvl w:val="0"/>
          <w:numId w:val="3"/>
        </w:numPr>
        <w:tabs>
          <w:tab w:pos="872" w:val="left" w:leader="none"/>
          <w:tab w:pos="873" w:val="left" w:leader="none"/>
        </w:tabs>
        <w:spacing w:line="240" w:lineRule="auto" w:before="135" w:after="0"/>
        <w:ind w:left="872" w:right="0" w:hanging="360"/>
        <w:jc w:val="left"/>
        <w:rPr>
          <w:sz w:val="24"/>
        </w:rPr>
      </w:pPr>
      <w:r>
        <w:rPr>
          <w:sz w:val="24"/>
        </w:rPr>
        <w:t>Solución de unión de</w:t>
      </w:r>
      <w:r>
        <w:rPr>
          <w:spacing w:val="-11"/>
          <w:sz w:val="24"/>
        </w:rPr>
        <w:t> </w:t>
      </w:r>
      <w:r>
        <w:rPr>
          <w:sz w:val="24"/>
        </w:rPr>
        <w:t>membrana</w:t>
      </w:r>
    </w:p>
    <w:p>
      <w:pPr>
        <w:pStyle w:val="ListParagraph"/>
        <w:numPr>
          <w:ilvl w:val="0"/>
          <w:numId w:val="3"/>
        </w:numPr>
        <w:tabs>
          <w:tab w:pos="872" w:val="left" w:leader="none"/>
          <w:tab w:pos="873" w:val="left" w:leader="none"/>
        </w:tabs>
        <w:spacing w:line="240" w:lineRule="auto" w:before="39" w:after="0"/>
        <w:ind w:left="872" w:right="0" w:hanging="360"/>
        <w:jc w:val="left"/>
        <w:rPr>
          <w:sz w:val="24"/>
        </w:rPr>
      </w:pPr>
      <w:r>
        <w:rPr>
          <w:sz w:val="24"/>
        </w:rPr>
        <w:t>Solución de lavado de</w:t>
      </w:r>
      <w:r>
        <w:rPr>
          <w:spacing w:val="-13"/>
          <w:sz w:val="24"/>
        </w:rPr>
        <w:t> </w:t>
      </w:r>
      <w:r>
        <w:rPr>
          <w:sz w:val="24"/>
        </w:rPr>
        <w:t>membrana</w:t>
      </w:r>
    </w:p>
    <w:p>
      <w:pPr>
        <w:pStyle w:val="ListParagraph"/>
        <w:numPr>
          <w:ilvl w:val="0"/>
          <w:numId w:val="3"/>
        </w:numPr>
        <w:tabs>
          <w:tab w:pos="872" w:val="left" w:leader="none"/>
          <w:tab w:pos="873" w:val="left" w:leader="none"/>
        </w:tabs>
        <w:spacing w:line="240" w:lineRule="auto" w:before="40" w:after="0"/>
        <w:ind w:left="872" w:right="0" w:hanging="360"/>
        <w:jc w:val="left"/>
        <w:rPr>
          <w:sz w:val="24"/>
        </w:rPr>
      </w:pPr>
      <w:r>
        <w:rPr>
          <w:sz w:val="24"/>
        </w:rPr>
        <w:t>H2O libre de</w:t>
      </w:r>
      <w:r>
        <w:rPr>
          <w:spacing w:val="-4"/>
          <w:sz w:val="24"/>
        </w:rPr>
        <w:t> </w:t>
      </w:r>
      <w:r>
        <w:rPr>
          <w:sz w:val="24"/>
        </w:rPr>
        <w:t>nucleasas</w:t>
      </w:r>
    </w:p>
    <w:p>
      <w:pPr>
        <w:pStyle w:val="ListParagraph"/>
        <w:numPr>
          <w:ilvl w:val="0"/>
          <w:numId w:val="3"/>
        </w:numPr>
        <w:tabs>
          <w:tab w:pos="872" w:val="left" w:leader="none"/>
          <w:tab w:pos="873" w:val="left" w:leader="none"/>
        </w:tabs>
        <w:spacing w:line="240" w:lineRule="auto" w:before="39" w:after="0"/>
        <w:ind w:left="872" w:right="0" w:hanging="360"/>
        <w:jc w:val="left"/>
        <w:rPr>
          <w:sz w:val="24"/>
        </w:rPr>
      </w:pPr>
      <w:r>
        <w:rPr>
          <w:sz w:val="24"/>
        </w:rPr>
        <w:t>Minicolumnas Wizard</w:t>
      </w:r>
      <w:r>
        <w:rPr>
          <w:spacing w:val="-8"/>
          <w:sz w:val="24"/>
        </w:rPr>
        <w:t> </w:t>
      </w:r>
      <w:r>
        <w:rPr>
          <w:sz w:val="24"/>
        </w:rPr>
        <w:t>SV</w:t>
      </w:r>
    </w:p>
    <w:p>
      <w:pPr>
        <w:pStyle w:val="BodyText"/>
        <w:spacing w:before="41"/>
        <w:ind w:left="152"/>
        <w:jc w:val="both"/>
      </w:pPr>
      <w:r>
        <w:rPr/>
        <w:t>El protocolo de purificación fue el siguiente: A partir de los productos de PCR</w:t>
      </w:r>
    </w:p>
    <w:p>
      <w:pPr>
        <w:pStyle w:val="ListParagraph"/>
        <w:numPr>
          <w:ilvl w:val="0"/>
          <w:numId w:val="4"/>
        </w:numPr>
        <w:tabs>
          <w:tab w:pos="873" w:val="left" w:leader="none"/>
        </w:tabs>
        <w:spacing w:line="360" w:lineRule="auto" w:before="41" w:after="0"/>
        <w:ind w:left="872" w:right="114" w:hanging="360"/>
        <w:jc w:val="left"/>
        <w:rPr>
          <w:sz w:val="24"/>
        </w:rPr>
      </w:pPr>
      <w:r>
        <w:rPr>
          <w:sz w:val="24"/>
        </w:rPr>
        <w:t>Se agregó el mismo volumen de solución de unión de membrana al producto de</w:t>
      </w:r>
      <w:r>
        <w:rPr>
          <w:spacing w:val="-5"/>
          <w:sz w:val="24"/>
        </w:rPr>
        <w:t> </w:t>
      </w:r>
      <w:r>
        <w:rPr>
          <w:sz w:val="24"/>
        </w:rPr>
        <w:t>PCR.</w:t>
      </w:r>
    </w:p>
    <w:p>
      <w:pPr>
        <w:pStyle w:val="ListParagraph"/>
        <w:numPr>
          <w:ilvl w:val="0"/>
          <w:numId w:val="4"/>
        </w:numPr>
        <w:tabs>
          <w:tab w:pos="873" w:val="left" w:leader="none"/>
        </w:tabs>
        <w:spacing w:line="240" w:lineRule="auto" w:before="2" w:after="0"/>
        <w:ind w:left="872" w:right="0" w:hanging="360"/>
        <w:jc w:val="left"/>
        <w:rPr>
          <w:sz w:val="24"/>
        </w:rPr>
      </w:pPr>
      <w:r>
        <w:rPr>
          <w:sz w:val="24"/>
        </w:rPr>
        <w:t>Se ensambló la minicolumna en el tubo</w:t>
      </w:r>
      <w:r>
        <w:rPr>
          <w:spacing w:val="-16"/>
          <w:sz w:val="24"/>
        </w:rPr>
        <w:t> </w:t>
      </w:r>
      <w:r>
        <w:rPr>
          <w:sz w:val="24"/>
        </w:rPr>
        <w:t>recolector.</w:t>
      </w:r>
    </w:p>
    <w:p>
      <w:pPr>
        <w:pStyle w:val="ListParagraph"/>
        <w:numPr>
          <w:ilvl w:val="0"/>
          <w:numId w:val="4"/>
        </w:numPr>
        <w:tabs>
          <w:tab w:pos="873" w:val="left" w:leader="none"/>
        </w:tabs>
        <w:spacing w:line="360" w:lineRule="auto" w:before="139" w:after="0"/>
        <w:ind w:left="872" w:right="116" w:hanging="360"/>
        <w:jc w:val="left"/>
        <w:rPr>
          <w:sz w:val="24"/>
        </w:rPr>
      </w:pPr>
      <w:r>
        <w:rPr>
          <w:sz w:val="24"/>
        </w:rPr>
        <w:t>Se transfirió el producto a la minicolumna con un periodo de incubación de  1 min a temperatura</w:t>
      </w:r>
      <w:r>
        <w:rPr>
          <w:spacing w:val="-10"/>
          <w:sz w:val="24"/>
        </w:rPr>
        <w:t> </w:t>
      </w:r>
      <w:r>
        <w:rPr>
          <w:sz w:val="24"/>
        </w:rPr>
        <w:t>ambiente.</w:t>
      </w:r>
    </w:p>
    <w:p>
      <w:pPr>
        <w:pStyle w:val="ListParagraph"/>
        <w:numPr>
          <w:ilvl w:val="0"/>
          <w:numId w:val="4"/>
        </w:numPr>
        <w:tabs>
          <w:tab w:pos="873" w:val="left" w:leader="none"/>
        </w:tabs>
        <w:spacing w:line="240" w:lineRule="auto" w:before="5" w:after="0"/>
        <w:ind w:left="872" w:right="0" w:hanging="360"/>
        <w:jc w:val="left"/>
        <w:rPr>
          <w:sz w:val="24"/>
        </w:rPr>
      </w:pPr>
      <w:r>
        <w:rPr>
          <w:sz w:val="24"/>
        </w:rPr>
        <w:t>Se centrifugó a 16000 gravedades por</w:t>
      </w:r>
      <w:r>
        <w:rPr>
          <w:spacing w:val="-21"/>
          <w:sz w:val="24"/>
        </w:rPr>
        <w:t> </w:t>
      </w:r>
      <w:r>
        <w:rPr>
          <w:sz w:val="24"/>
        </w:rPr>
        <w:t>minuto.</w:t>
      </w:r>
    </w:p>
    <w:p>
      <w:pPr>
        <w:pStyle w:val="ListParagraph"/>
        <w:numPr>
          <w:ilvl w:val="0"/>
          <w:numId w:val="4"/>
        </w:numPr>
        <w:tabs>
          <w:tab w:pos="873" w:val="left" w:leader="none"/>
        </w:tabs>
        <w:spacing w:line="360" w:lineRule="auto" w:before="137" w:after="0"/>
        <w:ind w:left="872" w:right="116" w:hanging="360"/>
        <w:jc w:val="left"/>
        <w:rPr>
          <w:sz w:val="24"/>
        </w:rPr>
      </w:pPr>
      <w:r>
        <w:rPr>
          <w:sz w:val="24"/>
        </w:rPr>
        <w:t>Se desechó el líquido obtenido por la centrifugación del tubo recolector y se volvió a reinsertar la</w:t>
      </w:r>
      <w:r>
        <w:rPr>
          <w:spacing w:val="-8"/>
          <w:sz w:val="24"/>
        </w:rPr>
        <w:t> </w:t>
      </w:r>
      <w:r>
        <w:rPr>
          <w:sz w:val="24"/>
        </w:rPr>
        <w:t>minicolumna.</w:t>
      </w:r>
    </w:p>
    <w:p>
      <w:pPr>
        <w:pStyle w:val="ListParagraph"/>
        <w:numPr>
          <w:ilvl w:val="0"/>
          <w:numId w:val="4"/>
        </w:numPr>
        <w:tabs>
          <w:tab w:pos="873" w:val="left" w:leader="none"/>
        </w:tabs>
        <w:spacing w:line="360" w:lineRule="auto" w:before="2" w:after="0"/>
        <w:ind w:left="872" w:right="109" w:hanging="360"/>
        <w:jc w:val="both"/>
        <w:rPr>
          <w:sz w:val="24"/>
        </w:rPr>
      </w:pPr>
      <w:r>
        <w:rPr>
          <w:sz w:val="24"/>
        </w:rPr>
        <w:t>Se le agregó 700 </w:t>
      </w:r>
      <w:r>
        <w:rPr>
          <w:spacing w:val="2"/>
          <w:sz w:val="24"/>
        </w:rPr>
        <w:t>µl </w:t>
      </w:r>
      <w:r>
        <w:rPr>
          <w:sz w:val="24"/>
        </w:rPr>
        <w:t>de solución de lavado de membrana, se centrifugó a 16000 gravedades por minuto, desechando el líquido obtenido y reinsertando la minicolumna en el tubo</w:t>
      </w:r>
      <w:r>
        <w:rPr>
          <w:spacing w:val="-16"/>
          <w:sz w:val="24"/>
        </w:rPr>
        <w:t> </w:t>
      </w:r>
      <w:r>
        <w:rPr>
          <w:sz w:val="24"/>
        </w:rPr>
        <w:t>recolector.</w:t>
      </w:r>
    </w:p>
    <w:p>
      <w:pPr>
        <w:pStyle w:val="ListParagraph"/>
        <w:numPr>
          <w:ilvl w:val="0"/>
          <w:numId w:val="4"/>
        </w:numPr>
        <w:tabs>
          <w:tab w:pos="873" w:val="left" w:leader="none"/>
        </w:tabs>
        <w:spacing w:line="360" w:lineRule="auto" w:before="5" w:after="0"/>
        <w:ind w:left="872" w:right="116" w:hanging="360"/>
        <w:jc w:val="left"/>
        <w:rPr>
          <w:sz w:val="24"/>
        </w:rPr>
      </w:pPr>
      <w:r>
        <w:rPr>
          <w:sz w:val="24"/>
        </w:rPr>
        <w:t>Se repitió el paso 6 con 500 </w:t>
      </w:r>
      <w:r>
        <w:rPr>
          <w:spacing w:val="2"/>
          <w:sz w:val="24"/>
        </w:rPr>
        <w:t>µl </w:t>
      </w:r>
      <w:r>
        <w:rPr>
          <w:sz w:val="24"/>
        </w:rPr>
        <w:t>de solución de lavado de membrana y se centrifugó a 16000 g por 5</w:t>
      </w:r>
      <w:r>
        <w:rPr>
          <w:spacing w:val="-13"/>
          <w:sz w:val="24"/>
        </w:rPr>
        <w:t> </w:t>
      </w:r>
      <w:r>
        <w:rPr>
          <w:sz w:val="24"/>
        </w:rPr>
        <w:t>minutos.</w:t>
      </w:r>
    </w:p>
    <w:p>
      <w:pPr>
        <w:pStyle w:val="ListParagraph"/>
        <w:numPr>
          <w:ilvl w:val="0"/>
          <w:numId w:val="4"/>
        </w:numPr>
        <w:tabs>
          <w:tab w:pos="873" w:val="left" w:leader="none"/>
        </w:tabs>
        <w:spacing w:line="360" w:lineRule="auto" w:before="5" w:after="0"/>
        <w:ind w:left="872" w:right="106" w:hanging="360"/>
        <w:jc w:val="both"/>
        <w:rPr>
          <w:sz w:val="24"/>
        </w:rPr>
      </w:pPr>
      <w:r>
        <w:rPr>
          <w:sz w:val="24"/>
        </w:rPr>
        <w:t>Se vertió el líquido obtenido y se ensambló la minicolumna nuevamente en el tubo recolector y se centrifugó nuevamente a 16000 gravedades por minuto sin la tapa de la centrifuga para permitir la evaporación de residuos de etanol de la solución de lavado de</w:t>
      </w:r>
      <w:r>
        <w:rPr>
          <w:spacing w:val="-21"/>
          <w:sz w:val="24"/>
        </w:rPr>
        <w:t> </w:t>
      </w:r>
      <w:r>
        <w:rPr>
          <w:sz w:val="24"/>
        </w:rPr>
        <w:t>membrana.</w:t>
      </w:r>
    </w:p>
    <w:p>
      <w:pPr>
        <w:pStyle w:val="ListParagraph"/>
        <w:numPr>
          <w:ilvl w:val="0"/>
          <w:numId w:val="4"/>
        </w:numPr>
        <w:tabs>
          <w:tab w:pos="873" w:val="left" w:leader="none"/>
        </w:tabs>
        <w:spacing w:line="360" w:lineRule="auto" w:before="5" w:after="0"/>
        <w:ind w:left="872" w:right="107" w:hanging="360"/>
        <w:jc w:val="left"/>
        <w:rPr>
          <w:sz w:val="24"/>
        </w:rPr>
      </w:pPr>
      <w:r>
        <w:rPr>
          <w:sz w:val="24"/>
        </w:rPr>
        <w:t>Cuidadosamente se trasfirió la minicolumna a un tubo limpio de micro centrífuga</w:t>
      </w:r>
      <w:r>
        <w:rPr>
          <w:spacing w:val="13"/>
          <w:sz w:val="24"/>
        </w:rPr>
        <w:t> </w:t>
      </w:r>
      <w:r>
        <w:rPr>
          <w:sz w:val="24"/>
        </w:rPr>
        <w:t>de</w:t>
      </w:r>
      <w:r>
        <w:rPr>
          <w:spacing w:val="13"/>
          <w:sz w:val="24"/>
        </w:rPr>
        <w:t> </w:t>
      </w:r>
      <w:r>
        <w:rPr>
          <w:sz w:val="24"/>
        </w:rPr>
        <w:t>1.5</w:t>
      </w:r>
      <w:r>
        <w:rPr>
          <w:spacing w:val="14"/>
          <w:sz w:val="24"/>
        </w:rPr>
        <w:t> </w:t>
      </w:r>
      <w:r>
        <w:rPr>
          <w:sz w:val="24"/>
        </w:rPr>
        <w:t>ml,</w:t>
      </w:r>
      <w:r>
        <w:rPr>
          <w:spacing w:val="12"/>
          <w:sz w:val="24"/>
        </w:rPr>
        <w:t> </w:t>
      </w:r>
      <w:r>
        <w:rPr>
          <w:sz w:val="24"/>
        </w:rPr>
        <w:t>y</w:t>
      </w:r>
      <w:r>
        <w:rPr>
          <w:spacing w:val="12"/>
          <w:sz w:val="24"/>
        </w:rPr>
        <w:t> </w:t>
      </w:r>
      <w:r>
        <w:rPr>
          <w:sz w:val="24"/>
        </w:rPr>
        <w:t>se</w:t>
      </w:r>
      <w:r>
        <w:rPr>
          <w:spacing w:val="15"/>
          <w:sz w:val="24"/>
        </w:rPr>
        <w:t> </w:t>
      </w:r>
      <w:r>
        <w:rPr>
          <w:sz w:val="24"/>
        </w:rPr>
        <w:t>le</w:t>
      </w:r>
      <w:r>
        <w:rPr>
          <w:spacing w:val="13"/>
          <w:sz w:val="24"/>
        </w:rPr>
        <w:t> </w:t>
      </w:r>
      <w:r>
        <w:rPr>
          <w:sz w:val="24"/>
        </w:rPr>
        <w:t>agrega</w:t>
      </w:r>
      <w:r>
        <w:rPr>
          <w:spacing w:val="15"/>
          <w:sz w:val="24"/>
        </w:rPr>
        <w:t> </w:t>
      </w:r>
      <w:r>
        <w:rPr>
          <w:sz w:val="24"/>
        </w:rPr>
        <w:t>50</w:t>
      </w:r>
      <w:r>
        <w:rPr>
          <w:spacing w:val="15"/>
          <w:sz w:val="24"/>
        </w:rPr>
        <w:t> </w:t>
      </w:r>
      <w:r>
        <w:rPr>
          <w:sz w:val="24"/>
        </w:rPr>
        <w:t>µL</w:t>
      </w:r>
      <w:r>
        <w:rPr>
          <w:spacing w:val="15"/>
          <w:sz w:val="24"/>
        </w:rPr>
        <w:t> </w:t>
      </w:r>
      <w:r>
        <w:rPr>
          <w:sz w:val="24"/>
        </w:rPr>
        <w:t>DE</w:t>
      </w:r>
      <w:r>
        <w:rPr>
          <w:spacing w:val="15"/>
          <w:sz w:val="24"/>
        </w:rPr>
        <w:t> </w:t>
      </w:r>
      <w:r>
        <w:rPr>
          <w:sz w:val="24"/>
        </w:rPr>
        <w:t>H2O</w:t>
      </w:r>
      <w:r>
        <w:rPr>
          <w:spacing w:val="15"/>
          <w:sz w:val="24"/>
        </w:rPr>
        <w:t> </w:t>
      </w:r>
      <w:r>
        <w:rPr>
          <w:sz w:val="24"/>
        </w:rPr>
        <w:t>libre</w:t>
      </w:r>
      <w:r>
        <w:rPr>
          <w:spacing w:val="12"/>
          <w:sz w:val="24"/>
        </w:rPr>
        <w:t> </w:t>
      </w:r>
      <w:r>
        <w:rPr>
          <w:sz w:val="24"/>
        </w:rPr>
        <w:t>de</w:t>
      </w:r>
      <w:r>
        <w:rPr>
          <w:spacing w:val="13"/>
          <w:sz w:val="24"/>
        </w:rPr>
        <w:t> </w:t>
      </w:r>
      <w:r>
        <w:rPr>
          <w:sz w:val="24"/>
        </w:rPr>
        <w:t>nucleasas</w:t>
      </w:r>
      <w:r>
        <w:rPr>
          <w:spacing w:val="15"/>
          <w:sz w:val="24"/>
        </w:rPr>
        <w:t> </w:t>
      </w:r>
      <w:r>
        <w:rPr>
          <w:sz w:val="24"/>
        </w:rPr>
        <w:t>a</w:t>
      </w:r>
      <w:r>
        <w:rPr>
          <w:spacing w:val="15"/>
          <w:sz w:val="24"/>
        </w:rPr>
        <w:t> </w:t>
      </w:r>
      <w:r>
        <w:rPr>
          <w:sz w:val="24"/>
        </w:rPr>
        <w:t>la</w:t>
      </w:r>
    </w:p>
    <w:p>
      <w:pPr>
        <w:spacing w:after="0" w:line="360" w:lineRule="auto"/>
        <w:jc w:val="left"/>
        <w:rPr>
          <w:sz w:val="24"/>
        </w:rPr>
        <w:sectPr>
          <w:pgSz w:w="12240" w:h="15840"/>
          <w:pgMar w:header="0" w:footer="1386" w:top="1500" w:bottom="1580" w:left="1720" w:right="1420"/>
        </w:sectPr>
      </w:pPr>
    </w:p>
    <w:p>
      <w:pPr>
        <w:pStyle w:val="BodyText"/>
        <w:spacing w:before="2"/>
        <w:rPr>
          <w:sz w:val="21"/>
        </w:rPr>
      </w:pPr>
    </w:p>
    <w:p>
      <w:pPr>
        <w:pStyle w:val="BodyText"/>
        <w:spacing w:line="360" w:lineRule="auto" w:before="69"/>
        <w:ind w:left="872"/>
      </w:pPr>
      <w:r>
        <w:rPr/>
        <w:t>minicolumna incubando a temperatura ambiente por 1 min y se centrifugó a 16000 g x min</w:t>
      </w:r>
    </w:p>
    <w:p>
      <w:pPr>
        <w:pStyle w:val="ListParagraph"/>
        <w:numPr>
          <w:ilvl w:val="0"/>
          <w:numId w:val="4"/>
        </w:numPr>
        <w:tabs>
          <w:tab w:pos="873" w:val="left" w:leader="none"/>
        </w:tabs>
        <w:spacing w:line="360" w:lineRule="auto" w:before="5" w:after="0"/>
        <w:ind w:left="872" w:right="116" w:hanging="360"/>
        <w:jc w:val="left"/>
        <w:rPr>
          <w:sz w:val="24"/>
        </w:rPr>
      </w:pPr>
      <w:r>
        <w:rPr>
          <w:sz w:val="24"/>
        </w:rPr>
        <w:t>Se desechó la minicolumna ya que el ADN se encuentra en el tubo de microcentrífuga y se almacenó de 4 a -20</w:t>
      </w:r>
      <w:r>
        <w:rPr>
          <w:spacing w:val="-14"/>
          <w:sz w:val="24"/>
        </w:rPr>
        <w:t> </w:t>
      </w:r>
      <w:r>
        <w:rPr>
          <w:sz w:val="24"/>
        </w:rPr>
        <w:t>°C.</w:t>
      </w:r>
    </w:p>
    <w:p>
      <w:pPr>
        <w:pStyle w:val="Heading3"/>
        <w:spacing w:before="5"/>
      </w:pPr>
      <w:r>
        <w:rPr/>
        <w:t>Secuenciación de los genes</w:t>
      </w:r>
    </w:p>
    <w:p>
      <w:pPr>
        <w:pStyle w:val="BodyText"/>
        <w:spacing w:line="360" w:lineRule="auto" w:before="137"/>
        <w:ind w:left="152" w:right="108"/>
        <w:jc w:val="both"/>
      </w:pPr>
      <w:r>
        <w:rPr/>
        <w:t>Una vez purificados los fragmentos se procedió a medir su concentración en un espectrofotómetro (NanoDrop Thermo Scientific) alcanzando una concentración minina de 50 ng/µl de ADN para su posterior envío a la empresa MACROGEN (USA) para su secuenciación y poder realizar en análisis de secuencias.</w:t>
      </w:r>
    </w:p>
    <w:p>
      <w:pPr>
        <w:pStyle w:val="Heading3"/>
        <w:spacing w:before="2"/>
      </w:pPr>
      <w:r>
        <w:rPr/>
        <w:t>Análisis de secuencias</w:t>
      </w:r>
    </w:p>
    <w:p>
      <w:pPr>
        <w:pStyle w:val="BodyText"/>
        <w:spacing w:line="360" w:lineRule="auto" w:before="137"/>
        <w:ind w:left="152" w:right="105"/>
        <w:jc w:val="both"/>
      </w:pPr>
      <w:r>
        <w:rPr/>
        <w:t>Se obtuvieron un total de 60 secuencias parciales del gen </w:t>
      </w:r>
      <w:r>
        <w:rPr>
          <w:i/>
        </w:rPr>
        <w:t>rpoB </w:t>
      </w:r>
      <w:r>
        <w:rPr/>
        <w:t>las cuales fueron alineadas mediante el programa estadístico Molecular Evolutionary Genetics Analysis (MEGA 5.2). Las secuencias alineadas fueron analizadas en el programa estadístico Basic Local Alignment Search Tool (BLAST) para compararlas en la base de datos del Gen Bank y poder comparar el porcentaje de similitud con otras secuencias ya reportadas. Se construyó un árbol filogenético mediante un test de Maximum Likelihood y Neighboor-joining. El árbol fue derivado del alineamiento y porcentajes de similitud de la secuencia parcial del gen </w:t>
      </w:r>
      <w:r>
        <w:rPr>
          <w:i/>
        </w:rPr>
        <w:t>rpoB, </w:t>
      </w:r>
      <w:r>
        <w:rPr/>
        <w:t>se utilizó un valor boostrap de 1000 repeticiones, se incluyeron los aislados </w:t>
      </w:r>
      <w:r>
        <w:rPr>
          <w:i/>
        </w:rPr>
        <w:t>C. pseudotuberculosis </w:t>
      </w:r>
      <w:r>
        <w:rPr/>
        <w:t>del presente estudio además de muestras de referencia del Gen Bank de las subespecies </w:t>
      </w:r>
      <w:r>
        <w:rPr>
          <w:i/>
        </w:rPr>
        <w:t>ovis </w:t>
      </w:r>
      <w:r>
        <w:rPr/>
        <w:t>y </w:t>
      </w:r>
      <w:r>
        <w:rPr>
          <w:i/>
        </w:rPr>
        <w:t>equi</w:t>
      </w:r>
      <w:r>
        <w:rPr/>
        <w:t>, una secuencia de referencia del </w:t>
      </w:r>
      <w:r>
        <w:rPr>
          <w:i/>
        </w:rPr>
        <w:t>Corynebacterium </w:t>
      </w:r>
      <w:r>
        <w:rPr>
          <w:i/>
        </w:rPr>
        <w:t>ulcerans </w:t>
      </w:r>
      <w:r>
        <w:rPr/>
        <w:t>y otra de </w:t>
      </w:r>
      <w:r>
        <w:rPr>
          <w:i/>
        </w:rPr>
        <w:t>Corynebacterium diphtheriae</w:t>
      </w:r>
      <w:r>
        <w:rPr/>
        <w:t>. Las cepas de referencia de Gen Bank utilizados en el presente estudio se muestran en el cuadro 3.</w:t>
      </w:r>
    </w:p>
    <w:p>
      <w:pPr>
        <w:spacing w:after="0" w:line="360" w:lineRule="auto"/>
        <w:jc w:val="both"/>
        <w:sectPr>
          <w:pgSz w:w="12240" w:h="15840"/>
          <w:pgMar w:header="0" w:footer="1386" w:top="1500" w:bottom="1580" w:left="1720" w:right="1420"/>
        </w:sectPr>
      </w:pPr>
    </w:p>
    <w:p>
      <w:pPr>
        <w:pStyle w:val="BodyText"/>
        <w:spacing w:before="11"/>
        <w:rPr>
          <w:sz w:val="20"/>
        </w:rPr>
      </w:pPr>
    </w:p>
    <w:p>
      <w:pPr>
        <w:pStyle w:val="Heading3"/>
        <w:spacing w:line="242" w:lineRule="auto"/>
        <w:ind w:left="172"/>
        <w:jc w:val="left"/>
      </w:pPr>
      <w:bookmarkStart w:name="_bookmark28" w:id="29"/>
      <w:bookmarkEnd w:id="29"/>
      <w:r>
        <w:rPr>
          <w:b w:val="0"/>
        </w:rPr>
      </w:r>
      <w:r>
        <w:rPr/>
        <w:t>Cuadro 3 Cepas de referencia Gen Bank (NCBI) utilizadas en el presente estudio.</w:t>
      </w:r>
    </w:p>
    <w:p>
      <w:pPr>
        <w:pStyle w:val="BodyText"/>
        <w:spacing w:before="2" w:after="1"/>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09"/>
        <w:gridCol w:w="1960"/>
        <w:gridCol w:w="1571"/>
        <w:gridCol w:w="2055"/>
        <w:gridCol w:w="1686"/>
      </w:tblGrid>
      <w:tr>
        <w:trPr>
          <w:trHeight w:val="449" w:hRule="exact"/>
        </w:trPr>
        <w:tc>
          <w:tcPr>
            <w:tcW w:w="1709" w:type="dxa"/>
            <w:tcBorders>
              <w:left w:val="nil"/>
              <w:right w:val="nil"/>
            </w:tcBorders>
          </w:tcPr>
          <w:p>
            <w:pPr>
              <w:pStyle w:val="TableParagraph"/>
              <w:spacing w:line="219" w:lineRule="exact" w:before="0"/>
              <w:ind w:left="413" w:right="335"/>
              <w:jc w:val="center"/>
              <w:rPr>
                <w:b/>
                <w:sz w:val="18"/>
              </w:rPr>
            </w:pPr>
            <w:r>
              <w:rPr>
                <w:b/>
                <w:sz w:val="18"/>
              </w:rPr>
              <w:t>AISLADO</w:t>
            </w:r>
          </w:p>
        </w:tc>
        <w:tc>
          <w:tcPr>
            <w:tcW w:w="1960" w:type="dxa"/>
            <w:tcBorders>
              <w:left w:val="nil"/>
              <w:right w:val="nil"/>
            </w:tcBorders>
          </w:tcPr>
          <w:p>
            <w:pPr>
              <w:pStyle w:val="TableParagraph"/>
              <w:spacing w:line="219" w:lineRule="exact" w:before="0"/>
              <w:ind w:left="667" w:right="665"/>
              <w:jc w:val="center"/>
              <w:rPr>
                <w:b/>
                <w:sz w:val="18"/>
              </w:rPr>
            </w:pPr>
            <w:r>
              <w:rPr>
                <w:b/>
                <w:sz w:val="18"/>
              </w:rPr>
              <w:t>ESPECIE</w:t>
            </w:r>
          </w:p>
        </w:tc>
        <w:tc>
          <w:tcPr>
            <w:tcW w:w="1571" w:type="dxa"/>
            <w:tcBorders>
              <w:left w:val="nil"/>
              <w:right w:val="nil"/>
            </w:tcBorders>
          </w:tcPr>
          <w:p>
            <w:pPr>
              <w:pStyle w:val="TableParagraph"/>
              <w:spacing w:line="219" w:lineRule="exact" w:before="0"/>
              <w:ind w:left="331" w:right="271"/>
              <w:jc w:val="center"/>
              <w:rPr>
                <w:b/>
                <w:sz w:val="18"/>
              </w:rPr>
            </w:pPr>
            <w:r>
              <w:rPr>
                <w:b/>
                <w:sz w:val="18"/>
              </w:rPr>
              <w:t>HOSPEDERO</w:t>
            </w:r>
          </w:p>
        </w:tc>
        <w:tc>
          <w:tcPr>
            <w:tcW w:w="2055" w:type="dxa"/>
            <w:tcBorders>
              <w:left w:val="nil"/>
              <w:right w:val="nil"/>
            </w:tcBorders>
          </w:tcPr>
          <w:p>
            <w:pPr>
              <w:pStyle w:val="TableParagraph"/>
              <w:spacing w:before="0"/>
              <w:ind w:left="749" w:right="487" w:hanging="212"/>
              <w:rPr>
                <w:b/>
                <w:sz w:val="18"/>
              </w:rPr>
            </w:pPr>
            <w:r>
              <w:rPr>
                <w:b/>
                <w:sz w:val="18"/>
              </w:rPr>
              <w:t>DESCRIPCIÓN CLÍNICA</w:t>
            </w:r>
          </w:p>
        </w:tc>
        <w:tc>
          <w:tcPr>
            <w:tcW w:w="1686" w:type="dxa"/>
            <w:tcBorders>
              <w:left w:val="nil"/>
              <w:right w:val="nil"/>
            </w:tcBorders>
          </w:tcPr>
          <w:p>
            <w:pPr>
              <w:pStyle w:val="TableParagraph"/>
              <w:spacing w:before="0"/>
              <w:ind w:left="259" w:right="356" w:firstLine="196"/>
              <w:rPr>
                <w:b/>
                <w:sz w:val="18"/>
              </w:rPr>
            </w:pPr>
            <w:r>
              <w:rPr>
                <w:b/>
                <w:sz w:val="18"/>
              </w:rPr>
              <w:t>PAÍS DEL AISLAMIENTO</w:t>
            </w:r>
          </w:p>
        </w:tc>
      </w:tr>
      <w:tr>
        <w:trPr>
          <w:trHeight w:val="352" w:hRule="exact"/>
        </w:trPr>
        <w:tc>
          <w:tcPr>
            <w:tcW w:w="1709" w:type="dxa"/>
            <w:tcBorders>
              <w:left w:val="nil"/>
              <w:bottom w:val="nil"/>
              <w:right w:val="nil"/>
            </w:tcBorders>
          </w:tcPr>
          <w:p>
            <w:pPr>
              <w:pStyle w:val="TableParagraph"/>
              <w:spacing w:before="1"/>
              <w:ind w:left="416" w:right="335"/>
              <w:jc w:val="center"/>
              <w:rPr>
                <w:sz w:val="18"/>
              </w:rPr>
            </w:pPr>
            <w:r>
              <w:rPr>
                <w:sz w:val="18"/>
              </w:rPr>
              <w:t>1002</w:t>
            </w:r>
          </w:p>
        </w:tc>
        <w:tc>
          <w:tcPr>
            <w:tcW w:w="1960" w:type="dxa"/>
            <w:tcBorders>
              <w:left w:val="nil"/>
              <w:bottom w:val="nil"/>
              <w:right w:val="nil"/>
            </w:tcBorders>
          </w:tcPr>
          <w:p>
            <w:pPr>
              <w:pStyle w:val="TableParagraph"/>
              <w:spacing w:before="1"/>
              <w:ind w:left="665" w:right="665"/>
              <w:jc w:val="center"/>
              <w:rPr>
                <w:i/>
                <w:sz w:val="18"/>
              </w:rPr>
            </w:pPr>
            <w:r>
              <w:rPr>
                <w:i/>
                <w:sz w:val="18"/>
              </w:rPr>
              <w:t>Ovis</w:t>
            </w:r>
          </w:p>
        </w:tc>
        <w:tc>
          <w:tcPr>
            <w:tcW w:w="1571" w:type="dxa"/>
            <w:tcBorders>
              <w:left w:val="nil"/>
              <w:bottom w:val="nil"/>
              <w:right w:val="nil"/>
            </w:tcBorders>
          </w:tcPr>
          <w:p>
            <w:pPr>
              <w:pStyle w:val="TableParagraph"/>
              <w:spacing w:before="1"/>
              <w:ind w:left="331" w:right="269"/>
              <w:jc w:val="center"/>
              <w:rPr>
                <w:sz w:val="18"/>
              </w:rPr>
            </w:pPr>
            <w:r>
              <w:rPr>
                <w:sz w:val="18"/>
              </w:rPr>
              <w:t>Cabra</w:t>
            </w:r>
          </w:p>
        </w:tc>
        <w:tc>
          <w:tcPr>
            <w:tcW w:w="2055" w:type="dxa"/>
            <w:tcBorders>
              <w:left w:val="nil"/>
              <w:bottom w:val="nil"/>
              <w:right w:val="nil"/>
            </w:tcBorders>
          </w:tcPr>
          <w:p>
            <w:pPr>
              <w:pStyle w:val="TableParagraph"/>
              <w:spacing w:before="1"/>
              <w:ind w:left="270" w:right="239"/>
              <w:jc w:val="center"/>
              <w:rPr>
                <w:sz w:val="18"/>
              </w:rPr>
            </w:pPr>
            <w:r>
              <w:rPr>
                <w:sz w:val="18"/>
              </w:rPr>
              <w:t>LCA Absceso</w:t>
            </w:r>
          </w:p>
        </w:tc>
        <w:tc>
          <w:tcPr>
            <w:tcW w:w="1686" w:type="dxa"/>
            <w:tcBorders>
              <w:left w:val="nil"/>
              <w:bottom w:val="nil"/>
              <w:right w:val="nil"/>
            </w:tcBorders>
          </w:tcPr>
          <w:p>
            <w:pPr>
              <w:pStyle w:val="TableParagraph"/>
              <w:spacing w:before="1"/>
              <w:ind w:left="404" w:right="520"/>
              <w:jc w:val="center"/>
              <w:rPr>
                <w:sz w:val="18"/>
              </w:rPr>
            </w:pPr>
            <w:r>
              <w:rPr>
                <w:sz w:val="18"/>
              </w:rPr>
              <w:t>Brasil</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C231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9"/>
              <w:jc w:val="center"/>
              <w:rPr>
                <w:sz w:val="18"/>
              </w:rPr>
            </w:pPr>
            <w:r>
              <w:rPr>
                <w:sz w:val="18"/>
              </w:rPr>
              <w:t>LCA Absceso</w:t>
            </w:r>
          </w:p>
        </w:tc>
        <w:tc>
          <w:tcPr>
            <w:tcW w:w="1686" w:type="dxa"/>
            <w:tcBorders>
              <w:top w:val="nil"/>
              <w:left w:val="nil"/>
              <w:bottom w:val="nil"/>
              <w:right w:val="nil"/>
            </w:tcBorders>
          </w:tcPr>
          <w:p>
            <w:pPr>
              <w:pStyle w:val="TableParagraph"/>
              <w:spacing w:before="93"/>
              <w:ind w:left="404" w:right="519"/>
              <w:jc w:val="center"/>
              <w:rPr>
                <w:sz w:val="18"/>
              </w:rPr>
            </w:pPr>
            <w:r>
              <w:rPr>
                <w:sz w:val="18"/>
              </w:rPr>
              <w:t>Australia</w:t>
            </w:r>
          </w:p>
        </w:tc>
      </w:tr>
      <w:tr>
        <w:trPr>
          <w:trHeight w:val="439" w:hRule="exact"/>
        </w:trPr>
        <w:tc>
          <w:tcPr>
            <w:tcW w:w="1709" w:type="dxa"/>
            <w:tcBorders>
              <w:top w:val="nil"/>
              <w:left w:val="nil"/>
              <w:bottom w:val="nil"/>
              <w:right w:val="nil"/>
            </w:tcBorders>
          </w:tcPr>
          <w:p>
            <w:pPr>
              <w:pStyle w:val="TableParagraph"/>
              <w:spacing w:before="93"/>
              <w:ind w:left="414" w:right="335"/>
              <w:jc w:val="center"/>
              <w:rPr>
                <w:sz w:val="18"/>
              </w:rPr>
            </w:pPr>
            <w:r>
              <w:rPr>
                <w:sz w:val="18"/>
              </w:rPr>
              <w:t>42/02-A</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9"/>
              <w:jc w:val="center"/>
              <w:rPr>
                <w:sz w:val="18"/>
              </w:rPr>
            </w:pPr>
            <w:r>
              <w:rPr>
                <w:sz w:val="18"/>
              </w:rPr>
              <w:t>LCA Absceso</w:t>
            </w:r>
          </w:p>
        </w:tc>
        <w:tc>
          <w:tcPr>
            <w:tcW w:w="1686" w:type="dxa"/>
            <w:tcBorders>
              <w:top w:val="nil"/>
              <w:left w:val="nil"/>
              <w:bottom w:val="nil"/>
              <w:right w:val="nil"/>
            </w:tcBorders>
          </w:tcPr>
          <w:p>
            <w:pPr>
              <w:pStyle w:val="TableParagraph"/>
              <w:spacing w:before="93"/>
              <w:ind w:left="404" w:right="519"/>
              <w:jc w:val="center"/>
              <w:rPr>
                <w:sz w:val="18"/>
              </w:rPr>
            </w:pPr>
            <w:r>
              <w:rPr>
                <w:sz w:val="18"/>
              </w:rPr>
              <w:t>Australia</w:t>
            </w:r>
          </w:p>
        </w:tc>
      </w:tr>
      <w:tr>
        <w:trPr>
          <w:trHeight w:val="440"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PAT 10</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8"/>
              <w:jc w:val="center"/>
              <w:rPr>
                <w:sz w:val="18"/>
              </w:rPr>
            </w:pPr>
            <w:r>
              <w:rPr>
                <w:sz w:val="18"/>
              </w:rPr>
              <w:t>Absceso pulmón</w:t>
            </w:r>
          </w:p>
        </w:tc>
        <w:tc>
          <w:tcPr>
            <w:tcW w:w="1686" w:type="dxa"/>
            <w:tcBorders>
              <w:top w:val="nil"/>
              <w:left w:val="nil"/>
              <w:bottom w:val="nil"/>
              <w:right w:val="nil"/>
            </w:tcBorders>
          </w:tcPr>
          <w:p>
            <w:pPr>
              <w:pStyle w:val="TableParagraph"/>
              <w:spacing w:before="93"/>
              <w:ind w:left="404" w:right="522"/>
              <w:jc w:val="center"/>
              <w:rPr>
                <w:sz w:val="18"/>
              </w:rPr>
            </w:pPr>
            <w:r>
              <w:rPr>
                <w:sz w:val="18"/>
              </w:rPr>
              <w:t>Argentina</w:t>
            </w:r>
          </w:p>
        </w:tc>
      </w:tr>
      <w:tr>
        <w:trPr>
          <w:trHeight w:val="440"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3/99-5</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7"/>
              <w:jc w:val="center"/>
              <w:rPr>
                <w:sz w:val="18"/>
              </w:rPr>
            </w:pPr>
            <w:r>
              <w:rPr>
                <w:sz w:val="18"/>
              </w:rPr>
              <w:t>LCA</w:t>
            </w:r>
          </w:p>
        </w:tc>
        <w:tc>
          <w:tcPr>
            <w:tcW w:w="1686" w:type="dxa"/>
            <w:tcBorders>
              <w:top w:val="nil"/>
              <w:left w:val="nil"/>
              <w:bottom w:val="nil"/>
              <w:right w:val="nil"/>
            </w:tcBorders>
          </w:tcPr>
          <w:p>
            <w:pPr>
              <w:pStyle w:val="TableParagraph"/>
              <w:spacing w:before="93"/>
              <w:ind w:left="404" w:right="514"/>
              <w:jc w:val="center"/>
              <w:rPr>
                <w:sz w:val="18"/>
              </w:rPr>
            </w:pPr>
            <w:r>
              <w:rPr>
                <w:sz w:val="18"/>
              </w:rPr>
              <w:t>Escocia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267</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70"/>
              <w:jc w:val="center"/>
              <w:rPr>
                <w:sz w:val="18"/>
              </w:rPr>
            </w:pPr>
            <w:r>
              <w:rPr>
                <w:sz w:val="18"/>
              </w:rPr>
              <w:t>Llama</w:t>
            </w:r>
          </w:p>
        </w:tc>
        <w:tc>
          <w:tcPr>
            <w:tcW w:w="2055" w:type="dxa"/>
            <w:tcBorders>
              <w:top w:val="nil"/>
              <w:left w:val="nil"/>
              <w:bottom w:val="nil"/>
              <w:right w:val="nil"/>
            </w:tcBorders>
          </w:tcPr>
          <w:p>
            <w:pPr>
              <w:pStyle w:val="TableParagraph"/>
              <w:spacing w:before="93"/>
              <w:ind w:left="270" w:right="239"/>
              <w:jc w:val="center"/>
              <w:rPr>
                <w:sz w:val="18"/>
              </w:rPr>
            </w:pPr>
            <w:r>
              <w:rPr>
                <w:sz w:val="18"/>
              </w:rPr>
              <w:t>LCA Absceso</w:t>
            </w:r>
          </w:p>
        </w:tc>
        <w:tc>
          <w:tcPr>
            <w:tcW w:w="1686" w:type="dxa"/>
            <w:tcBorders>
              <w:top w:val="nil"/>
              <w:left w:val="nil"/>
              <w:bottom w:val="nil"/>
              <w:right w:val="nil"/>
            </w:tcBorders>
          </w:tcPr>
          <w:p>
            <w:pPr>
              <w:pStyle w:val="TableParagraph"/>
              <w:spacing w:before="93"/>
              <w:ind w:left="404" w:right="517"/>
              <w:jc w:val="center"/>
              <w:rPr>
                <w:sz w:val="18"/>
              </w:rPr>
            </w:pPr>
            <w:r>
              <w:rPr>
                <w:sz w:val="18"/>
              </w:rPr>
              <w:t>USA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P54B96</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0" w:right="271"/>
              <w:jc w:val="center"/>
              <w:rPr>
                <w:sz w:val="18"/>
              </w:rPr>
            </w:pPr>
            <w:r>
              <w:rPr>
                <w:sz w:val="18"/>
              </w:rPr>
              <w:t>Antílope</w:t>
            </w:r>
          </w:p>
        </w:tc>
        <w:tc>
          <w:tcPr>
            <w:tcW w:w="2055" w:type="dxa"/>
            <w:tcBorders>
              <w:top w:val="nil"/>
              <w:left w:val="nil"/>
              <w:bottom w:val="nil"/>
              <w:right w:val="nil"/>
            </w:tcBorders>
          </w:tcPr>
          <w:p>
            <w:pPr>
              <w:pStyle w:val="TableParagraph"/>
              <w:spacing w:before="93"/>
              <w:ind w:left="270" w:right="239"/>
              <w:jc w:val="center"/>
              <w:rPr>
                <w:sz w:val="18"/>
              </w:rPr>
            </w:pPr>
            <w:r>
              <w:rPr>
                <w:sz w:val="18"/>
              </w:rPr>
              <w:t>LCA Absceso</w:t>
            </w:r>
          </w:p>
        </w:tc>
        <w:tc>
          <w:tcPr>
            <w:tcW w:w="1686" w:type="dxa"/>
            <w:tcBorders>
              <w:top w:val="nil"/>
              <w:left w:val="nil"/>
              <w:bottom w:val="nil"/>
              <w:right w:val="nil"/>
            </w:tcBorders>
          </w:tcPr>
          <w:p>
            <w:pPr>
              <w:pStyle w:val="TableParagraph"/>
              <w:spacing w:before="93"/>
              <w:ind w:left="404" w:right="522"/>
              <w:jc w:val="center"/>
              <w:rPr>
                <w:sz w:val="18"/>
              </w:rPr>
            </w:pPr>
            <w:r>
              <w:rPr>
                <w:sz w:val="18"/>
              </w:rPr>
              <w:t>Sudáfrica</w:t>
            </w:r>
          </w:p>
        </w:tc>
      </w:tr>
      <w:tr>
        <w:trPr>
          <w:trHeight w:val="439" w:hRule="exact"/>
        </w:trPr>
        <w:tc>
          <w:tcPr>
            <w:tcW w:w="1709" w:type="dxa"/>
            <w:tcBorders>
              <w:top w:val="nil"/>
              <w:left w:val="nil"/>
              <w:bottom w:val="nil"/>
              <w:right w:val="nil"/>
            </w:tcBorders>
          </w:tcPr>
          <w:p>
            <w:pPr>
              <w:pStyle w:val="TableParagraph"/>
              <w:spacing w:before="93"/>
              <w:ind w:left="413" w:right="335"/>
              <w:jc w:val="center"/>
              <w:rPr>
                <w:sz w:val="18"/>
              </w:rPr>
            </w:pPr>
            <w:r>
              <w:rPr>
                <w:sz w:val="18"/>
              </w:rPr>
              <w:t>I19</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6"/>
              <w:jc w:val="center"/>
              <w:rPr>
                <w:sz w:val="18"/>
              </w:rPr>
            </w:pPr>
            <w:r>
              <w:rPr>
                <w:sz w:val="18"/>
              </w:rPr>
              <w:t>Bovino</w:t>
            </w:r>
          </w:p>
        </w:tc>
        <w:tc>
          <w:tcPr>
            <w:tcW w:w="2055" w:type="dxa"/>
            <w:tcBorders>
              <w:top w:val="nil"/>
              <w:left w:val="nil"/>
              <w:bottom w:val="nil"/>
              <w:right w:val="nil"/>
            </w:tcBorders>
          </w:tcPr>
          <w:p>
            <w:pPr>
              <w:pStyle w:val="TableParagraph"/>
              <w:spacing w:before="93"/>
              <w:ind w:left="267" w:right="239"/>
              <w:jc w:val="center"/>
              <w:rPr>
                <w:sz w:val="18"/>
              </w:rPr>
            </w:pPr>
            <w:r>
              <w:rPr>
                <w:sz w:val="18"/>
              </w:rPr>
              <w:t>Mastitis absceso</w:t>
            </w:r>
          </w:p>
        </w:tc>
        <w:tc>
          <w:tcPr>
            <w:tcW w:w="1686" w:type="dxa"/>
            <w:tcBorders>
              <w:top w:val="nil"/>
              <w:left w:val="nil"/>
              <w:bottom w:val="nil"/>
              <w:right w:val="nil"/>
            </w:tcBorders>
          </w:tcPr>
          <w:p>
            <w:pPr>
              <w:pStyle w:val="TableParagraph"/>
              <w:spacing w:before="93"/>
              <w:ind w:left="404" w:right="520"/>
              <w:jc w:val="center"/>
              <w:rPr>
                <w:sz w:val="18"/>
              </w:rPr>
            </w:pPr>
            <w:r>
              <w:rPr>
                <w:sz w:val="18"/>
              </w:rPr>
              <w:t>Israel</w:t>
            </w:r>
          </w:p>
        </w:tc>
      </w:tr>
      <w:tr>
        <w:trPr>
          <w:trHeight w:val="551"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FRC 41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71"/>
              <w:jc w:val="center"/>
              <w:rPr>
                <w:sz w:val="18"/>
              </w:rPr>
            </w:pPr>
            <w:r>
              <w:rPr>
                <w:sz w:val="18"/>
              </w:rPr>
              <w:t>Humano</w:t>
            </w:r>
          </w:p>
        </w:tc>
        <w:tc>
          <w:tcPr>
            <w:tcW w:w="2055" w:type="dxa"/>
            <w:tcBorders>
              <w:top w:val="nil"/>
              <w:left w:val="nil"/>
              <w:bottom w:val="nil"/>
              <w:right w:val="nil"/>
            </w:tcBorders>
          </w:tcPr>
          <w:p>
            <w:pPr>
              <w:pStyle w:val="TableParagraph"/>
              <w:spacing w:before="93"/>
              <w:ind w:left="583" w:right="530" w:firstLine="38"/>
              <w:rPr>
                <w:sz w:val="18"/>
              </w:rPr>
            </w:pPr>
            <w:r>
              <w:rPr>
                <w:sz w:val="18"/>
              </w:rPr>
              <w:t>Linfadenitis necrotizante</w:t>
            </w:r>
          </w:p>
        </w:tc>
        <w:tc>
          <w:tcPr>
            <w:tcW w:w="1686" w:type="dxa"/>
            <w:tcBorders>
              <w:top w:val="nil"/>
              <w:left w:val="nil"/>
              <w:bottom w:val="nil"/>
              <w:right w:val="nil"/>
            </w:tcBorders>
          </w:tcPr>
          <w:p>
            <w:pPr>
              <w:pStyle w:val="TableParagraph"/>
              <w:spacing w:before="93"/>
              <w:ind w:left="404" w:right="521"/>
              <w:jc w:val="center"/>
              <w:rPr>
                <w:sz w:val="18"/>
              </w:rPr>
            </w:pPr>
            <w:r>
              <w:rPr>
                <w:sz w:val="18"/>
              </w:rPr>
              <w:t>Francia</w:t>
            </w:r>
          </w:p>
        </w:tc>
      </w:tr>
      <w:tr>
        <w:trPr>
          <w:trHeight w:val="330" w:hRule="exact"/>
        </w:trPr>
        <w:tc>
          <w:tcPr>
            <w:tcW w:w="1709" w:type="dxa"/>
            <w:tcBorders>
              <w:top w:val="nil"/>
              <w:left w:val="nil"/>
              <w:bottom w:val="nil"/>
              <w:right w:val="nil"/>
            </w:tcBorders>
          </w:tcPr>
          <w:p>
            <w:pPr>
              <w:pStyle w:val="TableParagraph"/>
              <w:spacing w:line="204" w:lineRule="exact" w:before="0"/>
              <w:ind w:left="416" w:right="335"/>
              <w:jc w:val="center"/>
              <w:rPr>
                <w:sz w:val="18"/>
              </w:rPr>
            </w:pPr>
            <w:r>
              <w:rPr>
                <w:sz w:val="18"/>
              </w:rPr>
              <w:t>AY 492239.1</w:t>
            </w:r>
          </w:p>
        </w:tc>
        <w:tc>
          <w:tcPr>
            <w:tcW w:w="1960" w:type="dxa"/>
            <w:tcBorders>
              <w:top w:val="nil"/>
              <w:left w:val="nil"/>
              <w:bottom w:val="nil"/>
              <w:right w:val="nil"/>
            </w:tcBorders>
          </w:tcPr>
          <w:p>
            <w:pPr>
              <w:pStyle w:val="TableParagraph"/>
              <w:spacing w:line="204" w:lineRule="exact" w:before="0"/>
              <w:ind w:left="665" w:right="665"/>
              <w:jc w:val="center"/>
              <w:rPr>
                <w:i/>
                <w:sz w:val="18"/>
              </w:rPr>
            </w:pPr>
            <w:r>
              <w:rPr>
                <w:i/>
                <w:sz w:val="18"/>
              </w:rPr>
              <w:t>Ovis</w:t>
            </w:r>
          </w:p>
        </w:tc>
        <w:tc>
          <w:tcPr>
            <w:tcW w:w="1571" w:type="dxa"/>
            <w:tcBorders>
              <w:top w:val="nil"/>
              <w:left w:val="nil"/>
              <w:bottom w:val="nil"/>
              <w:right w:val="nil"/>
            </w:tcBorders>
          </w:tcPr>
          <w:p>
            <w:pPr>
              <w:pStyle w:val="TableParagraph"/>
              <w:spacing w:line="204" w:lineRule="exact" w:before="0"/>
              <w:ind w:left="331" w:right="270"/>
              <w:jc w:val="center"/>
              <w:rPr>
                <w:sz w:val="18"/>
              </w:rPr>
            </w:pPr>
            <w:r>
              <w:rPr>
                <w:sz w:val="18"/>
              </w:rPr>
              <w:t>-----</w:t>
            </w:r>
          </w:p>
        </w:tc>
        <w:tc>
          <w:tcPr>
            <w:tcW w:w="2055" w:type="dxa"/>
            <w:tcBorders>
              <w:top w:val="nil"/>
              <w:left w:val="nil"/>
              <w:bottom w:val="nil"/>
              <w:right w:val="nil"/>
            </w:tcBorders>
          </w:tcPr>
          <w:p>
            <w:pPr>
              <w:pStyle w:val="TableParagraph"/>
              <w:spacing w:line="204" w:lineRule="exact" w:before="0"/>
              <w:ind w:left="270" w:right="238"/>
              <w:jc w:val="center"/>
              <w:rPr>
                <w:sz w:val="18"/>
              </w:rPr>
            </w:pPr>
            <w:r>
              <w:rPr>
                <w:sz w:val="18"/>
              </w:rPr>
              <w:t>-----</w:t>
            </w:r>
          </w:p>
        </w:tc>
        <w:tc>
          <w:tcPr>
            <w:tcW w:w="1686" w:type="dxa"/>
            <w:tcBorders>
              <w:top w:val="nil"/>
              <w:left w:val="nil"/>
              <w:bottom w:val="nil"/>
              <w:right w:val="nil"/>
            </w:tcBorders>
          </w:tcPr>
          <w:p>
            <w:pPr>
              <w:pStyle w:val="TableParagraph"/>
              <w:spacing w:line="204" w:lineRule="exact" w:before="0"/>
              <w:ind w:left="404" w:right="521"/>
              <w:jc w:val="center"/>
              <w:rPr>
                <w:sz w:val="18"/>
              </w:rPr>
            </w:pPr>
            <w:r>
              <w:rPr>
                <w:sz w:val="18"/>
              </w:rPr>
              <w:t>Francia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HQ401568.1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20"/>
              <w:jc w:val="center"/>
              <w:rPr>
                <w:sz w:val="18"/>
              </w:rPr>
            </w:pPr>
            <w:r>
              <w:rPr>
                <w:sz w:val="18"/>
              </w:rPr>
              <w:t>Chile</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GU971389.1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8"/>
              <w:jc w:val="center"/>
              <w:rPr>
                <w:sz w:val="18"/>
              </w:rPr>
            </w:pPr>
            <w:r>
              <w:rPr>
                <w:sz w:val="18"/>
              </w:rPr>
              <w:t>Ovino</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19"/>
              <w:jc w:val="center"/>
              <w:rPr>
                <w:sz w:val="18"/>
              </w:rPr>
            </w:pPr>
            <w:r>
              <w:rPr>
                <w:sz w:val="18"/>
              </w:rPr>
              <w:t>Alemania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HQ401569.1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9"/>
              <w:jc w:val="center"/>
              <w:rPr>
                <w:sz w:val="18"/>
              </w:rPr>
            </w:pPr>
            <w:r>
              <w:rPr>
                <w:sz w:val="18"/>
              </w:rPr>
              <w:t>Cabra</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20"/>
              <w:jc w:val="center"/>
              <w:rPr>
                <w:sz w:val="18"/>
              </w:rPr>
            </w:pPr>
            <w:r>
              <w:rPr>
                <w:sz w:val="18"/>
              </w:rPr>
              <w:t>Chile</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GU971394.1</w:t>
            </w:r>
          </w:p>
        </w:tc>
        <w:tc>
          <w:tcPr>
            <w:tcW w:w="1960" w:type="dxa"/>
            <w:tcBorders>
              <w:top w:val="nil"/>
              <w:left w:val="nil"/>
              <w:bottom w:val="nil"/>
              <w:right w:val="nil"/>
            </w:tcBorders>
          </w:tcPr>
          <w:p>
            <w:pPr>
              <w:pStyle w:val="TableParagraph"/>
              <w:spacing w:before="93"/>
              <w:ind w:left="665" w:right="665"/>
              <w:jc w:val="center"/>
              <w:rPr>
                <w:i/>
                <w:sz w:val="18"/>
              </w:rPr>
            </w:pPr>
            <w:r>
              <w:rPr>
                <w:i/>
                <w:sz w:val="18"/>
              </w:rPr>
              <w:t>Ovis</w:t>
            </w:r>
          </w:p>
        </w:tc>
        <w:tc>
          <w:tcPr>
            <w:tcW w:w="1571" w:type="dxa"/>
            <w:tcBorders>
              <w:top w:val="nil"/>
              <w:left w:val="nil"/>
              <w:bottom w:val="nil"/>
              <w:right w:val="nil"/>
            </w:tcBorders>
          </w:tcPr>
          <w:p>
            <w:pPr>
              <w:pStyle w:val="TableParagraph"/>
              <w:spacing w:before="93"/>
              <w:ind w:left="331" w:right="269"/>
              <w:jc w:val="center"/>
              <w:rPr>
                <w:sz w:val="18"/>
              </w:rPr>
            </w:pPr>
            <w:r>
              <w:rPr>
                <w:sz w:val="18"/>
              </w:rPr>
              <w:t>Cabra</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19"/>
              <w:jc w:val="center"/>
              <w:rPr>
                <w:sz w:val="18"/>
              </w:rPr>
            </w:pPr>
            <w:r>
              <w:rPr>
                <w:sz w:val="18"/>
              </w:rPr>
              <w:t>Alemania</w:t>
            </w:r>
          </w:p>
        </w:tc>
      </w:tr>
      <w:tr>
        <w:trPr>
          <w:trHeight w:val="439" w:hRule="exact"/>
        </w:trPr>
        <w:tc>
          <w:tcPr>
            <w:tcW w:w="1709" w:type="dxa"/>
            <w:tcBorders>
              <w:top w:val="nil"/>
              <w:left w:val="nil"/>
              <w:bottom w:val="nil"/>
              <w:right w:val="nil"/>
            </w:tcBorders>
          </w:tcPr>
          <w:p>
            <w:pPr>
              <w:pStyle w:val="TableParagraph"/>
              <w:spacing w:before="93"/>
              <w:ind w:left="413" w:right="335"/>
              <w:jc w:val="center"/>
              <w:rPr>
                <w:sz w:val="18"/>
              </w:rPr>
            </w:pPr>
            <w:r>
              <w:rPr>
                <w:sz w:val="18"/>
              </w:rPr>
              <w:t>CIP52.97</w:t>
            </w:r>
          </w:p>
        </w:tc>
        <w:tc>
          <w:tcPr>
            <w:tcW w:w="1960" w:type="dxa"/>
            <w:tcBorders>
              <w:top w:val="nil"/>
              <w:left w:val="nil"/>
              <w:bottom w:val="nil"/>
              <w:right w:val="nil"/>
            </w:tcBorders>
          </w:tcPr>
          <w:p>
            <w:pPr>
              <w:pStyle w:val="TableParagraph"/>
              <w:spacing w:before="93"/>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3"/>
              <w:ind w:left="331" w:right="271"/>
              <w:jc w:val="center"/>
              <w:rPr>
                <w:sz w:val="18"/>
              </w:rPr>
            </w:pPr>
            <w:r>
              <w:rPr>
                <w:sz w:val="18"/>
              </w:rPr>
              <w:t>Caballo</w:t>
            </w:r>
          </w:p>
        </w:tc>
        <w:tc>
          <w:tcPr>
            <w:tcW w:w="2055" w:type="dxa"/>
            <w:tcBorders>
              <w:top w:val="nil"/>
              <w:left w:val="nil"/>
              <w:bottom w:val="nil"/>
              <w:right w:val="nil"/>
            </w:tcBorders>
          </w:tcPr>
          <w:p>
            <w:pPr>
              <w:pStyle w:val="TableParagraph"/>
              <w:spacing w:before="93"/>
              <w:ind w:left="270" w:right="239"/>
              <w:jc w:val="center"/>
              <w:rPr>
                <w:sz w:val="18"/>
              </w:rPr>
            </w:pPr>
            <w:r>
              <w:rPr>
                <w:sz w:val="18"/>
              </w:rPr>
              <w:t>Linfangitis ulcerativa</w:t>
            </w:r>
          </w:p>
        </w:tc>
        <w:tc>
          <w:tcPr>
            <w:tcW w:w="1686" w:type="dxa"/>
            <w:tcBorders>
              <w:top w:val="nil"/>
              <w:left w:val="nil"/>
              <w:bottom w:val="nil"/>
              <w:right w:val="nil"/>
            </w:tcBorders>
          </w:tcPr>
          <w:p>
            <w:pPr>
              <w:pStyle w:val="TableParagraph"/>
              <w:spacing w:before="93"/>
              <w:ind w:left="404" w:right="521"/>
              <w:jc w:val="center"/>
              <w:rPr>
                <w:sz w:val="18"/>
              </w:rPr>
            </w:pPr>
            <w:r>
              <w:rPr>
                <w:sz w:val="18"/>
              </w:rPr>
              <w:t>Kenia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316</w:t>
            </w:r>
          </w:p>
        </w:tc>
        <w:tc>
          <w:tcPr>
            <w:tcW w:w="1960" w:type="dxa"/>
            <w:tcBorders>
              <w:top w:val="nil"/>
              <w:left w:val="nil"/>
              <w:bottom w:val="nil"/>
              <w:right w:val="nil"/>
            </w:tcBorders>
          </w:tcPr>
          <w:p>
            <w:pPr>
              <w:pStyle w:val="TableParagraph"/>
              <w:spacing w:before="93"/>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3"/>
              <w:ind w:left="331" w:right="271"/>
              <w:jc w:val="center"/>
              <w:rPr>
                <w:sz w:val="18"/>
              </w:rPr>
            </w:pPr>
            <w:r>
              <w:rPr>
                <w:sz w:val="18"/>
              </w:rPr>
              <w:t>Caballo</w:t>
            </w:r>
          </w:p>
        </w:tc>
        <w:tc>
          <w:tcPr>
            <w:tcW w:w="2055" w:type="dxa"/>
            <w:tcBorders>
              <w:top w:val="nil"/>
              <w:left w:val="nil"/>
              <w:bottom w:val="nil"/>
              <w:right w:val="nil"/>
            </w:tcBorders>
          </w:tcPr>
          <w:p>
            <w:pPr>
              <w:pStyle w:val="TableParagraph"/>
              <w:spacing w:before="93"/>
              <w:ind w:left="270" w:right="237"/>
              <w:jc w:val="center"/>
              <w:rPr>
                <w:sz w:val="18"/>
              </w:rPr>
            </w:pPr>
            <w:r>
              <w:rPr>
                <w:sz w:val="18"/>
              </w:rPr>
              <w:t>Absceso</w:t>
            </w:r>
          </w:p>
        </w:tc>
        <w:tc>
          <w:tcPr>
            <w:tcW w:w="1686" w:type="dxa"/>
            <w:tcBorders>
              <w:top w:val="nil"/>
              <w:left w:val="nil"/>
              <w:bottom w:val="nil"/>
              <w:right w:val="nil"/>
            </w:tcBorders>
          </w:tcPr>
          <w:p>
            <w:pPr>
              <w:pStyle w:val="TableParagraph"/>
              <w:spacing w:before="93"/>
              <w:ind w:left="404" w:right="517"/>
              <w:jc w:val="center"/>
              <w:rPr>
                <w:sz w:val="18"/>
              </w:rPr>
            </w:pPr>
            <w:r>
              <w:rPr>
                <w:sz w:val="18"/>
              </w:rPr>
              <w:t>USA</w:t>
            </w:r>
          </w:p>
        </w:tc>
      </w:tr>
      <w:tr>
        <w:trPr>
          <w:trHeight w:val="439" w:hRule="exact"/>
        </w:trPr>
        <w:tc>
          <w:tcPr>
            <w:tcW w:w="1709" w:type="dxa"/>
            <w:tcBorders>
              <w:top w:val="nil"/>
              <w:left w:val="nil"/>
              <w:bottom w:val="nil"/>
              <w:right w:val="nil"/>
            </w:tcBorders>
          </w:tcPr>
          <w:p>
            <w:pPr>
              <w:pStyle w:val="TableParagraph"/>
              <w:spacing w:before="93"/>
              <w:ind w:left="416" w:right="335"/>
              <w:jc w:val="center"/>
              <w:rPr>
                <w:sz w:val="18"/>
              </w:rPr>
            </w:pPr>
            <w:r>
              <w:rPr>
                <w:sz w:val="18"/>
              </w:rPr>
              <w:t>258</w:t>
            </w:r>
          </w:p>
        </w:tc>
        <w:tc>
          <w:tcPr>
            <w:tcW w:w="1960" w:type="dxa"/>
            <w:tcBorders>
              <w:top w:val="nil"/>
              <w:left w:val="nil"/>
              <w:bottom w:val="nil"/>
              <w:right w:val="nil"/>
            </w:tcBorders>
          </w:tcPr>
          <w:p>
            <w:pPr>
              <w:pStyle w:val="TableParagraph"/>
              <w:spacing w:before="93"/>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3"/>
              <w:ind w:left="331" w:right="271"/>
              <w:jc w:val="center"/>
              <w:rPr>
                <w:sz w:val="18"/>
              </w:rPr>
            </w:pPr>
            <w:r>
              <w:rPr>
                <w:sz w:val="18"/>
              </w:rPr>
              <w:t>Caballo</w:t>
            </w:r>
          </w:p>
        </w:tc>
        <w:tc>
          <w:tcPr>
            <w:tcW w:w="2055" w:type="dxa"/>
            <w:tcBorders>
              <w:top w:val="nil"/>
              <w:left w:val="nil"/>
              <w:bottom w:val="nil"/>
              <w:right w:val="nil"/>
            </w:tcBorders>
          </w:tcPr>
          <w:p>
            <w:pPr>
              <w:pStyle w:val="TableParagraph"/>
              <w:spacing w:before="93"/>
              <w:ind w:left="270" w:right="239"/>
              <w:jc w:val="center"/>
              <w:rPr>
                <w:sz w:val="18"/>
              </w:rPr>
            </w:pPr>
            <w:r>
              <w:rPr>
                <w:sz w:val="18"/>
              </w:rPr>
              <w:t>Linfangitis ulcerativa</w:t>
            </w:r>
          </w:p>
        </w:tc>
        <w:tc>
          <w:tcPr>
            <w:tcW w:w="1686" w:type="dxa"/>
            <w:tcBorders>
              <w:top w:val="nil"/>
              <w:left w:val="nil"/>
              <w:bottom w:val="nil"/>
              <w:right w:val="nil"/>
            </w:tcBorders>
          </w:tcPr>
          <w:p>
            <w:pPr>
              <w:pStyle w:val="TableParagraph"/>
              <w:spacing w:before="93"/>
              <w:ind w:left="404" w:right="518"/>
              <w:jc w:val="center"/>
              <w:rPr>
                <w:sz w:val="18"/>
              </w:rPr>
            </w:pPr>
            <w:r>
              <w:rPr>
                <w:sz w:val="18"/>
              </w:rPr>
              <w:t>Bélgica</w:t>
            </w:r>
          </w:p>
        </w:tc>
      </w:tr>
      <w:tr>
        <w:trPr>
          <w:trHeight w:val="439" w:hRule="exact"/>
        </w:trPr>
        <w:tc>
          <w:tcPr>
            <w:tcW w:w="1709" w:type="dxa"/>
            <w:tcBorders>
              <w:top w:val="nil"/>
              <w:left w:val="nil"/>
              <w:bottom w:val="nil"/>
              <w:right w:val="nil"/>
            </w:tcBorders>
          </w:tcPr>
          <w:p>
            <w:pPr>
              <w:pStyle w:val="TableParagraph"/>
              <w:spacing w:before="93"/>
              <w:ind w:left="414" w:right="335"/>
              <w:jc w:val="center"/>
              <w:rPr>
                <w:sz w:val="18"/>
              </w:rPr>
            </w:pPr>
            <w:r>
              <w:rPr>
                <w:sz w:val="18"/>
              </w:rPr>
              <w:t>1/06-A</w:t>
            </w:r>
          </w:p>
        </w:tc>
        <w:tc>
          <w:tcPr>
            <w:tcW w:w="1960" w:type="dxa"/>
            <w:tcBorders>
              <w:top w:val="nil"/>
              <w:left w:val="nil"/>
              <w:bottom w:val="nil"/>
              <w:right w:val="nil"/>
            </w:tcBorders>
          </w:tcPr>
          <w:p>
            <w:pPr>
              <w:pStyle w:val="TableParagraph"/>
              <w:spacing w:before="93"/>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3"/>
              <w:ind w:left="331" w:right="271"/>
              <w:jc w:val="center"/>
              <w:rPr>
                <w:sz w:val="18"/>
              </w:rPr>
            </w:pPr>
            <w:r>
              <w:rPr>
                <w:sz w:val="18"/>
              </w:rPr>
              <w:t>Caballo</w:t>
            </w:r>
          </w:p>
        </w:tc>
        <w:tc>
          <w:tcPr>
            <w:tcW w:w="2055" w:type="dxa"/>
            <w:tcBorders>
              <w:top w:val="nil"/>
              <w:left w:val="nil"/>
              <w:bottom w:val="nil"/>
              <w:right w:val="nil"/>
            </w:tcBorders>
          </w:tcPr>
          <w:p>
            <w:pPr>
              <w:pStyle w:val="TableParagraph"/>
              <w:spacing w:before="93"/>
              <w:ind w:left="270" w:right="237"/>
              <w:jc w:val="center"/>
              <w:rPr>
                <w:sz w:val="18"/>
              </w:rPr>
            </w:pPr>
            <w:r>
              <w:rPr>
                <w:sz w:val="18"/>
              </w:rPr>
              <w:t>Absceso</w:t>
            </w:r>
          </w:p>
        </w:tc>
        <w:tc>
          <w:tcPr>
            <w:tcW w:w="1686" w:type="dxa"/>
            <w:tcBorders>
              <w:top w:val="nil"/>
              <w:left w:val="nil"/>
              <w:bottom w:val="nil"/>
              <w:right w:val="nil"/>
            </w:tcBorders>
          </w:tcPr>
          <w:p>
            <w:pPr>
              <w:pStyle w:val="TableParagraph"/>
              <w:spacing w:before="93"/>
              <w:ind w:left="404" w:right="517"/>
              <w:jc w:val="center"/>
              <w:rPr>
                <w:sz w:val="18"/>
              </w:rPr>
            </w:pPr>
            <w:r>
              <w:rPr>
                <w:sz w:val="18"/>
              </w:rPr>
              <w:t>USA</w:t>
            </w:r>
          </w:p>
        </w:tc>
      </w:tr>
      <w:tr>
        <w:trPr>
          <w:trHeight w:val="441" w:hRule="exact"/>
        </w:trPr>
        <w:tc>
          <w:tcPr>
            <w:tcW w:w="1709" w:type="dxa"/>
            <w:tcBorders>
              <w:top w:val="nil"/>
              <w:left w:val="nil"/>
              <w:bottom w:val="nil"/>
              <w:right w:val="nil"/>
            </w:tcBorders>
          </w:tcPr>
          <w:p>
            <w:pPr>
              <w:pStyle w:val="TableParagraph"/>
              <w:spacing w:before="93"/>
              <w:ind w:left="414" w:right="335"/>
              <w:jc w:val="center"/>
              <w:rPr>
                <w:sz w:val="18"/>
              </w:rPr>
            </w:pPr>
            <w:r>
              <w:rPr>
                <w:sz w:val="18"/>
              </w:rPr>
              <w:t>Cp162</w:t>
            </w:r>
          </w:p>
        </w:tc>
        <w:tc>
          <w:tcPr>
            <w:tcW w:w="1960" w:type="dxa"/>
            <w:tcBorders>
              <w:top w:val="nil"/>
              <w:left w:val="nil"/>
              <w:bottom w:val="nil"/>
              <w:right w:val="nil"/>
            </w:tcBorders>
          </w:tcPr>
          <w:p>
            <w:pPr>
              <w:pStyle w:val="TableParagraph"/>
              <w:spacing w:before="93"/>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3"/>
              <w:ind w:left="331" w:right="271"/>
              <w:jc w:val="center"/>
              <w:rPr>
                <w:sz w:val="18"/>
              </w:rPr>
            </w:pPr>
            <w:r>
              <w:rPr>
                <w:sz w:val="18"/>
              </w:rPr>
              <w:t>Camello</w:t>
            </w:r>
          </w:p>
        </w:tc>
        <w:tc>
          <w:tcPr>
            <w:tcW w:w="2055" w:type="dxa"/>
            <w:tcBorders>
              <w:top w:val="nil"/>
              <w:left w:val="nil"/>
              <w:bottom w:val="nil"/>
              <w:right w:val="nil"/>
            </w:tcBorders>
          </w:tcPr>
          <w:p>
            <w:pPr>
              <w:pStyle w:val="TableParagraph"/>
              <w:spacing w:before="93"/>
              <w:ind w:left="269" w:right="239"/>
              <w:jc w:val="center"/>
              <w:rPr>
                <w:sz w:val="18"/>
              </w:rPr>
            </w:pPr>
            <w:r>
              <w:rPr>
                <w:sz w:val="18"/>
              </w:rPr>
              <w:t>Absceso cuello</w:t>
            </w:r>
          </w:p>
        </w:tc>
        <w:tc>
          <w:tcPr>
            <w:tcW w:w="1686" w:type="dxa"/>
            <w:tcBorders>
              <w:top w:val="nil"/>
              <w:left w:val="nil"/>
              <w:bottom w:val="nil"/>
              <w:right w:val="nil"/>
            </w:tcBorders>
          </w:tcPr>
          <w:p>
            <w:pPr>
              <w:pStyle w:val="TableParagraph"/>
              <w:spacing w:before="93"/>
              <w:ind w:left="404" w:right="522"/>
              <w:jc w:val="center"/>
              <w:rPr>
                <w:sz w:val="18"/>
              </w:rPr>
            </w:pPr>
            <w:r>
              <w:rPr>
                <w:sz w:val="18"/>
              </w:rPr>
              <w:t>Inglaterra</w:t>
            </w:r>
          </w:p>
        </w:tc>
      </w:tr>
      <w:tr>
        <w:trPr>
          <w:trHeight w:val="441" w:hRule="exact"/>
        </w:trPr>
        <w:tc>
          <w:tcPr>
            <w:tcW w:w="1709" w:type="dxa"/>
            <w:tcBorders>
              <w:top w:val="nil"/>
              <w:left w:val="nil"/>
              <w:bottom w:val="nil"/>
              <w:right w:val="nil"/>
            </w:tcBorders>
          </w:tcPr>
          <w:p>
            <w:pPr>
              <w:pStyle w:val="TableParagraph"/>
              <w:spacing w:before="94"/>
              <w:ind w:left="416" w:right="335"/>
              <w:jc w:val="center"/>
              <w:rPr>
                <w:sz w:val="18"/>
              </w:rPr>
            </w:pPr>
            <w:r>
              <w:rPr>
                <w:sz w:val="18"/>
              </w:rPr>
              <w:t>31</w:t>
            </w:r>
          </w:p>
        </w:tc>
        <w:tc>
          <w:tcPr>
            <w:tcW w:w="1960" w:type="dxa"/>
            <w:tcBorders>
              <w:top w:val="nil"/>
              <w:left w:val="nil"/>
              <w:bottom w:val="nil"/>
              <w:right w:val="nil"/>
            </w:tcBorders>
          </w:tcPr>
          <w:p>
            <w:pPr>
              <w:pStyle w:val="TableParagraph"/>
              <w:spacing w:before="94"/>
              <w:ind w:left="667" w:right="662"/>
              <w:jc w:val="center"/>
              <w:rPr>
                <w:i/>
                <w:sz w:val="18"/>
              </w:rPr>
            </w:pPr>
            <w:r>
              <w:rPr>
                <w:i/>
                <w:sz w:val="18"/>
              </w:rPr>
              <w:t>Equi</w:t>
            </w:r>
          </w:p>
        </w:tc>
        <w:tc>
          <w:tcPr>
            <w:tcW w:w="1571" w:type="dxa"/>
            <w:tcBorders>
              <w:top w:val="nil"/>
              <w:left w:val="nil"/>
              <w:bottom w:val="nil"/>
              <w:right w:val="nil"/>
            </w:tcBorders>
          </w:tcPr>
          <w:p>
            <w:pPr>
              <w:pStyle w:val="TableParagraph"/>
              <w:spacing w:before="94"/>
              <w:ind w:left="331" w:right="268"/>
              <w:jc w:val="center"/>
              <w:rPr>
                <w:sz w:val="18"/>
              </w:rPr>
            </w:pPr>
            <w:r>
              <w:rPr>
                <w:sz w:val="18"/>
              </w:rPr>
              <w:t>Búfalo</w:t>
            </w:r>
          </w:p>
        </w:tc>
        <w:tc>
          <w:tcPr>
            <w:tcW w:w="2055" w:type="dxa"/>
            <w:tcBorders>
              <w:top w:val="nil"/>
              <w:left w:val="nil"/>
              <w:bottom w:val="nil"/>
              <w:right w:val="nil"/>
            </w:tcBorders>
          </w:tcPr>
          <w:p>
            <w:pPr>
              <w:pStyle w:val="TableParagraph"/>
              <w:spacing w:before="94"/>
              <w:ind w:left="270" w:right="237"/>
              <w:jc w:val="center"/>
              <w:rPr>
                <w:sz w:val="18"/>
              </w:rPr>
            </w:pPr>
            <w:r>
              <w:rPr>
                <w:sz w:val="18"/>
              </w:rPr>
              <w:t>Absceso</w:t>
            </w:r>
          </w:p>
        </w:tc>
        <w:tc>
          <w:tcPr>
            <w:tcW w:w="1686" w:type="dxa"/>
            <w:tcBorders>
              <w:top w:val="nil"/>
              <w:left w:val="nil"/>
              <w:bottom w:val="nil"/>
              <w:right w:val="nil"/>
            </w:tcBorders>
          </w:tcPr>
          <w:p>
            <w:pPr>
              <w:pStyle w:val="TableParagraph"/>
              <w:spacing w:before="94"/>
              <w:ind w:left="404" w:right="519"/>
              <w:jc w:val="center"/>
              <w:rPr>
                <w:sz w:val="18"/>
              </w:rPr>
            </w:pPr>
            <w:r>
              <w:rPr>
                <w:sz w:val="18"/>
              </w:rPr>
              <w:t>Egipto</w:t>
            </w:r>
          </w:p>
        </w:tc>
      </w:tr>
      <w:tr>
        <w:trPr>
          <w:trHeight w:val="439" w:hRule="exact"/>
        </w:trPr>
        <w:tc>
          <w:tcPr>
            <w:tcW w:w="1709" w:type="dxa"/>
            <w:tcBorders>
              <w:top w:val="nil"/>
              <w:left w:val="nil"/>
              <w:bottom w:val="nil"/>
              <w:right w:val="nil"/>
            </w:tcBorders>
          </w:tcPr>
          <w:p>
            <w:pPr>
              <w:pStyle w:val="TableParagraph"/>
              <w:spacing w:before="93"/>
              <w:ind w:left="413" w:right="335"/>
              <w:jc w:val="center"/>
              <w:rPr>
                <w:sz w:val="18"/>
              </w:rPr>
            </w:pPr>
            <w:r>
              <w:rPr>
                <w:sz w:val="18"/>
              </w:rPr>
              <w:t>AY492271.1</w:t>
            </w:r>
          </w:p>
        </w:tc>
        <w:tc>
          <w:tcPr>
            <w:tcW w:w="1960" w:type="dxa"/>
            <w:tcBorders>
              <w:top w:val="nil"/>
              <w:left w:val="nil"/>
              <w:bottom w:val="nil"/>
              <w:right w:val="nil"/>
            </w:tcBorders>
          </w:tcPr>
          <w:p>
            <w:pPr>
              <w:pStyle w:val="TableParagraph"/>
              <w:spacing w:before="93"/>
              <w:ind w:left="586" w:right="333"/>
              <w:rPr>
                <w:i/>
                <w:sz w:val="18"/>
              </w:rPr>
            </w:pPr>
            <w:r>
              <w:rPr>
                <w:i/>
                <w:sz w:val="18"/>
              </w:rPr>
              <w:t>C. ulcerans</w:t>
            </w:r>
          </w:p>
        </w:tc>
        <w:tc>
          <w:tcPr>
            <w:tcW w:w="1571" w:type="dxa"/>
            <w:tcBorders>
              <w:top w:val="nil"/>
              <w:left w:val="nil"/>
              <w:bottom w:val="nil"/>
              <w:right w:val="nil"/>
            </w:tcBorders>
          </w:tcPr>
          <w:p>
            <w:pPr>
              <w:pStyle w:val="TableParagraph"/>
              <w:spacing w:before="93"/>
              <w:ind w:left="331" w:right="270"/>
              <w:jc w:val="center"/>
              <w:rPr>
                <w:sz w:val="18"/>
              </w:rPr>
            </w:pPr>
            <w:r>
              <w:rPr>
                <w:sz w:val="18"/>
              </w:rPr>
              <w:t>-----</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21"/>
              <w:jc w:val="center"/>
              <w:rPr>
                <w:sz w:val="18"/>
              </w:rPr>
            </w:pPr>
            <w:r>
              <w:rPr>
                <w:sz w:val="18"/>
              </w:rPr>
              <w:t>Francia</w:t>
            </w:r>
          </w:p>
        </w:tc>
      </w:tr>
      <w:tr>
        <w:trPr>
          <w:trHeight w:val="658" w:hRule="exact"/>
        </w:trPr>
        <w:tc>
          <w:tcPr>
            <w:tcW w:w="1709" w:type="dxa"/>
            <w:tcBorders>
              <w:top w:val="nil"/>
              <w:left w:val="nil"/>
              <w:bottom w:val="nil"/>
              <w:right w:val="nil"/>
            </w:tcBorders>
          </w:tcPr>
          <w:p>
            <w:pPr>
              <w:pStyle w:val="TableParagraph"/>
              <w:spacing w:before="93"/>
              <w:ind w:left="413" w:right="335"/>
              <w:jc w:val="center"/>
              <w:rPr>
                <w:sz w:val="18"/>
              </w:rPr>
            </w:pPr>
            <w:r>
              <w:rPr>
                <w:sz w:val="18"/>
              </w:rPr>
              <w:t>AY492230.1</w:t>
            </w:r>
          </w:p>
        </w:tc>
        <w:tc>
          <w:tcPr>
            <w:tcW w:w="1960" w:type="dxa"/>
            <w:tcBorders>
              <w:top w:val="nil"/>
              <w:left w:val="nil"/>
              <w:bottom w:val="nil"/>
              <w:right w:val="nil"/>
            </w:tcBorders>
          </w:tcPr>
          <w:p>
            <w:pPr>
              <w:pStyle w:val="TableParagraph"/>
              <w:spacing w:before="93"/>
              <w:ind w:left="562" w:right="333" w:hanging="207"/>
              <w:rPr>
                <w:i/>
                <w:sz w:val="18"/>
              </w:rPr>
            </w:pPr>
            <w:r>
              <w:rPr>
                <w:i/>
                <w:sz w:val="18"/>
              </w:rPr>
              <w:t>Corynebacterium </w:t>
            </w:r>
            <w:r>
              <w:rPr>
                <w:i/>
                <w:sz w:val="18"/>
              </w:rPr>
              <w:t>diphtheriae</w:t>
            </w:r>
          </w:p>
        </w:tc>
        <w:tc>
          <w:tcPr>
            <w:tcW w:w="1571" w:type="dxa"/>
            <w:tcBorders>
              <w:top w:val="nil"/>
              <w:left w:val="nil"/>
              <w:bottom w:val="nil"/>
              <w:right w:val="nil"/>
            </w:tcBorders>
          </w:tcPr>
          <w:p>
            <w:pPr>
              <w:pStyle w:val="TableParagraph"/>
              <w:spacing w:before="93"/>
              <w:ind w:left="331" w:right="270"/>
              <w:jc w:val="center"/>
              <w:rPr>
                <w:sz w:val="18"/>
              </w:rPr>
            </w:pPr>
            <w:r>
              <w:rPr>
                <w:sz w:val="18"/>
              </w:rPr>
              <w:t>-----</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21"/>
              <w:jc w:val="center"/>
              <w:rPr>
                <w:sz w:val="18"/>
              </w:rPr>
            </w:pPr>
            <w:r>
              <w:rPr>
                <w:sz w:val="18"/>
              </w:rPr>
              <w:t>Francia</w:t>
            </w:r>
          </w:p>
        </w:tc>
      </w:tr>
      <w:tr>
        <w:trPr>
          <w:trHeight w:val="440" w:hRule="exact"/>
        </w:trPr>
        <w:tc>
          <w:tcPr>
            <w:tcW w:w="1709" w:type="dxa"/>
            <w:tcBorders>
              <w:top w:val="nil"/>
              <w:left w:val="nil"/>
              <w:bottom w:val="nil"/>
              <w:right w:val="nil"/>
            </w:tcBorders>
          </w:tcPr>
          <w:p>
            <w:pPr>
              <w:pStyle w:val="TableParagraph"/>
              <w:spacing w:before="93"/>
              <w:ind w:left="414" w:right="335"/>
              <w:jc w:val="center"/>
              <w:rPr>
                <w:sz w:val="18"/>
              </w:rPr>
            </w:pPr>
            <w:r>
              <w:rPr>
                <w:sz w:val="18"/>
              </w:rPr>
              <w:t>FN179294.1</w:t>
            </w:r>
          </w:p>
        </w:tc>
        <w:tc>
          <w:tcPr>
            <w:tcW w:w="1960" w:type="dxa"/>
            <w:tcBorders>
              <w:top w:val="nil"/>
              <w:left w:val="nil"/>
              <w:bottom w:val="nil"/>
              <w:right w:val="nil"/>
            </w:tcBorders>
          </w:tcPr>
          <w:p>
            <w:pPr>
              <w:pStyle w:val="TableParagraph"/>
              <w:spacing w:before="93"/>
              <w:ind w:left="641" w:right="333"/>
              <w:rPr>
                <w:i/>
                <w:sz w:val="18"/>
              </w:rPr>
            </w:pPr>
            <w:r>
              <w:rPr>
                <w:i/>
                <w:sz w:val="18"/>
              </w:rPr>
              <w:t>C. xerosis</w:t>
            </w:r>
          </w:p>
        </w:tc>
        <w:tc>
          <w:tcPr>
            <w:tcW w:w="1571" w:type="dxa"/>
            <w:tcBorders>
              <w:top w:val="nil"/>
              <w:left w:val="nil"/>
              <w:bottom w:val="nil"/>
              <w:right w:val="nil"/>
            </w:tcBorders>
          </w:tcPr>
          <w:p>
            <w:pPr>
              <w:pStyle w:val="TableParagraph"/>
              <w:spacing w:before="93"/>
              <w:ind w:left="331" w:right="270"/>
              <w:jc w:val="center"/>
              <w:rPr>
                <w:sz w:val="18"/>
              </w:rPr>
            </w:pPr>
            <w:r>
              <w:rPr>
                <w:sz w:val="18"/>
              </w:rPr>
              <w:t>-----</w:t>
            </w:r>
          </w:p>
        </w:tc>
        <w:tc>
          <w:tcPr>
            <w:tcW w:w="2055" w:type="dxa"/>
            <w:tcBorders>
              <w:top w:val="nil"/>
              <w:left w:val="nil"/>
              <w:bottom w:val="nil"/>
              <w:right w:val="nil"/>
            </w:tcBorders>
          </w:tcPr>
          <w:p>
            <w:pPr>
              <w:pStyle w:val="TableParagraph"/>
              <w:spacing w:before="93"/>
              <w:ind w:left="270" w:right="238"/>
              <w:jc w:val="center"/>
              <w:rPr>
                <w:sz w:val="18"/>
              </w:rPr>
            </w:pPr>
            <w:r>
              <w:rPr>
                <w:sz w:val="18"/>
              </w:rPr>
              <w:t>-----</w:t>
            </w:r>
          </w:p>
        </w:tc>
        <w:tc>
          <w:tcPr>
            <w:tcW w:w="1686" w:type="dxa"/>
            <w:tcBorders>
              <w:top w:val="nil"/>
              <w:left w:val="nil"/>
              <w:bottom w:val="nil"/>
              <w:right w:val="nil"/>
            </w:tcBorders>
          </w:tcPr>
          <w:p>
            <w:pPr>
              <w:pStyle w:val="TableParagraph"/>
              <w:spacing w:before="93"/>
              <w:ind w:left="404" w:right="521"/>
              <w:jc w:val="center"/>
              <w:rPr>
                <w:sz w:val="18"/>
              </w:rPr>
            </w:pPr>
            <w:r>
              <w:rPr>
                <w:sz w:val="18"/>
              </w:rPr>
              <w:t>España</w:t>
            </w:r>
          </w:p>
        </w:tc>
      </w:tr>
      <w:tr>
        <w:trPr>
          <w:trHeight w:val="319" w:hRule="exact"/>
        </w:trPr>
        <w:tc>
          <w:tcPr>
            <w:tcW w:w="1709" w:type="dxa"/>
            <w:tcBorders>
              <w:top w:val="nil"/>
              <w:left w:val="nil"/>
              <w:right w:val="nil"/>
            </w:tcBorders>
          </w:tcPr>
          <w:p>
            <w:pPr>
              <w:pStyle w:val="TableParagraph"/>
              <w:spacing w:before="94"/>
              <w:ind w:left="413" w:right="335"/>
              <w:jc w:val="center"/>
              <w:rPr>
                <w:sz w:val="18"/>
              </w:rPr>
            </w:pPr>
            <w:r>
              <w:rPr>
                <w:sz w:val="18"/>
              </w:rPr>
              <w:t>AY492233.1</w:t>
            </w:r>
          </w:p>
        </w:tc>
        <w:tc>
          <w:tcPr>
            <w:tcW w:w="1960" w:type="dxa"/>
            <w:tcBorders>
              <w:top w:val="nil"/>
              <w:left w:val="nil"/>
              <w:right w:val="nil"/>
            </w:tcBorders>
          </w:tcPr>
          <w:p>
            <w:pPr>
              <w:pStyle w:val="TableParagraph"/>
              <w:spacing w:before="94"/>
              <w:ind w:left="641" w:right="333"/>
              <w:rPr>
                <w:i/>
                <w:sz w:val="18"/>
              </w:rPr>
            </w:pPr>
            <w:r>
              <w:rPr>
                <w:i/>
                <w:sz w:val="18"/>
              </w:rPr>
              <w:t>C. xerosis</w:t>
            </w:r>
          </w:p>
        </w:tc>
        <w:tc>
          <w:tcPr>
            <w:tcW w:w="1571" w:type="dxa"/>
            <w:tcBorders>
              <w:top w:val="nil"/>
              <w:left w:val="nil"/>
              <w:right w:val="nil"/>
            </w:tcBorders>
          </w:tcPr>
          <w:p>
            <w:pPr>
              <w:pStyle w:val="TableParagraph"/>
              <w:spacing w:before="94"/>
              <w:ind w:left="331" w:right="270"/>
              <w:jc w:val="center"/>
              <w:rPr>
                <w:sz w:val="18"/>
              </w:rPr>
            </w:pPr>
            <w:r>
              <w:rPr>
                <w:sz w:val="18"/>
              </w:rPr>
              <w:t>-----</w:t>
            </w:r>
          </w:p>
        </w:tc>
        <w:tc>
          <w:tcPr>
            <w:tcW w:w="2055" w:type="dxa"/>
            <w:tcBorders>
              <w:top w:val="nil"/>
              <w:left w:val="nil"/>
              <w:right w:val="nil"/>
            </w:tcBorders>
          </w:tcPr>
          <w:p>
            <w:pPr>
              <w:pStyle w:val="TableParagraph"/>
              <w:spacing w:before="94"/>
              <w:ind w:left="270" w:right="238"/>
              <w:jc w:val="center"/>
              <w:rPr>
                <w:sz w:val="18"/>
              </w:rPr>
            </w:pPr>
            <w:r>
              <w:rPr>
                <w:sz w:val="18"/>
              </w:rPr>
              <w:t>-----</w:t>
            </w:r>
          </w:p>
        </w:tc>
        <w:tc>
          <w:tcPr>
            <w:tcW w:w="1686" w:type="dxa"/>
            <w:tcBorders>
              <w:top w:val="nil"/>
              <w:left w:val="nil"/>
              <w:right w:val="nil"/>
            </w:tcBorders>
          </w:tcPr>
          <w:p>
            <w:pPr>
              <w:pStyle w:val="TableParagraph"/>
              <w:spacing w:before="94"/>
              <w:ind w:left="404" w:right="521"/>
              <w:jc w:val="center"/>
              <w:rPr>
                <w:sz w:val="18"/>
              </w:rPr>
            </w:pPr>
            <w:r>
              <w:rPr>
                <w:sz w:val="18"/>
              </w:rPr>
              <w:t>Francia</w:t>
            </w:r>
          </w:p>
        </w:tc>
      </w:tr>
    </w:tbl>
    <w:p>
      <w:pPr>
        <w:spacing w:after="0"/>
        <w:jc w:val="center"/>
        <w:rPr>
          <w:sz w:val="18"/>
        </w:rPr>
        <w:sectPr>
          <w:pgSz w:w="12240" w:h="15840"/>
          <w:pgMar w:header="0" w:footer="1386" w:top="1500" w:bottom="1580" w:left="1700" w:right="1340"/>
        </w:sectPr>
      </w:pPr>
    </w:p>
    <w:p>
      <w:pPr>
        <w:pStyle w:val="BodyText"/>
        <w:spacing w:before="2"/>
        <w:rPr>
          <w:b/>
          <w:sz w:val="21"/>
        </w:rPr>
      </w:pPr>
    </w:p>
    <w:p>
      <w:pPr>
        <w:spacing w:before="65"/>
        <w:ind w:left="152" w:right="0" w:firstLine="0"/>
        <w:jc w:val="both"/>
        <w:rPr>
          <w:b/>
          <w:sz w:val="28"/>
        </w:rPr>
      </w:pPr>
      <w:bookmarkStart w:name="_bookmark29" w:id="30"/>
      <w:bookmarkEnd w:id="30"/>
      <w:r>
        <w:rPr/>
      </w:r>
      <w:r>
        <w:rPr>
          <w:b/>
          <w:sz w:val="28"/>
        </w:rPr>
        <w:t>RESULTADOS</w:t>
      </w:r>
    </w:p>
    <w:p>
      <w:pPr>
        <w:spacing w:before="51"/>
        <w:ind w:left="152" w:right="0" w:firstLine="0"/>
        <w:jc w:val="both"/>
        <w:rPr>
          <w:b/>
          <w:sz w:val="24"/>
        </w:rPr>
      </w:pPr>
      <w:r>
        <w:rPr>
          <w:b/>
          <w:sz w:val="24"/>
        </w:rPr>
        <w:t>Bacteriológicos y Bioquímicos</w:t>
      </w:r>
    </w:p>
    <w:p>
      <w:pPr>
        <w:pStyle w:val="BodyText"/>
        <w:spacing w:before="2"/>
        <w:rPr>
          <w:b/>
          <w:sz w:val="29"/>
        </w:rPr>
      </w:pPr>
    </w:p>
    <w:p>
      <w:pPr>
        <w:pStyle w:val="BodyText"/>
        <w:spacing w:line="360" w:lineRule="auto"/>
        <w:ind w:left="152" w:right="106"/>
        <w:jc w:val="both"/>
      </w:pPr>
      <w:r>
        <w:rPr/>
        <w:t>Un total de 69 aislamientos de </w:t>
      </w:r>
      <w:r>
        <w:rPr>
          <w:i/>
        </w:rPr>
        <w:t>Corynebacterium pseudotuberculosis </w:t>
      </w:r>
      <w:r>
        <w:rPr/>
        <w:t>identificados mediante Bacteriología (figura 2) de los cuales 1 mostro crecimiento de colonias amarillentas y sin presencia de beta hemolisis (figura 3). En el cuadro 4 se presenta los resultados de acuerdo al tamaño del absceso.</w:t>
      </w:r>
    </w:p>
    <w:p>
      <w:pPr>
        <w:pStyle w:val="BodyText"/>
        <w:rPr>
          <w:sz w:val="20"/>
        </w:rPr>
      </w:pPr>
    </w:p>
    <w:p>
      <w:pPr>
        <w:pStyle w:val="BodyText"/>
        <w:rPr>
          <w:sz w:val="20"/>
        </w:rPr>
      </w:pPr>
    </w:p>
    <w:p>
      <w:pPr>
        <w:pStyle w:val="BodyText"/>
        <w:spacing w:before="10"/>
        <w:rPr>
          <w:sz w:val="27"/>
        </w:rPr>
      </w:pPr>
      <w:r>
        <w:rPr/>
        <w:pict>
          <v:group style="position:absolute;margin-left:140.880005pt;margin-top:18.015844pt;width:347.2pt;height:132pt;mso-position-horizontal-relative:page;mso-position-vertical-relative:paragraph;z-index:1240;mso-wrap-distance-left:0;mso-wrap-distance-right:0" coordorigin="2818,360" coordsize="6944,2640">
            <v:shape style="position:absolute;left:2818;top:389;width:3648;height:2611" type="#_x0000_t75" stroked="false">
              <v:imagedata r:id="rId17" o:title=""/>
            </v:shape>
            <v:shape style="position:absolute;left:6478;top:360;width:3283;height:2630" type="#_x0000_t75" stroked="false">
              <v:imagedata r:id="rId18" o:title=""/>
            </v:shape>
            <w10:wrap type="topAndBottom"/>
          </v:group>
        </w:pict>
      </w:r>
    </w:p>
    <w:p>
      <w:pPr>
        <w:pStyle w:val="BodyText"/>
        <w:spacing w:before="9"/>
        <w:rPr>
          <w:sz w:val="20"/>
        </w:rPr>
      </w:pPr>
    </w:p>
    <w:p>
      <w:pPr>
        <w:pStyle w:val="Heading3"/>
        <w:spacing w:before="0"/>
        <w:ind w:left="179" w:right="139"/>
        <w:jc w:val="center"/>
      </w:pPr>
      <w:bookmarkStart w:name="_bookmark30" w:id="31"/>
      <w:bookmarkEnd w:id="31"/>
      <w:r>
        <w:rPr>
          <w:b w:val="0"/>
        </w:rPr>
      </w:r>
      <w:r>
        <w:rPr/>
        <w:t>Figura 2 Morfología. Colonia de aislado de C. pseudotuberculosis.</w:t>
      </w:r>
    </w:p>
    <w:p>
      <w:pPr>
        <w:pStyle w:val="BodyText"/>
        <w:rPr>
          <w:b/>
          <w:sz w:val="20"/>
        </w:rPr>
      </w:pPr>
    </w:p>
    <w:p>
      <w:pPr>
        <w:pStyle w:val="BodyText"/>
        <w:rPr>
          <w:b/>
          <w:sz w:val="20"/>
        </w:rPr>
      </w:pPr>
    </w:p>
    <w:p>
      <w:pPr>
        <w:pStyle w:val="BodyText"/>
        <w:spacing w:before="11"/>
        <w:rPr>
          <w:b/>
          <w:sz w:val="21"/>
        </w:rPr>
      </w:pPr>
      <w:r>
        <w:rPr/>
        <w:drawing>
          <wp:anchor distT="0" distB="0" distL="0" distR="0" allowOverlap="1" layoutInCell="1" locked="0" behindDoc="0" simplePos="0" relativeHeight="1264">
            <wp:simplePos x="0" y="0"/>
            <wp:positionH relativeFrom="page">
              <wp:posOffset>2822448</wp:posOffset>
            </wp:positionH>
            <wp:positionV relativeFrom="paragraph">
              <wp:posOffset>185280</wp:posOffset>
            </wp:positionV>
            <wp:extent cx="2344849" cy="1905190"/>
            <wp:effectExtent l="0" t="0" r="0" b="0"/>
            <wp:wrapTopAndBottom/>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9" cstate="print"/>
                    <a:stretch>
                      <a:fillRect/>
                    </a:stretch>
                  </pic:blipFill>
                  <pic:spPr>
                    <a:xfrm>
                      <a:off x="0" y="0"/>
                      <a:ext cx="2344849" cy="1905190"/>
                    </a:xfrm>
                    <a:prstGeom prst="rect">
                      <a:avLst/>
                    </a:prstGeom>
                  </pic:spPr>
                </pic:pic>
              </a:graphicData>
            </a:graphic>
          </wp:anchor>
        </w:drawing>
      </w:r>
    </w:p>
    <w:p>
      <w:pPr>
        <w:pStyle w:val="BodyText"/>
        <w:spacing w:before="10"/>
        <w:rPr>
          <w:b/>
          <w:sz w:val="26"/>
        </w:rPr>
      </w:pPr>
    </w:p>
    <w:p>
      <w:pPr>
        <w:spacing w:before="0"/>
        <w:ind w:left="176" w:right="139" w:firstLine="0"/>
        <w:jc w:val="center"/>
        <w:rPr>
          <w:b/>
          <w:sz w:val="24"/>
        </w:rPr>
      </w:pPr>
      <w:bookmarkStart w:name="_bookmark31" w:id="32"/>
      <w:bookmarkEnd w:id="32"/>
      <w:r>
        <w:rPr/>
      </w:r>
      <w:r>
        <w:rPr>
          <w:b/>
          <w:sz w:val="24"/>
        </w:rPr>
        <w:t>Figura 3 Aislado de Corynebacterium spp. Crecimiento colonias amarillas.</w:t>
      </w:r>
    </w:p>
    <w:p>
      <w:pPr>
        <w:spacing w:after="0"/>
        <w:jc w:val="center"/>
        <w:rPr>
          <w:sz w:val="24"/>
        </w:rPr>
        <w:sectPr>
          <w:pgSz w:w="12240" w:h="15840"/>
          <w:pgMar w:header="0" w:footer="1386" w:top="1500" w:bottom="1580" w:left="1720" w:right="1420"/>
        </w:sectPr>
      </w:pPr>
    </w:p>
    <w:p>
      <w:pPr>
        <w:pStyle w:val="BodyText"/>
        <w:spacing w:before="7"/>
        <w:rPr>
          <w:b/>
          <w:sz w:val="29"/>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46"/>
        <w:gridCol w:w="1914"/>
        <w:gridCol w:w="1915"/>
        <w:gridCol w:w="1106"/>
        <w:gridCol w:w="1790"/>
        <w:gridCol w:w="828"/>
      </w:tblGrid>
      <w:tr>
        <w:trPr>
          <w:trHeight w:val="730" w:hRule="exact"/>
        </w:trPr>
        <w:tc>
          <w:tcPr>
            <w:tcW w:w="9299" w:type="dxa"/>
            <w:gridSpan w:val="6"/>
            <w:tcBorders>
              <w:bottom w:val="single" w:sz="4" w:space="0" w:color="000000"/>
            </w:tcBorders>
          </w:tcPr>
          <w:p>
            <w:pPr>
              <w:pStyle w:val="TableParagraph"/>
              <w:spacing w:line="245" w:lineRule="exact" w:before="0"/>
              <w:ind w:left="202" w:right="200"/>
              <w:jc w:val="center"/>
              <w:rPr>
                <w:rFonts w:ascii="Arial" w:hAnsi="Arial"/>
                <w:b/>
                <w:sz w:val="24"/>
              </w:rPr>
            </w:pPr>
            <w:bookmarkStart w:name="_bookmark32" w:id="33"/>
            <w:bookmarkEnd w:id="33"/>
            <w:r>
              <w:rPr/>
            </w:r>
            <w:r>
              <w:rPr>
                <w:rFonts w:ascii="Arial" w:hAnsi="Arial"/>
                <w:b/>
                <w:sz w:val="24"/>
              </w:rPr>
              <w:t>Cuadro 4 Tamaño del absceso y aislamientos obtenidos en ovinos y caprinos</w:t>
            </w:r>
          </w:p>
          <w:p>
            <w:pPr>
              <w:pStyle w:val="TableParagraph"/>
              <w:spacing w:before="2"/>
              <w:ind w:left="202" w:right="197"/>
              <w:jc w:val="center"/>
              <w:rPr>
                <w:rFonts w:ascii="Arial" w:hAnsi="Arial"/>
                <w:b/>
                <w:sz w:val="24"/>
              </w:rPr>
            </w:pPr>
            <w:r>
              <w:rPr>
                <w:rFonts w:ascii="Arial" w:hAnsi="Arial"/>
                <w:b/>
                <w:sz w:val="24"/>
              </w:rPr>
              <w:t>del Estado de Jalisco, México.</w:t>
            </w:r>
          </w:p>
        </w:tc>
      </w:tr>
      <w:tr>
        <w:trPr>
          <w:trHeight w:val="348" w:hRule="exact"/>
        </w:trPr>
        <w:tc>
          <w:tcPr>
            <w:tcW w:w="1746" w:type="dxa"/>
            <w:tcBorders>
              <w:top w:val="single" w:sz="4" w:space="0" w:color="000000"/>
              <w:bottom w:val="single" w:sz="4" w:space="0" w:color="000000"/>
            </w:tcBorders>
          </w:tcPr>
          <w:p>
            <w:pPr/>
          </w:p>
        </w:tc>
        <w:tc>
          <w:tcPr>
            <w:tcW w:w="1914" w:type="dxa"/>
            <w:tcBorders>
              <w:top w:val="single" w:sz="4" w:space="0" w:color="000000"/>
              <w:bottom w:val="single" w:sz="4" w:space="0" w:color="000000"/>
            </w:tcBorders>
          </w:tcPr>
          <w:p>
            <w:pPr>
              <w:pStyle w:val="TableParagraph"/>
              <w:spacing w:before="66"/>
              <w:ind w:left="70"/>
              <w:rPr>
                <w:sz w:val="22"/>
              </w:rPr>
            </w:pPr>
            <w:r>
              <w:rPr>
                <w:sz w:val="22"/>
              </w:rPr>
              <w:t>AISLAMIENTO</w:t>
            </w:r>
          </w:p>
        </w:tc>
        <w:tc>
          <w:tcPr>
            <w:tcW w:w="1915" w:type="dxa"/>
            <w:tcBorders>
              <w:top w:val="single" w:sz="4" w:space="0" w:color="000000"/>
              <w:bottom w:val="single" w:sz="4" w:space="0" w:color="000000"/>
            </w:tcBorders>
          </w:tcPr>
          <w:p>
            <w:pPr/>
          </w:p>
        </w:tc>
        <w:tc>
          <w:tcPr>
            <w:tcW w:w="1106" w:type="dxa"/>
            <w:tcBorders>
              <w:top w:val="single" w:sz="4" w:space="0" w:color="000000"/>
              <w:bottom w:val="single" w:sz="4" w:space="0" w:color="000000"/>
            </w:tcBorders>
          </w:tcPr>
          <w:p>
            <w:pPr/>
          </w:p>
        </w:tc>
        <w:tc>
          <w:tcPr>
            <w:tcW w:w="1790" w:type="dxa"/>
            <w:tcBorders>
              <w:top w:val="single" w:sz="4" w:space="0" w:color="000000"/>
              <w:bottom w:val="single" w:sz="4" w:space="0" w:color="000000"/>
            </w:tcBorders>
          </w:tcPr>
          <w:p>
            <w:pPr/>
          </w:p>
        </w:tc>
        <w:tc>
          <w:tcPr>
            <w:tcW w:w="828" w:type="dxa"/>
            <w:tcBorders>
              <w:top w:val="single" w:sz="4" w:space="0" w:color="000000"/>
              <w:bottom w:val="single" w:sz="4" w:space="0" w:color="000000"/>
            </w:tcBorders>
          </w:tcPr>
          <w:p>
            <w:pPr/>
          </w:p>
        </w:tc>
      </w:tr>
      <w:tr>
        <w:trPr>
          <w:trHeight w:val="686" w:hRule="exact"/>
        </w:trPr>
        <w:tc>
          <w:tcPr>
            <w:tcW w:w="1746" w:type="dxa"/>
            <w:tcBorders>
              <w:top w:val="single" w:sz="4" w:space="0" w:color="000000"/>
              <w:bottom w:val="single" w:sz="4" w:space="0" w:color="000000"/>
            </w:tcBorders>
          </w:tcPr>
          <w:p>
            <w:pPr>
              <w:pStyle w:val="TableParagraph"/>
              <w:tabs>
                <w:tab w:pos="1338" w:val="left" w:leader="none"/>
              </w:tabs>
              <w:spacing w:before="66"/>
              <w:ind w:left="81" w:right="68"/>
              <w:rPr>
                <w:sz w:val="22"/>
              </w:rPr>
            </w:pPr>
            <w:r>
              <w:rPr>
                <w:sz w:val="22"/>
              </w:rPr>
              <w:t>TAMAÑO</w:t>
              <w:tab/>
              <w:t>DEL ABSCESO</w:t>
            </w:r>
          </w:p>
        </w:tc>
        <w:tc>
          <w:tcPr>
            <w:tcW w:w="1914" w:type="dxa"/>
            <w:tcBorders>
              <w:top w:val="single" w:sz="4" w:space="0" w:color="000000"/>
              <w:bottom w:val="single" w:sz="4" w:space="0" w:color="000000"/>
            </w:tcBorders>
          </w:tcPr>
          <w:p>
            <w:pPr>
              <w:pStyle w:val="TableParagraph"/>
              <w:spacing w:before="92"/>
              <w:ind w:left="70"/>
              <w:rPr>
                <w:b/>
                <w:i/>
                <w:sz w:val="20"/>
              </w:rPr>
            </w:pPr>
            <w:r>
              <w:rPr>
                <w:b/>
                <w:i/>
                <w:sz w:val="20"/>
              </w:rPr>
              <w:t>Corynebacterium </w:t>
            </w:r>
            <w:r>
              <w:rPr>
                <w:b/>
                <w:i/>
                <w:w w:val="95"/>
                <w:sz w:val="20"/>
              </w:rPr>
              <w:t>pseudotuberculosis</w:t>
            </w:r>
          </w:p>
        </w:tc>
        <w:tc>
          <w:tcPr>
            <w:tcW w:w="1915" w:type="dxa"/>
            <w:tcBorders>
              <w:top w:val="single" w:sz="4" w:space="0" w:color="000000"/>
              <w:bottom w:val="single" w:sz="4" w:space="0" w:color="000000"/>
            </w:tcBorders>
          </w:tcPr>
          <w:p>
            <w:pPr>
              <w:pStyle w:val="TableParagraph"/>
              <w:spacing w:before="92"/>
              <w:ind w:left="249" w:right="28"/>
              <w:rPr>
                <w:b/>
                <w:i/>
                <w:sz w:val="20"/>
              </w:rPr>
            </w:pPr>
            <w:r>
              <w:rPr>
                <w:b/>
                <w:i/>
                <w:w w:val="95"/>
                <w:sz w:val="20"/>
              </w:rPr>
              <w:t>Corynebacterium </w:t>
            </w:r>
            <w:r>
              <w:rPr>
                <w:b/>
                <w:i/>
                <w:sz w:val="20"/>
              </w:rPr>
              <w:t>Spp</w:t>
            </w:r>
          </w:p>
        </w:tc>
        <w:tc>
          <w:tcPr>
            <w:tcW w:w="1106" w:type="dxa"/>
            <w:tcBorders>
              <w:top w:val="single" w:sz="4" w:space="0" w:color="000000"/>
              <w:bottom w:val="single" w:sz="4" w:space="0" w:color="000000"/>
            </w:tcBorders>
          </w:tcPr>
          <w:p>
            <w:pPr>
              <w:pStyle w:val="TableParagraph"/>
              <w:spacing w:before="92"/>
              <w:ind w:left="243"/>
              <w:rPr>
                <w:b/>
                <w:i/>
                <w:sz w:val="20"/>
              </w:rPr>
            </w:pPr>
            <w:r>
              <w:rPr>
                <w:b/>
                <w:i/>
                <w:w w:val="95"/>
                <w:sz w:val="20"/>
              </w:rPr>
              <w:t>Proteus </w:t>
            </w:r>
            <w:r>
              <w:rPr>
                <w:b/>
                <w:i/>
                <w:sz w:val="20"/>
              </w:rPr>
              <w:t>spp</w:t>
            </w:r>
          </w:p>
        </w:tc>
        <w:tc>
          <w:tcPr>
            <w:tcW w:w="1790" w:type="dxa"/>
            <w:tcBorders>
              <w:top w:val="single" w:sz="4" w:space="0" w:color="000000"/>
              <w:bottom w:val="single" w:sz="4" w:space="0" w:color="000000"/>
            </w:tcBorders>
          </w:tcPr>
          <w:p>
            <w:pPr>
              <w:pStyle w:val="TableParagraph"/>
              <w:spacing w:before="8"/>
              <w:ind w:left="0"/>
              <w:rPr>
                <w:rFonts w:ascii="Arial"/>
                <w:b/>
                <w:sz w:val="18"/>
              </w:rPr>
            </w:pPr>
          </w:p>
          <w:p>
            <w:pPr>
              <w:pStyle w:val="TableParagraph"/>
              <w:spacing w:before="0"/>
              <w:ind w:left="229"/>
              <w:rPr>
                <w:b/>
                <w:i/>
                <w:sz w:val="20"/>
              </w:rPr>
            </w:pPr>
            <w:r>
              <w:rPr>
                <w:b/>
                <w:i/>
                <w:sz w:val="20"/>
              </w:rPr>
              <w:t>Streptoccocus spp</w:t>
            </w:r>
          </w:p>
        </w:tc>
        <w:tc>
          <w:tcPr>
            <w:tcW w:w="828" w:type="dxa"/>
            <w:tcBorders>
              <w:top w:val="single" w:sz="4" w:space="0" w:color="000000"/>
              <w:bottom w:val="single" w:sz="4" w:space="0" w:color="000000"/>
            </w:tcBorders>
          </w:tcPr>
          <w:p>
            <w:pPr>
              <w:pStyle w:val="TableParagraph"/>
              <w:spacing w:before="8"/>
              <w:ind w:left="0"/>
              <w:rPr>
                <w:rFonts w:ascii="Arial"/>
                <w:b/>
                <w:sz w:val="18"/>
              </w:rPr>
            </w:pPr>
          </w:p>
          <w:p>
            <w:pPr>
              <w:pStyle w:val="TableParagraph"/>
              <w:spacing w:before="0"/>
              <w:ind w:left="79"/>
              <w:rPr>
                <w:b/>
                <w:sz w:val="20"/>
              </w:rPr>
            </w:pPr>
            <w:r>
              <w:rPr>
                <w:b/>
                <w:sz w:val="20"/>
              </w:rPr>
              <w:t>TOTAL</w:t>
            </w:r>
          </w:p>
        </w:tc>
      </w:tr>
      <w:tr>
        <w:trPr>
          <w:trHeight w:val="359" w:hRule="exact"/>
        </w:trPr>
        <w:tc>
          <w:tcPr>
            <w:tcW w:w="1746" w:type="dxa"/>
            <w:tcBorders>
              <w:top w:val="single" w:sz="4" w:space="0" w:color="000000"/>
            </w:tcBorders>
          </w:tcPr>
          <w:p>
            <w:pPr>
              <w:pStyle w:val="TableParagraph"/>
              <w:spacing w:before="30"/>
              <w:ind w:left="81"/>
              <w:rPr>
                <w:b/>
                <w:sz w:val="22"/>
              </w:rPr>
            </w:pPr>
            <w:r>
              <w:rPr>
                <w:b/>
                <w:sz w:val="22"/>
              </w:rPr>
              <w:t>&lt; 5 CM</w:t>
            </w:r>
          </w:p>
        </w:tc>
        <w:tc>
          <w:tcPr>
            <w:tcW w:w="1914" w:type="dxa"/>
            <w:tcBorders>
              <w:top w:val="single" w:sz="4" w:space="0" w:color="000000"/>
            </w:tcBorders>
          </w:tcPr>
          <w:p>
            <w:pPr>
              <w:pStyle w:val="TableParagraph"/>
              <w:spacing w:before="30"/>
              <w:ind w:left="70"/>
              <w:rPr>
                <w:sz w:val="22"/>
              </w:rPr>
            </w:pPr>
            <w:r>
              <w:rPr>
                <w:sz w:val="22"/>
              </w:rPr>
              <w:t>53</w:t>
            </w:r>
          </w:p>
        </w:tc>
        <w:tc>
          <w:tcPr>
            <w:tcW w:w="1915" w:type="dxa"/>
            <w:tcBorders>
              <w:top w:val="single" w:sz="4" w:space="0" w:color="000000"/>
            </w:tcBorders>
          </w:tcPr>
          <w:p>
            <w:pPr>
              <w:pStyle w:val="TableParagraph"/>
              <w:spacing w:before="30"/>
              <w:ind w:left="249"/>
              <w:rPr>
                <w:sz w:val="22"/>
              </w:rPr>
            </w:pPr>
            <w:r>
              <w:rPr>
                <w:w w:val="100"/>
                <w:sz w:val="22"/>
              </w:rPr>
              <w:t>2</w:t>
            </w:r>
          </w:p>
        </w:tc>
        <w:tc>
          <w:tcPr>
            <w:tcW w:w="1106" w:type="dxa"/>
            <w:tcBorders>
              <w:top w:val="single" w:sz="4" w:space="0" w:color="000000"/>
            </w:tcBorders>
          </w:tcPr>
          <w:p>
            <w:pPr>
              <w:pStyle w:val="TableParagraph"/>
              <w:spacing w:before="30"/>
              <w:ind w:left="243"/>
              <w:rPr>
                <w:sz w:val="22"/>
              </w:rPr>
            </w:pPr>
            <w:r>
              <w:rPr>
                <w:sz w:val="22"/>
              </w:rPr>
              <w:t>15</w:t>
            </w:r>
          </w:p>
        </w:tc>
        <w:tc>
          <w:tcPr>
            <w:tcW w:w="1790" w:type="dxa"/>
            <w:tcBorders>
              <w:top w:val="single" w:sz="4" w:space="0" w:color="000000"/>
            </w:tcBorders>
          </w:tcPr>
          <w:p>
            <w:pPr>
              <w:pStyle w:val="TableParagraph"/>
              <w:spacing w:before="30"/>
              <w:ind w:left="229"/>
              <w:rPr>
                <w:sz w:val="22"/>
              </w:rPr>
            </w:pPr>
            <w:r>
              <w:rPr>
                <w:w w:val="100"/>
                <w:sz w:val="22"/>
              </w:rPr>
              <w:t>4</w:t>
            </w:r>
          </w:p>
        </w:tc>
        <w:tc>
          <w:tcPr>
            <w:tcW w:w="828" w:type="dxa"/>
            <w:tcBorders>
              <w:top w:val="single" w:sz="4" w:space="0" w:color="000000"/>
            </w:tcBorders>
          </w:tcPr>
          <w:p>
            <w:pPr>
              <w:pStyle w:val="TableParagraph"/>
              <w:spacing w:before="30"/>
              <w:ind w:left="79"/>
              <w:rPr>
                <w:b/>
                <w:sz w:val="22"/>
              </w:rPr>
            </w:pPr>
            <w:r>
              <w:rPr>
                <w:b/>
                <w:sz w:val="22"/>
              </w:rPr>
              <w:t>74</w:t>
            </w:r>
          </w:p>
        </w:tc>
      </w:tr>
      <w:tr>
        <w:trPr>
          <w:trHeight w:val="338" w:hRule="exact"/>
        </w:trPr>
        <w:tc>
          <w:tcPr>
            <w:tcW w:w="1746" w:type="dxa"/>
          </w:tcPr>
          <w:p>
            <w:pPr>
              <w:pStyle w:val="TableParagraph"/>
              <w:spacing w:before="15"/>
              <w:ind w:left="81"/>
              <w:rPr>
                <w:b/>
                <w:sz w:val="22"/>
              </w:rPr>
            </w:pPr>
            <w:r>
              <w:rPr>
                <w:b/>
                <w:sz w:val="22"/>
              </w:rPr>
              <w:t>5.1 - 10 CM</w:t>
            </w:r>
          </w:p>
        </w:tc>
        <w:tc>
          <w:tcPr>
            <w:tcW w:w="1914" w:type="dxa"/>
          </w:tcPr>
          <w:p>
            <w:pPr>
              <w:pStyle w:val="TableParagraph"/>
              <w:spacing w:before="15"/>
              <w:ind w:left="70"/>
              <w:rPr>
                <w:sz w:val="22"/>
              </w:rPr>
            </w:pPr>
            <w:r>
              <w:rPr>
                <w:sz w:val="22"/>
              </w:rPr>
              <w:t>11</w:t>
            </w:r>
          </w:p>
        </w:tc>
        <w:tc>
          <w:tcPr>
            <w:tcW w:w="1915" w:type="dxa"/>
          </w:tcPr>
          <w:p>
            <w:pPr>
              <w:pStyle w:val="TableParagraph"/>
              <w:spacing w:before="15"/>
              <w:ind w:left="249"/>
              <w:rPr>
                <w:sz w:val="22"/>
              </w:rPr>
            </w:pPr>
            <w:r>
              <w:rPr>
                <w:w w:val="100"/>
                <w:sz w:val="22"/>
              </w:rPr>
              <w:t>1</w:t>
            </w:r>
          </w:p>
        </w:tc>
        <w:tc>
          <w:tcPr>
            <w:tcW w:w="1106" w:type="dxa"/>
          </w:tcPr>
          <w:p>
            <w:pPr>
              <w:pStyle w:val="TableParagraph"/>
              <w:spacing w:before="15"/>
              <w:ind w:left="243"/>
              <w:rPr>
                <w:sz w:val="22"/>
              </w:rPr>
            </w:pPr>
            <w:r>
              <w:rPr>
                <w:w w:val="100"/>
                <w:sz w:val="22"/>
              </w:rPr>
              <w:t>7</w:t>
            </w:r>
          </w:p>
        </w:tc>
        <w:tc>
          <w:tcPr>
            <w:tcW w:w="1790" w:type="dxa"/>
          </w:tcPr>
          <w:p>
            <w:pPr>
              <w:pStyle w:val="TableParagraph"/>
              <w:spacing w:before="15"/>
              <w:ind w:left="229"/>
              <w:rPr>
                <w:sz w:val="22"/>
              </w:rPr>
            </w:pPr>
            <w:r>
              <w:rPr>
                <w:w w:val="100"/>
                <w:sz w:val="22"/>
              </w:rPr>
              <w:t>2</w:t>
            </w:r>
          </w:p>
        </w:tc>
        <w:tc>
          <w:tcPr>
            <w:tcW w:w="828" w:type="dxa"/>
          </w:tcPr>
          <w:p>
            <w:pPr>
              <w:pStyle w:val="TableParagraph"/>
              <w:spacing w:before="15"/>
              <w:ind w:left="79"/>
              <w:rPr>
                <w:b/>
                <w:sz w:val="22"/>
              </w:rPr>
            </w:pPr>
            <w:r>
              <w:rPr>
                <w:b/>
                <w:sz w:val="22"/>
              </w:rPr>
              <w:t>21</w:t>
            </w:r>
          </w:p>
        </w:tc>
      </w:tr>
      <w:tr>
        <w:trPr>
          <w:trHeight w:val="325" w:hRule="exact"/>
        </w:trPr>
        <w:tc>
          <w:tcPr>
            <w:tcW w:w="1746" w:type="dxa"/>
            <w:tcBorders>
              <w:bottom w:val="single" w:sz="4" w:space="0" w:color="000000"/>
            </w:tcBorders>
          </w:tcPr>
          <w:p>
            <w:pPr>
              <w:pStyle w:val="TableParagraph"/>
              <w:spacing w:before="15"/>
              <w:ind w:left="81"/>
              <w:rPr>
                <w:b/>
                <w:sz w:val="22"/>
              </w:rPr>
            </w:pPr>
            <w:r>
              <w:rPr>
                <w:b/>
                <w:sz w:val="22"/>
              </w:rPr>
              <w:t>Sin determinar</w:t>
            </w:r>
          </w:p>
        </w:tc>
        <w:tc>
          <w:tcPr>
            <w:tcW w:w="1914" w:type="dxa"/>
            <w:tcBorders>
              <w:bottom w:val="single" w:sz="4" w:space="0" w:color="000000"/>
            </w:tcBorders>
          </w:tcPr>
          <w:p>
            <w:pPr>
              <w:pStyle w:val="TableParagraph"/>
              <w:spacing w:before="15"/>
              <w:ind w:left="70"/>
              <w:rPr>
                <w:sz w:val="22"/>
              </w:rPr>
            </w:pPr>
            <w:r>
              <w:rPr>
                <w:w w:val="100"/>
                <w:sz w:val="22"/>
              </w:rPr>
              <w:t>5</w:t>
            </w:r>
          </w:p>
        </w:tc>
        <w:tc>
          <w:tcPr>
            <w:tcW w:w="1915" w:type="dxa"/>
            <w:tcBorders>
              <w:bottom w:val="single" w:sz="4" w:space="0" w:color="000000"/>
            </w:tcBorders>
          </w:tcPr>
          <w:p>
            <w:pPr>
              <w:pStyle w:val="TableParagraph"/>
              <w:spacing w:before="15"/>
              <w:ind w:left="249"/>
              <w:rPr>
                <w:sz w:val="22"/>
              </w:rPr>
            </w:pPr>
            <w:r>
              <w:rPr>
                <w:w w:val="100"/>
                <w:sz w:val="22"/>
              </w:rPr>
              <w:t>0</w:t>
            </w:r>
          </w:p>
        </w:tc>
        <w:tc>
          <w:tcPr>
            <w:tcW w:w="1106" w:type="dxa"/>
            <w:tcBorders>
              <w:bottom w:val="single" w:sz="4" w:space="0" w:color="000000"/>
            </w:tcBorders>
          </w:tcPr>
          <w:p>
            <w:pPr>
              <w:pStyle w:val="TableParagraph"/>
              <w:spacing w:before="15"/>
              <w:ind w:left="243"/>
              <w:rPr>
                <w:sz w:val="22"/>
              </w:rPr>
            </w:pPr>
            <w:r>
              <w:rPr>
                <w:w w:val="100"/>
                <w:sz w:val="22"/>
              </w:rPr>
              <w:t>2</w:t>
            </w:r>
          </w:p>
        </w:tc>
        <w:tc>
          <w:tcPr>
            <w:tcW w:w="1790" w:type="dxa"/>
            <w:tcBorders>
              <w:bottom w:val="single" w:sz="4" w:space="0" w:color="000000"/>
            </w:tcBorders>
          </w:tcPr>
          <w:p>
            <w:pPr>
              <w:pStyle w:val="TableParagraph"/>
              <w:spacing w:before="15"/>
              <w:ind w:left="229"/>
              <w:rPr>
                <w:sz w:val="22"/>
              </w:rPr>
            </w:pPr>
            <w:r>
              <w:rPr>
                <w:w w:val="100"/>
                <w:sz w:val="22"/>
              </w:rPr>
              <w:t>1</w:t>
            </w:r>
          </w:p>
        </w:tc>
        <w:tc>
          <w:tcPr>
            <w:tcW w:w="828" w:type="dxa"/>
            <w:tcBorders>
              <w:bottom w:val="single" w:sz="4" w:space="0" w:color="000000"/>
            </w:tcBorders>
          </w:tcPr>
          <w:p>
            <w:pPr>
              <w:pStyle w:val="TableParagraph"/>
              <w:spacing w:before="15"/>
              <w:ind w:left="79"/>
              <w:rPr>
                <w:b/>
                <w:sz w:val="22"/>
              </w:rPr>
            </w:pPr>
            <w:r>
              <w:rPr>
                <w:b/>
                <w:w w:val="100"/>
                <w:sz w:val="22"/>
              </w:rPr>
              <w:t>8</w:t>
            </w:r>
          </w:p>
        </w:tc>
      </w:tr>
      <w:tr>
        <w:trPr>
          <w:trHeight w:val="349" w:hRule="exact"/>
        </w:trPr>
        <w:tc>
          <w:tcPr>
            <w:tcW w:w="1746" w:type="dxa"/>
            <w:tcBorders>
              <w:top w:val="single" w:sz="4" w:space="0" w:color="000000"/>
              <w:bottom w:val="single" w:sz="4" w:space="0" w:color="000000"/>
            </w:tcBorders>
          </w:tcPr>
          <w:p>
            <w:pPr>
              <w:pStyle w:val="TableParagraph"/>
              <w:spacing w:before="33"/>
              <w:ind w:left="81"/>
              <w:rPr>
                <w:b/>
                <w:sz w:val="22"/>
              </w:rPr>
            </w:pPr>
            <w:r>
              <w:rPr>
                <w:b/>
                <w:sz w:val="22"/>
              </w:rPr>
              <w:t>TOTAL</w:t>
            </w:r>
          </w:p>
        </w:tc>
        <w:tc>
          <w:tcPr>
            <w:tcW w:w="1914" w:type="dxa"/>
            <w:tcBorders>
              <w:top w:val="single" w:sz="4" w:space="0" w:color="000000"/>
              <w:bottom w:val="single" w:sz="4" w:space="0" w:color="000000"/>
            </w:tcBorders>
          </w:tcPr>
          <w:p>
            <w:pPr>
              <w:pStyle w:val="TableParagraph"/>
              <w:spacing w:before="33"/>
              <w:ind w:left="70"/>
              <w:rPr>
                <w:b/>
                <w:sz w:val="22"/>
              </w:rPr>
            </w:pPr>
            <w:r>
              <w:rPr>
                <w:b/>
                <w:sz w:val="22"/>
              </w:rPr>
              <w:t>69</w:t>
            </w:r>
          </w:p>
        </w:tc>
        <w:tc>
          <w:tcPr>
            <w:tcW w:w="1915" w:type="dxa"/>
            <w:tcBorders>
              <w:top w:val="single" w:sz="4" w:space="0" w:color="000000"/>
              <w:bottom w:val="single" w:sz="4" w:space="0" w:color="000000"/>
            </w:tcBorders>
          </w:tcPr>
          <w:p>
            <w:pPr>
              <w:pStyle w:val="TableParagraph"/>
              <w:spacing w:before="33"/>
              <w:ind w:left="249"/>
              <w:rPr>
                <w:b/>
                <w:sz w:val="22"/>
              </w:rPr>
            </w:pPr>
            <w:r>
              <w:rPr>
                <w:b/>
                <w:w w:val="100"/>
                <w:sz w:val="22"/>
              </w:rPr>
              <w:t>3</w:t>
            </w:r>
          </w:p>
        </w:tc>
        <w:tc>
          <w:tcPr>
            <w:tcW w:w="1106" w:type="dxa"/>
            <w:tcBorders>
              <w:top w:val="single" w:sz="4" w:space="0" w:color="000000"/>
              <w:bottom w:val="single" w:sz="4" w:space="0" w:color="000000"/>
            </w:tcBorders>
          </w:tcPr>
          <w:p>
            <w:pPr>
              <w:pStyle w:val="TableParagraph"/>
              <w:spacing w:before="33"/>
              <w:ind w:left="243"/>
              <w:rPr>
                <w:b/>
                <w:sz w:val="22"/>
              </w:rPr>
            </w:pPr>
            <w:r>
              <w:rPr>
                <w:b/>
                <w:sz w:val="22"/>
              </w:rPr>
              <w:t>24</w:t>
            </w:r>
          </w:p>
        </w:tc>
        <w:tc>
          <w:tcPr>
            <w:tcW w:w="1790" w:type="dxa"/>
            <w:tcBorders>
              <w:top w:val="single" w:sz="4" w:space="0" w:color="000000"/>
              <w:bottom w:val="single" w:sz="4" w:space="0" w:color="000000"/>
            </w:tcBorders>
          </w:tcPr>
          <w:p>
            <w:pPr>
              <w:pStyle w:val="TableParagraph"/>
              <w:spacing w:before="33"/>
              <w:ind w:left="229"/>
              <w:rPr>
                <w:b/>
                <w:sz w:val="22"/>
              </w:rPr>
            </w:pPr>
            <w:r>
              <w:rPr>
                <w:b/>
                <w:w w:val="100"/>
                <w:sz w:val="22"/>
              </w:rPr>
              <w:t>7</w:t>
            </w:r>
          </w:p>
        </w:tc>
        <w:tc>
          <w:tcPr>
            <w:tcW w:w="828" w:type="dxa"/>
            <w:tcBorders>
              <w:top w:val="single" w:sz="4" w:space="0" w:color="000000"/>
              <w:bottom w:val="single" w:sz="4" w:space="0" w:color="000000"/>
            </w:tcBorders>
          </w:tcPr>
          <w:p>
            <w:pPr>
              <w:pStyle w:val="TableParagraph"/>
              <w:spacing w:before="33"/>
              <w:ind w:left="79"/>
              <w:rPr>
                <w:b/>
                <w:sz w:val="22"/>
              </w:rPr>
            </w:pPr>
            <w:r>
              <w:rPr>
                <w:b/>
                <w:sz w:val="22"/>
              </w:rPr>
              <w:t>103</w:t>
            </w:r>
          </w:p>
        </w:tc>
      </w:tr>
    </w:tbl>
    <w:p>
      <w:pPr>
        <w:pStyle w:val="BodyText"/>
        <w:rPr>
          <w:b/>
          <w:sz w:val="20"/>
        </w:rPr>
      </w:pPr>
    </w:p>
    <w:p>
      <w:pPr>
        <w:pStyle w:val="BodyText"/>
        <w:spacing w:before="2"/>
        <w:rPr>
          <w:b/>
          <w:sz w:val="27"/>
        </w:rPr>
      </w:pPr>
    </w:p>
    <w:p>
      <w:pPr>
        <w:pStyle w:val="BodyText"/>
        <w:spacing w:line="360" w:lineRule="auto" w:before="70"/>
        <w:ind w:left="352" w:right="328"/>
        <w:jc w:val="both"/>
      </w:pPr>
      <w:r>
        <w:rPr/>
        <w:t>En la figura 4 se muestran los tipos de exudados obtenidos y mencionados en la tabla 1. Nótese que para el caso de </w:t>
      </w:r>
      <w:r>
        <w:rPr>
          <w:i/>
        </w:rPr>
        <w:t>C. pseudotuberculosis </w:t>
      </w:r>
      <w:r>
        <w:rPr/>
        <w:t>se obtuvieron el 44.9 % (30/69) de los aislamientos de exudado seropurulento y solo el 17.4 % (12/69) del exudado caseoso (Cuadro 5).</w:t>
      </w:r>
    </w:p>
    <w:p>
      <w:pPr>
        <w:pStyle w:val="BodyText"/>
        <w:rPr>
          <w:sz w:val="20"/>
        </w:rPr>
      </w:pPr>
    </w:p>
    <w:p>
      <w:pPr>
        <w:pStyle w:val="BodyText"/>
        <w:rPr>
          <w:sz w:val="20"/>
        </w:rPr>
      </w:pPr>
    </w:p>
    <w:p>
      <w:pPr>
        <w:pStyle w:val="BodyText"/>
        <w:spacing w:before="7"/>
        <w:rPr>
          <w:sz w:val="27"/>
        </w:rPr>
      </w:pPr>
      <w:r>
        <w:rPr/>
        <w:drawing>
          <wp:anchor distT="0" distB="0" distL="0" distR="0" allowOverlap="1" layoutInCell="1" locked="0" behindDoc="0" simplePos="0" relativeHeight="1288">
            <wp:simplePos x="0" y="0"/>
            <wp:positionH relativeFrom="page">
              <wp:posOffset>2118360</wp:posOffset>
            </wp:positionH>
            <wp:positionV relativeFrom="paragraph">
              <wp:posOffset>226896</wp:posOffset>
            </wp:positionV>
            <wp:extent cx="3749118" cy="3198495"/>
            <wp:effectExtent l="0" t="0" r="0" b="0"/>
            <wp:wrapTopAndBottom/>
            <wp:docPr id="13" name="image8.png" descr=""/>
            <wp:cNvGraphicFramePr>
              <a:graphicFrameLocks noChangeAspect="1"/>
            </wp:cNvGraphicFramePr>
            <a:graphic>
              <a:graphicData uri="http://schemas.openxmlformats.org/drawingml/2006/picture">
                <pic:pic>
                  <pic:nvPicPr>
                    <pic:cNvPr id="14" name="image8.png"/>
                    <pic:cNvPicPr/>
                  </pic:nvPicPr>
                  <pic:blipFill>
                    <a:blip r:embed="rId20" cstate="print"/>
                    <a:stretch>
                      <a:fillRect/>
                    </a:stretch>
                  </pic:blipFill>
                  <pic:spPr>
                    <a:xfrm>
                      <a:off x="0" y="0"/>
                      <a:ext cx="3749118" cy="3198495"/>
                    </a:xfrm>
                    <a:prstGeom prst="rect">
                      <a:avLst/>
                    </a:prstGeom>
                  </pic:spPr>
                </pic:pic>
              </a:graphicData>
            </a:graphic>
          </wp:anchor>
        </w:drawing>
      </w:r>
    </w:p>
    <w:p>
      <w:pPr>
        <w:pStyle w:val="Heading3"/>
        <w:spacing w:line="242" w:lineRule="auto" w:before="0"/>
        <w:ind w:left="2510" w:right="593" w:hanging="1872"/>
        <w:jc w:val="left"/>
      </w:pPr>
      <w:bookmarkStart w:name="_bookmark33" w:id="34"/>
      <w:bookmarkEnd w:id="34"/>
      <w:r>
        <w:rPr>
          <w:b w:val="0"/>
        </w:rPr>
      </w:r>
      <w:r>
        <w:rPr/>
        <w:t>Figura 4 Tipos de exudado obtenidos de abscesos cutáneos en ovinos y caprinos del Estado de Jalisco, México.</w:t>
      </w:r>
    </w:p>
    <w:p>
      <w:pPr>
        <w:spacing w:after="0" w:line="242" w:lineRule="auto"/>
        <w:jc w:val="left"/>
        <w:sectPr>
          <w:pgSz w:w="12240" w:h="15840"/>
          <w:pgMar w:header="0" w:footer="1386" w:top="1500" w:bottom="1580" w:left="1520" w:right="1200"/>
        </w:sectPr>
      </w:pPr>
    </w:p>
    <w:p>
      <w:pPr>
        <w:pStyle w:val="BodyText"/>
        <w:spacing w:before="11"/>
        <w:rPr>
          <w:b/>
          <w:sz w:val="20"/>
        </w:rPr>
      </w:pPr>
    </w:p>
    <w:p>
      <w:pPr>
        <w:pStyle w:val="Heading3"/>
        <w:spacing w:line="242" w:lineRule="auto"/>
        <w:ind w:left="1309" w:right="837" w:hanging="435"/>
        <w:jc w:val="left"/>
      </w:pPr>
      <w:bookmarkStart w:name="_bookmark34" w:id="35"/>
      <w:bookmarkEnd w:id="35"/>
      <w:r>
        <w:rPr>
          <w:b w:val="0"/>
        </w:rPr>
      </w:r>
      <w:r>
        <w:rPr/>
        <w:t>Cuadro 5 Resultado Bacteriológico por tipo de exudado de abscesos cutáneos en ovinos y caprinos del estado de Jalisco, México.</w:t>
      </w:r>
    </w:p>
    <w:p>
      <w:pPr>
        <w:pStyle w:val="BodyText"/>
        <w:rPr>
          <w:b/>
          <w:sz w:val="20"/>
        </w:rPr>
      </w:pPr>
    </w:p>
    <w:p>
      <w:pPr>
        <w:pStyle w:val="BodyText"/>
        <w:spacing w:before="3"/>
        <w:rPr>
          <w:b/>
          <w:sz w:val="21"/>
        </w:rPr>
      </w:pPr>
    </w:p>
    <w:tbl>
      <w:tblPr>
        <w:tblW w:w="0" w:type="auto"/>
        <w:jc w:val="left"/>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8"/>
        <w:gridCol w:w="1382"/>
        <w:gridCol w:w="826"/>
        <w:gridCol w:w="998"/>
        <w:gridCol w:w="1389"/>
        <w:gridCol w:w="869"/>
        <w:gridCol w:w="844"/>
        <w:gridCol w:w="1075"/>
      </w:tblGrid>
      <w:tr>
        <w:trPr>
          <w:trHeight w:val="310" w:hRule="exact"/>
        </w:trPr>
        <w:tc>
          <w:tcPr>
            <w:tcW w:w="1988" w:type="dxa"/>
            <w:tcBorders>
              <w:left w:val="nil"/>
              <w:right w:val="nil"/>
            </w:tcBorders>
          </w:tcPr>
          <w:p>
            <w:pPr/>
          </w:p>
        </w:tc>
        <w:tc>
          <w:tcPr>
            <w:tcW w:w="1382" w:type="dxa"/>
            <w:tcBorders>
              <w:left w:val="nil"/>
              <w:right w:val="nil"/>
            </w:tcBorders>
          </w:tcPr>
          <w:p>
            <w:pPr>
              <w:pStyle w:val="TableParagraph"/>
              <w:spacing w:before="56"/>
              <w:ind w:left="109"/>
              <w:rPr>
                <w:b/>
                <w:sz w:val="20"/>
              </w:rPr>
            </w:pPr>
            <w:r>
              <w:rPr>
                <w:b/>
                <w:sz w:val="20"/>
              </w:rPr>
              <w:t>Seropurulento</w:t>
            </w:r>
          </w:p>
        </w:tc>
        <w:tc>
          <w:tcPr>
            <w:tcW w:w="826" w:type="dxa"/>
            <w:tcBorders>
              <w:left w:val="nil"/>
              <w:right w:val="nil"/>
            </w:tcBorders>
          </w:tcPr>
          <w:p>
            <w:pPr>
              <w:pStyle w:val="TableParagraph"/>
              <w:spacing w:before="56"/>
              <w:ind w:left="73"/>
              <w:rPr>
                <w:b/>
                <w:sz w:val="20"/>
              </w:rPr>
            </w:pPr>
            <w:r>
              <w:rPr>
                <w:b/>
                <w:sz w:val="20"/>
              </w:rPr>
              <w:t>Caseoso</w:t>
            </w:r>
          </w:p>
        </w:tc>
        <w:tc>
          <w:tcPr>
            <w:tcW w:w="998" w:type="dxa"/>
            <w:tcBorders>
              <w:left w:val="nil"/>
              <w:right w:val="nil"/>
            </w:tcBorders>
          </w:tcPr>
          <w:p>
            <w:pPr>
              <w:pStyle w:val="TableParagraph"/>
              <w:spacing w:before="56"/>
              <w:ind w:left="73"/>
              <w:rPr>
                <w:b/>
                <w:sz w:val="20"/>
              </w:rPr>
            </w:pPr>
            <w:r>
              <w:rPr>
                <w:b/>
                <w:sz w:val="20"/>
              </w:rPr>
              <w:t>Purulento</w:t>
            </w:r>
          </w:p>
        </w:tc>
        <w:tc>
          <w:tcPr>
            <w:tcW w:w="1389" w:type="dxa"/>
            <w:tcBorders>
              <w:left w:val="nil"/>
              <w:right w:val="nil"/>
            </w:tcBorders>
          </w:tcPr>
          <w:p>
            <w:pPr>
              <w:pStyle w:val="TableParagraph"/>
              <w:spacing w:before="56"/>
              <w:ind w:left="98"/>
              <w:rPr>
                <w:b/>
                <w:sz w:val="20"/>
              </w:rPr>
            </w:pPr>
            <w:r>
              <w:rPr>
                <w:b/>
                <w:sz w:val="20"/>
              </w:rPr>
              <w:t>Sanguinolento</w:t>
            </w:r>
          </w:p>
        </w:tc>
        <w:tc>
          <w:tcPr>
            <w:tcW w:w="869" w:type="dxa"/>
            <w:tcBorders>
              <w:left w:val="nil"/>
              <w:right w:val="nil"/>
            </w:tcBorders>
          </w:tcPr>
          <w:p>
            <w:pPr>
              <w:pStyle w:val="TableParagraph"/>
              <w:spacing w:before="56"/>
              <w:ind w:left="92"/>
              <w:rPr>
                <w:b/>
                <w:sz w:val="20"/>
              </w:rPr>
            </w:pPr>
            <w:r>
              <w:rPr>
                <w:b/>
                <w:sz w:val="20"/>
              </w:rPr>
              <w:t>Seroso</w:t>
            </w:r>
          </w:p>
        </w:tc>
        <w:tc>
          <w:tcPr>
            <w:tcW w:w="844" w:type="dxa"/>
            <w:tcBorders>
              <w:left w:val="nil"/>
              <w:right w:val="nil"/>
            </w:tcBorders>
          </w:tcPr>
          <w:p>
            <w:pPr>
              <w:pStyle w:val="TableParagraph"/>
              <w:spacing w:before="56"/>
              <w:ind w:left="216"/>
              <w:rPr>
                <w:b/>
                <w:sz w:val="20"/>
              </w:rPr>
            </w:pPr>
            <w:r>
              <w:rPr>
                <w:b/>
                <w:sz w:val="20"/>
              </w:rPr>
              <w:t>S/D*</w:t>
            </w:r>
          </w:p>
        </w:tc>
        <w:tc>
          <w:tcPr>
            <w:tcW w:w="1075" w:type="dxa"/>
            <w:tcBorders>
              <w:left w:val="nil"/>
              <w:right w:val="nil"/>
            </w:tcBorders>
          </w:tcPr>
          <w:p>
            <w:pPr>
              <w:pStyle w:val="TableParagraph"/>
              <w:spacing w:before="56"/>
              <w:ind w:left="223"/>
              <w:rPr>
                <w:b/>
                <w:sz w:val="20"/>
              </w:rPr>
            </w:pPr>
            <w:r>
              <w:rPr>
                <w:b/>
                <w:sz w:val="20"/>
              </w:rPr>
              <w:t>Total</w:t>
            </w:r>
          </w:p>
        </w:tc>
      </w:tr>
      <w:tr>
        <w:trPr>
          <w:trHeight w:val="341" w:hRule="exact"/>
        </w:trPr>
        <w:tc>
          <w:tcPr>
            <w:tcW w:w="1988" w:type="dxa"/>
            <w:tcBorders>
              <w:left w:val="nil"/>
              <w:bottom w:val="nil"/>
              <w:right w:val="nil"/>
            </w:tcBorders>
          </w:tcPr>
          <w:p>
            <w:pPr>
              <w:pStyle w:val="TableParagraph"/>
              <w:spacing w:before="56"/>
              <w:ind w:left="84"/>
              <w:rPr>
                <w:b/>
                <w:i/>
                <w:sz w:val="20"/>
              </w:rPr>
            </w:pPr>
            <w:r>
              <w:rPr>
                <w:b/>
                <w:i/>
                <w:sz w:val="20"/>
              </w:rPr>
              <w:t>C. pseudotuberculosis</w:t>
            </w:r>
          </w:p>
        </w:tc>
        <w:tc>
          <w:tcPr>
            <w:tcW w:w="1382" w:type="dxa"/>
            <w:tcBorders>
              <w:left w:val="nil"/>
              <w:bottom w:val="nil"/>
              <w:right w:val="nil"/>
            </w:tcBorders>
          </w:tcPr>
          <w:p>
            <w:pPr>
              <w:pStyle w:val="TableParagraph"/>
              <w:spacing w:before="30"/>
              <w:ind w:left="109"/>
              <w:rPr>
                <w:sz w:val="22"/>
              </w:rPr>
            </w:pPr>
            <w:r>
              <w:rPr>
                <w:sz w:val="22"/>
              </w:rPr>
              <w:t>30</w:t>
            </w:r>
          </w:p>
        </w:tc>
        <w:tc>
          <w:tcPr>
            <w:tcW w:w="826" w:type="dxa"/>
            <w:tcBorders>
              <w:left w:val="nil"/>
              <w:bottom w:val="nil"/>
              <w:right w:val="nil"/>
            </w:tcBorders>
          </w:tcPr>
          <w:p>
            <w:pPr>
              <w:pStyle w:val="TableParagraph"/>
              <w:spacing w:before="30"/>
              <w:ind w:left="73"/>
              <w:rPr>
                <w:sz w:val="22"/>
              </w:rPr>
            </w:pPr>
            <w:r>
              <w:rPr>
                <w:sz w:val="22"/>
              </w:rPr>
              <w:t>12</w:t>
            </w:r>
          </w:p>
        </w:tc>
        <w:tc>
          <w:tcPr>
            <w:tcW w:w="998" w:type="dxa"/>
            <w:tcBorders>
              <w:left w:val="nil"/>
              <w:bottom w:val="nil"/>
              <w:right w:val="nil"/>
            </w:tcBorders>
          </w:tcPr>
          <w:p>
            <w:pPr>
              <w:pStyle w:val="TableParagraph"/>
              <w:spacing w:before="30"/>
              <w:ind w:left="73"/>
              <w:rPr>
                <w:sz w:val="22"/>
              </w:rPr>
            </w:pPr>
            <w:r>
              <w:rPr>
                <w:w w:val="100"/>
                <w:sz w:val="22"/>
              </w:rPr>
              <w:t>9</w:t>
            </w:r>
          </w:p>
        </w:tc>
        <w:tc>
          <w:tcPr>
            <w:tcW w:w="1389" w:type="dxa"/>
            <w:tcBorders>
              <w:left w:val="nil"/>
              <w:bottom w:val="nil"/>
              <w:right w:val="nil"/>
            </w:tcBorders>
          </w:tcPr>
          <w:p>
            <w:pPr>
              <w:pStyle w:val="TableParagraph"/>
              <w:spacing w:before="30"/>
              <w:ind w:left="98"/>
              <w:rPr>
                <w:sz w:val="22"/>
              </w:rPr>
            </w:pPr>
            <w:r>
              <w:rPr>
                <w:w w:val="100"/>
                <w:sz w:val="22"/>
              </w:rPr>
              <w:t>2</w:t>
            </w:r>
          </w:p>
        </w:tc>
        <w:tc>
          <w:tcPr>
            <w:tcW w:w="869" w:type="dxa"/>
            <w:tcBorders>
              <w:left w:val="nil"/>
              <w:bottom w:val="nil"/>
              <w:right w:val="nil"/>
            </w:tcBorders>
          </w:tcPr>
          <w:p>
            <w:pPr>
              <w:pStyle w:val="TableParagraph"/>
              <w:spacing w:before="30"/>
              <w:ind w:left="92"/>
              <w:rPr>
                <w:sz w:val="22"/>
              </w:rPr>
            </w:pPr>
            <w:r>
              <w:rPr>
                <w:sz w:val="22"/>
              </w:rPr>
              <w:t>11</w:t>
            </w:r>
          </w:p>
        </w:tc>
        <w:tc>
          <w:tcPr>
            <w:tcW w:w="844" w:type="dxa"/>
            <w:tcBorders>
              <w:left w:val="nil"/>
              <w:bottom w:val="nil"/>
              <w:right w:val="nil"/>
            </w:tcBorders>
          </w:tcPr>
          <w:p>
            <w:pPr>
              <w:pStyle w:val="TableParagraph"/>
              <w:spacing w:before="30"/>
              <w:ind w:left="216"/>
              <w:rPr>
                <w:sz w:val="22"/>
              </w:rPr>
            </w:pPr>
            <w:r>
              <w:rPr>
                <w:w w:val="100"/>
                <w:sz w:val="22"/>
              </w:rPr>
              <w:t>5</w:t>
            </w:r>
          </w:p>
        </w:tc>
        <w:tc>
          <w:tcPr>
            <w:tcW w:w="1075" w:type="dxa"/>
            <w:tcBorders>
              <w:left w:val="nil"/>
              <w:bottom w:val="nil"/>
              <w:right w:val="nil"/>
            </w:tcBorders>
          </w:tcPr>
          <w:p>
            <w:pPr>
              <w:pStyle w:val="TableParagraph"/>
              <w:spacing w:before="30"/>
              <w:ind w:left="223"/>
              <w:rPr>
                <w:b/>
                <w:sz w:val="22"/>
              </w:rPr>
            </w:pPr>
            <w:r>
              <w:rPr>
                <w:b/>
                <w:sz w:val="22"/>
              </w:rPr>
              <w:t>69</w:t>
            </w:r>
          </w:p>
        </w:tc>
      </w:tr>
      <w:tr>
        <w:trPr>
          <w:trHeight w:val="300" w:hRule="exact"/>
        </w:trPr>
        <w:tc>
          <w:tcPr>
            <w:tcW w:w="1988" w:type="dxa"/>
            <w:tcBorders>
              <w:top w:val="nil"/>
              <w:left w:val="nil"/>
              <w:bottom w:val="nil"/>
              <w:right w:val="nil"/>
            </w:tcBorders>
          </w:tcPr>
          <w:p>
            <w:pPr>
              <w:pStyle w:val="TableParagraph"/>
              <w:spacing w:before="21"/>
              <w:ind w:left="84"/>
              <w:rPr>
                <w:b/>
                <w:i/>
                <w:sz w:val="20"/>
              </w:rPr>
            </w:pPr>
            <w:r>
              <w:rPr>
                <w:b/>
                <w:i/>
                <w:sz w:val="20"/>
              </w:rPr>
              <w:t>Proteus sp</w:t>
            </w:r>
          </w:p>
        </w:tc>
        <w:tc>
          <w:tcPr>
            <w:tcW w:w="1382" w:type="dxa"/>
            <w:tcBorders>
              <w:top w:val="nil"/>
              <w:left w:val="nil"/>
              <w:bottom w:val="nil"/>
              <w:right w:val="nil"/>
            </w:tcBorders>
          </w:tcPr>
          <w:p>
            <w:pPr>
              <w:pStyle w:val="TableParagraph"/>
              <w:spacing w:line="263" w:lineRule="exact" w:before="0"/>
              <w:ind w:left="109"/>
              <w:rPr>
                <w:sz w:val="22"/>
              </w:rPr>
            </w:pPr>
            <w:r>
              <w:rPr>
                <w:sz w:val="22"/>
              </w:rPr>
              <w:t>15</w:t>
            </w:r>
          </w:p>
        </w:tc>
        <w:tc>
          <w:tcPr>
            <w:tcW w:w="826" w:type="dxa"/>
            <w:tcBorders>
              <w:top w:val="nil"/>
              <w:left w:val="nil"/>
              <w:bottom w:val="nil"/>
              <w:right w:val="nil"/>
            </w:tcBorders>
          </w:tcPr>
          <w:p>
            <w:pPr>
              <w:pStyle w:val="TableParagraph"/>
              <w:spacing w:line="263" w:lineRule="exact" w:before="0"/>
              <w:ind w:left="73"/>
              <w:rPr>
                <w:sz w:val="22"/>
              </w:rPr>
            </w:pPr>
            <w:r>
              <w:rPr>
                <w:w w:val="100"/>
                <w:sz w:val="22"/>
              </w:rPr>
              <w:t>1</w:t>
            </w:r>
          </w:p>
        </w:tc>
        <w:tc>
          <w:tcPr>
            <w:tcW w:w="998" w:type="dxa"/>
            <w:tcBorders>
              <w:top w:val="nil"/>
              <w:left w:val="nil"/>
              <w:bottom w:val="nil"/>
              <w:right w:val="nil"/>
            </w:tcBorders>
          </w:tcPr>
          <w:p>
            <w:pPr>
              <w:pStyle w:val="TableParagraph"/>
              <w:spacing w:line="263" w:lineRule="exact" w:before="0"/>
              <w:ind w:left="73"/>
              <w:rPr>
                <w:sz w:val="22"/>
              </w:rPr>
            </w:pPr>
            <w:r>
              <w:rPr>
                <w:w w:val="100"/>
                <w:sz w:val="22"/>
              </w:rPr>
              <w:t>2</w:t>
            </w:r>
          </w:p>
        </w:tc>
        <w:tc>
          <w:tcPr>
            <w:tcW w:w="1389" w:type="dxa"/>
            <w:tcBorders>
              <w:top w:val="nil"/>
              <w:left w:val="nil"/>
              <w:bottom w:val="nil"/>
              <w:right w:val="nil"/>
            </w:tcBorders>
          </w:tcPr>
          <w:p>
            <w:pPr>
              <w:pStyle w:val="TableParagraph"/>
              <w:spacing w:line="263" w:lineRule="exact" w:before="0"/>
              <w:ind w:left="98"/>
              <w:rPr>
                <w:sz w:val="22"/>
              </w:rPr>
            </w:pPr>
            <w:r>
              <w:rPr>
                <w:w w:val="100"/>
                <w:sz w:val="22"/>
              </w:rPr>
              <w:t>2</w:t>
            </w:r>
          </w:p>
        </w:tc>
        <w:tc>
          <w:tcPr>
            <w:tcW w:w="869" w:type="dxa"/>
            <w:tcBorders>
              <w:top w:val="nil"/>
              <w:left w:val="nil"/>
              <w:bottom w:val="nil"/>
              <w:right w:val="nil"/>
            </w:tcBorders>
          </w:tcPr>
          <w:p>
            <w:pPr>
              <w:pStyle w:val="TableParagraph"/>
              <w:spacing w:line="263" w:lineRule="exact" w:before="0"/>
              <w:ind w:left="92"/>
              <w:rPr>
                <w:sz w:val="22"/>
              </w:rPr>
            </w:pPr>
            <w:r>
              <w:rPr>
                <w:w w:val="100"/>
                <w:sz w:val="22"/>
              </w:rPr>
              <w:t>-</w:t>
            </w:r>
          </w:p>
        </w:tc>
        <w:tc>
          <w:tcPr>
            <w:tcW w:w="844" w:type="dxa"/>
            <w:tcBorders>
              <w:top w:val="nil"/>
              <w:left w:val="nil"/>
              <w:bottom w:val="nil"/>
              <w:right w:val="nil"/>
            </w:tcBorders>
          </w:tcPr>
          <w:p>
            <w:pPr>
              <w:pStyle w:val="TableParagraph"/>
              <w:spacing w:line="263" w:lineRule="exact" w:before="0"/>
              <w:ind w:left="216"/>
              <w:rPr>
                <w:sz w:val="22"/>
              </w:rPr>
            </w:pPr>
            <w:r>
              <w:rPr>
                <w:w w:val="100"/>
                <w:sz w:val="22"/>
              </w:rPr>
              <w:t>4</w:t>
            </w:r>
          </w:p>
        </w:tc>
        <w:tc>
          <w:tcPr>
            <w:tcW w:w="1075" w:type="dxa"/>
            <w:tcBorders>
              <w:top w:val="nil"/>
              <w:left w:val="nil"/>
              <w:bottom w:val="nil"/>
              <w:right w:val="nil"/>
            </w:tcBorders>
          </w:tcPr>
          <w:p>
            <w:pPr>
              <w:pStyle w:val="TableParagraph"/>
              <w:spacing w:line="263" w:lineRule="exact" w:before="0"/>
              <w:ind w:left="223"/>
              <w:rPr>
                <w:b/>
                <w:sz w:val="22"/>
              </w:rPr>
            </w:pPr>
            <w:r>
              <w:rPr>
                <w:b/>
                <w:sz w:val="22"/>
              </w:rPr>
              <w:t>24</w:t>
            </w:r>
          </w:p>
        </w:tc>
      </w:tr>
      <w:tr>
        <w:trPr>
          <w:trHeight w:val="300" w:hRule="exact"/>
        </w:trPr>
        <w:tc>
          <w:tcPr>
            <w:tcW w:w="1988" w:type="dxa"/>
            <w:tcBorders>
              <w:top w:val="nil"/>
              <w:left w:val="nil"/>
              <w:bottom w:val="nil"/>
              <w:right w:val="nil"/>
            </w:tcBorders>
          </w:tcPr>
          <w:p>
            <w:pPr>
              <w:pStyle w:val="TableParagraph"/>
              <w:spacing w:before="21"/>
              <w:ind w:left="84"/>
              <w:rPr>
                <w:b/>
                <w:i/>
                <w:sz w:val="20"/>
              </w:rPr>
            </w:pPr>
            <w:r>
              <w:rPr>
                <w:b/>
                <w:i/>
                <w:sz w:val="20"/>
              </w:rPr>
              <w:t>Streptoccocus sp</w:t>
            </w:r>
          </w:p>
        </w:tc>
        <w:tc>
          <w:tcPr>
            <w:tcW w:w="1382" w:type="dxa"/>
            <w:tcBorders>
              <w:top w:val="nil"/>
              <w:left w:val="nil"/>
              <w:bottom w:val="nil"/>
              <w:right w:val="nil"/>
            </w:tcBorders>
          </w:tcPr>
          <w:p>
            <w:pPr>
              <w:pStyle w:val="TableParagraph"/>
              <w:spacing w:line="263" w:lineRule="exact" w:before="0"/>
              <w:ind w:left="109"/>
              <w:rPr>
                <w:sz w:val="22"/>
              </w:rPr>
            </w:pPr>
            <w:r>
              <w:rPr>
                <w:w w:val="100"/>
                <w:sz w:val="22"/>
              </w:rPr>
              <w:t>3</w:t>
            </w:r>
          </w:p>
        </w:tc>
        <w:tc>
          <w:tcPr>
            <w:tcW w:w="826" w:type="dxa"/>
            <w:tcBorders>
              <w:top w:val="nil"/>
              <w:left w:val="nil"/>
              <w:bottom w:val="nil"/>
              <w:right w:val="nil"/>
            </w:tcBorders>
          </w:tcPr>
          <w:p>
            <w:pPr>
              <w:pStyle w:val="TableParagraph"/>
              <w:spacing w:line="263" w:lineRule="exact" w:before="0"/>
              <w:ind w:left="73"/>
              <w:rPr>
                <w:sz w:val="22"/>
              </w:rPr>
            </w:pPr>
            <w:r>
              <w:rPr>
                <w:w w:val="100"/>
                <w:sz w:val="22"/>
              </w:rPr>
              <w:t>-</w:t>
            </w:r>
          </w:p>
        </w:tc>
        <w:tc>
          <w:tcPr>
            <w:tcW w:w="998" w:type="dxa"/>
            <w:tcBorders>
              <w:top w:val="nil"/>
              <w:left w:val="nil"/>
              <w:bottom w:val="nil"/>
              <w:right w:val="nil"/>
            </w:tcBorders>
          </w:tcPr>
          <w:p>
            <w:pPr>
              <w:pStyle w:val="TableParagraph"/>
              <w:spacing w:line="263" w:lineRule="exact" w:before="0"/>
              <w:ind w:left="73"/>
              <w:rPr>
                <w:sz w:val="22"/>
              </w:rPr>
            </w:pPr>
            <w:r>
              <w:rPr>
                <w:w w:val="100"/>
                <w:sz w:val="22"/>
              </w:rPr>
              <w:t>4</w:t>
            </w:r>
          </w:p>
        </w:tc>
        <w:tc>
          <w:tcPr>
            <w:tcW w:w="1389" w:type="dxa"/>
            <w:tcBorders>
              <w:top w:val="nil"/>
              <w:left w:val="nil"/>
              <w:bottom w:val="nil"/>
              <w:right w:val="nil"/>
            </w:tcBorders>
          </w:tcPr>
          <w:p>
            <w:pPr>
              <w:pStyle w:val="TableParagraph"/>
              <w:spacing w:line="263" w:lineRule="exact" w:before="0"/>
              <w:ind w:left="98"/>
              <w:rPr>
                <w:sz w:val="22"/>
              </w:rPr>
            </w:pPr>
            <w:r>
              <w:rPr>
                <w:w w:val="100"/>
                <w:sz w:val="22"/>
              </w:rPr>
              <w:t>-</w:t>
            </w:r>
          </w:p>
        </w:tc>
        <w:tc>
          <w:tcPr>
            <w:tcW w:w="869" w:type="dxa"/>
            <w:tcBorders>
              <w:top w:val="nil"/>
              <w:left w:val="nil"/>
              <w:bottom w:val="nil"/>
              <w:right w:val="nil"/>
            </w:tcBorders>
          </w:tcPr>
          <w:p>
            <w:pPr>
              <w:pStyle w:val="TableParagraph"/>
              <w:spacing w:line="263" w:lineRule="exact" w:before="0"/>
              <w:ind w:left="92"/>
              <w:rPr>
                <w:sz w:val="22"/>
              </w:rPr>
            </w:pPr>
            <w:r>
              <w:rPr>
                <w:w w:val="100"/>
                <w:sz w:val="22"/>
              </w:rPr>
              <w:t>-</w:t>
            </w:r>
          </w:p>
        </w:tc>
        <w:tc>
          <w:tcPr>
            <w:tcW w:w="844" w:type="dxa"/>
            <w:tcBorders>
              <w:top w:val="nil"/>
              <w:left w:val="nil"/>
              <w:bottom w:val="nil"/>
              <w:right w:val="nil"/>
            </w:tcBorders>
          </w:tcPr>
          <w:p>
            <w:pPr>
              <w:pStyle w:val="TableParagraph"/>
              <w:spacing w:line="263" w:lineRule="exact" w:before="0"/>
              <w:ind w:left="216"/>
              <w:rPr>
                <w:sz w:val="22"/>
              </w:rPr>
            </w:pPr>
            <w:r>
              <w:rPr>
                <w:w w:val="100"/>
                <w:sz w:val="22"/>
              </w:rPr>
              <w:t>-</w:t>
            </w:r>
          </w:p>
        </w:tc>
        <w:tc>
          <w:tcPr>
            <w:tcW w:w="1075" w:type="dxa"/>
            <w:tcBorders>
              <w:top w:val="nil"/>
              <w:left w:val="nil"/>
              <w:bottom w:val="nil"/>
              <w:right w:val="nil"/>
            </w:tcBorders>
          </w:tcPr>
          <w:p>
            <w:pPr>
              <w:pStyle w:val="TableParagraph"/>
              <w:spacing w:line="263" w:lineRule="exact" w:before="0"/>
              <w:ind w:left="223"/>
              <w:rPr>
                <w:b/>
                <w:sz w:val="22"/>
              </w:rPr>
            </w:pPr>
            <w:r>
              <w:rPr>
                <w:b/>
                <w:w w:val="100"/>
                <w:sz w:val="22"/>
              </w:rPr>
              <w:t>7</w:t>
            </w:r>
          </w:p>
        </w:tc>
      </w:tr>
      <w:tr>
        <w:trPr>
          <w:trHeight w:val="300" w:hRule="exact"/>
        </w:trPr>
        <w:tc>
          <w:tcPr>
            <w:tcW w:w="1988" w:type="dxa"/>
            <w:tcBorders>
              <w:top w:val="nil"/>
              <w:left w:val="nil"/>
              <w:bottom w:val="nil"/>
              <w:right w:val="nil"/>
            </w:tcBorders>
          </w:tcPr>
          <w:p>
            <w:pPr>
              <w:pStyle w:val="TableParagraph"/>
              <w:spacing w:before="21"/>
              <w:ind w:left="84"/>
              <w:rPr>
                <w:b/>
                <w:i/>
                <w:sz w:val="20"/>
              </w:rPr>
            </w:pPr>
            <w:r>
              <w:rPr>
                <w:b/>
                <w:i/>
                <w:sz w:val="20"/>
              </w:rPr>
              <w:t>Corynebacterium sp</w:t>
            </w:r>
          </w:p>
        </w:tc>
        <w:tc>
          <w:tcPr>
            <w:tcW w:w="1382" w:type="dxa"/>
            <w:tcBorders>
              <w:top w:val="nil"/>
              <w:left w:val="nil"/>
              <w:bottom w:val="nil"/>
              <w:right w:val="nil"/>
            </w:tcBorders>
          </w:tcPr>
          <w:p>
            <w:pPr>
              <w:pStyle w:val="TableParagraph"/>
              <w:spacing w:line="263" w:lineRule="exact" w:before="0"/>
              <w:ind w:left="109"/>
              <w:rPr>
                <w:sz w:val="22"/>
              </w:rPr>
            </w:pPr>
            <w:r>
              <w:rPr>
                <w:w w:val="100"/>
                <w:sz w:val="22"/>
              </w:rPr>
              <w:t>1</w:t>
            </w:r>
          </w:p>
        </w:tc>
        <w:tc>
          <w:tcPr>
            <w:tcW w:w="826" w:type="dxa"/>
            <w:tcBorders>
              <w:top w:val="nil"/>
              <w:left w:val="nil"/>
              <w:bottom w:val="nil"/>
              <w:right w:val="nil"/>
            </w:tcBorders>
          </w:tcPr>
          <w:p>
            <w:pPr>
              <w:pStyle w:val="TableParagraph"/>
              <w:spacing w:line="263" w:lineRule="exact" w:before="0"/>
              <w:ind w:left="73"/>
              <w:rPr>
                <w:sz w:val="22"/>
              </w:rPr>
            </w:pPr>
            <w:r>
              <w:rPr>
                <w:w w:val="100"/>
                <w:sz w:val="22"/>
              </w:rPr>
              <w:t>-</w:t>
            </w:r>
          </w:p>
        </w:tc>
        <w:tc>
          <w:tcPr>
            <w:tcW w:w="998" w:type="dxa"/>
            <w:tcBorders>
              <w:top w:val="nil"/>
              <w:left w:val="nil"/>
              <w:bottom w:val="nil"/>
              <w:right w:val="nil"/>
            </w:tcBorders>
          </w:tcPr>
          <w:p>
            <w:pPr>
              <w:pStyle w:val="TableParagraph"/>
              <w:spacing w:line="263" w:lineRule="exact" w:before="0"/>
              <w:ind w:left="73"/>
              <w:rPr>
                <w:sz w:val="22"/>
              </w:rPr>
            </w:pPr>
            <w:r>
              <w:rPr>
                <w:w w:val="100"/>
                <w:sz w:val="22"/>
              </w:rPr>
              <w:t>1</w:t>
            </w:r>
          </w:p>
        </w:tc>
        <w:tc>
          <w:tcPr>
            <w:tcW w:w="1389" w:type="dxa"/>
            <w:tcBorders>
              <w:top w:val="nil"/>
              <w:left w:val="nil"/>
              <w:bottom w:val="nil"/>
              <w:right w:val="nil"/>
            </w:tcBorders>
          </w:tcPr>
          <w:p>
            <w:pPr>
              <w:pStyle w:val="TableParagraph"/>
              <w:spacing w:line="263" w:lineRule="exact" w:before="0"/>
              <w:ind w:left="98"/>
              <w:rPr>
                <w:sz w:val="22"/>
              </w:rPr>
            </w:pPr>
            <w:r>
              <w:rPr>
                <w:w w:val="100"/>
                <w:sz w:val="22"/>
              </w:rPr>
              <w:t>-</w:t>
            </w:r>
          </w:p>
        </w:tc>
        <w:tc>
          <w:tcPr>
            <w:tcW w:w="869" w:type="dxa"/>
            <w:tcBorders>
              <w:top w:val="nil"/>
              <w:left w:val="nil"/>
              <w:bottom w:val="nil"/>
              <w:right w:val="nil"/>
            </w:tcBorders>
          </w:tcPr>
          <w:p>
            <w:pPr>
              <w:pStyle w:val="TableParagraph"/>
              <w:spacing w:line="263" w:lineRule="exact" w:before="0"/>
              <w:ind w:left="92"/>
              <w:rPr>
                <w:sz w:val="22"/>
              </w:rPr>
            </w:pPr>
            <w:r>
              <w:rPr>
                <w:w w:val="100"/>
                <w:sz w:val="22"/>
              </w:rPr>
              <w:t>1</w:t>
            </w:r>
          </w:p>
        </w:tc>
        <w:tc>
          <w:tcPr>
            <w:tcW w:w="844" w:type="dxa"/>
            <w:tcBorders>
              <w:top w:val="nil"/>
              <w:left w:val="nil"/>
              <w:bottom w:val="nil"/>
              <w:right w:val="nil"/>
            </w:tcBorders>
          </w:tcPr>
          <w:p>
            <w:pPr>
              <w:pStyle w:val="TableParagraph"/>
              <w:spacing w:line="263" w:lineRule="exact" w:before="0"/>
              <w:ind w:left="216"/>
              <w:rPr>
                <w:sz w:val="22"/>
              </w:rPr>
            </w:pPr>
            <w:r>
              <w:rPr>
                <w:w w:val="100"/>
                <w:sz w:val="22"/>
              </w:rPr>
              <w:t>-</w:t>
            </w:r>
          </w:p>
        </w:tc>
        <w:tc>
          <w:tcPr>
            <w:tcW w:w="1075" w:type="dxa"/>
            <w:tcBorders>
              <w:top w:val="nil"/>
              <w:left w:val="nil"/>
              <w:bottom w:val="nil"/>
              <w:right w:val="nil"/>
            </w:tcBorders>
          </w:tcPr>
          <w:p>
            <w:pPr>
              <w:pStyle w:val="TableParagraph"/>
              <w:spacing w:line="263" w:lineRule="exact" w:before="0"/>
              <w:ind w:left="223"/>
              <w:rPr>
                <w:b/>
                <w:sz w:val="22"/>
              </w:rPr>
            </w:pPr>
            <w:r>
              <w:rPr>
                <w:b/>
                <w:w w:val="100"/>
                <w:sz w:val="22"/>
              </w:rPr>
              <w:t>3</w:t>
            </w:r>
          </w:p>
        </w:tc>
      </w:tr>
      <w:tr>
        <w:trPr>
          <w:trHeight w:val="300" w:hRule="exact"/>
        </w:trPr>
        <w:tc>
          <w:tcPr>
            <w:tcW w:w="1988" w:type="dxa"/>
            <w:tcBorders>
              <w:top w:val="nil"/>
              <w:left w:val="nil"/>
              <w:bottom w:val="nil"/>
              <w:right w:val="nil"/>
            </w:tcBorders>
          </w:tcPr>
          <w:p>
            <w:pPr>
              <w:pStyle w:val="TableParagraph"/>
              <w:spacing w:before="21"/>
              <w:ind w:left="84"/>
              <w:rPr>
                <w:b/>
                <w:sz w:val="20"/>
              </w:rPr>
            </w:pPr>
            <w:r>
              <w:rPr>
                <w:b/>
                <w:sz w:val="20"/>
              </w:rPr>
              <w:t>Sin crecimiento</w:t>
            </w:r>
          </w:p>
        </w:tc>
        <w:tc>
          <w:tcPr>
            <w:tcW w:w="1382" w:type="dxa"/>
            <w:tcBorders>
              <w:top w:val="nil"/>
              <w:left w:val="nil"/>
              <w:bottom w:val="nil"/>
              <w:right w:val="nil"/>
            </w:tcBorders>
          </w:tcPr>
          <w:p>
            <w:pPr>
              <w:pStyle w:val="TableParagraph"/>
              <w:spacing w:line="263" w:lineRule="exact" w:before="0"/>
              <w:ind w:left="109"/>
              <w:rPr>
                <w:sz w:val="22"/>
              </w:rPr>
            </w:pPr>
            <w:r>
              <w:rPr>
                <w:sz w:val="22"/>
              </w:rPr>
              <w:t>28</w:t>
            </w:r>
          </w:p>
        </w:tc>
        <w:tc>
          <w:tcPr>
            <w:tcW w:w="826" w:type="dxa"/>
            <w:tcBorders>
              <w:top w:val="nil"/>
              <w:left w:val="nil"/>
              <w:bottom w:val="nil"/>
              <w:right w:val="nil"/>
            </w:tcBorders>
          </w:tcPr>
          <w:p>
            <w:pPr>
              <w:pStyle w:val="TableParagraph"/>
              <w:spacing w:line="263" w:lineRule="exact" w:before="0"/>
              <w:ind w:left="73"/>
              <w:rPr>
                <w:sz w:val="22"/>
              </w:rPr>
            </w:pPr>
            <w:r>
              <w:rPr>
                <w:sz w:val="22"/>
              </w:rPr>
              <w:t>13</w:t>
            </w:r>
          </w:p>
        </w:tc>
        <w:tc>
          <w:tcPr>
            <w:tcW w:w="998" w:type="dxa"/>
            <w:tcBorders>
              <w:top w:val="nil"/>
              <w:left w:val="nil"/>
              <w:bottom w:val="nil"/>
              <w:right w:val="nil"/>
            </w:tcBorders>
          </w:tcPr>
          <w:p>
            <w:pPr>
              <w:pStyle w:val="TableParagraph"/>
              <w:spacing w:line="263" w:lineRule="exact" w:before="0"/>
              <w:ind w:left="73"/>
              <w:rPr>
                <w:sz w:val="22"/>
              </w:rPr>
            </w:pPr>
            <w:r>
              <w:rPr>
                <w:sz w:val="22"/>
              </w:rPr>
              <w:t>14</w:t>
            </w:r>
          </w:p>
        </w:tc>
        <w:tc>
          <w:tcPr>
            <w:tcW w:w="1389" w:type="dxa"/>
            <w:tcBorders>
              <w:top w:val="nil"/>
              <w:left w:val="nil"/>
              <w:bottom w:val="nil"/>
              <w:right w:val="nil"/>
            </w:tcBorders>
          </w:tcPr>
          <w:p>
            <w:pPr>
              <w:pStyle w:val="TableParagraph"/>
              <w:spacing w:line="263" w:lineRule="exact" w:before="0"/>
              <w:ind w:left="98"/>
              <w:rPr>
                <w:sz w:val="22"/>
              </w:rPr>
            </w:pPr>
            <w:r>
              <w:rPr>
                <w:w w:val="100"/>
                <w:sz w:val="22"/>
              </w:rPr>
              <w:t>4</w:t>
            </w:r>
          </w:p>
        </w:tc>
        <w:tc>
          <w:tcPr>
            <w:tcW w:w="869" w:type="dxa"/>
            <w:tcBorders>
              <w:top w:val="nil"/>
              <w:left w:val="nil"/>
              <w:bottom w:val="nil"/>
              <w:right w:val="nil"/>
            </w:tcBorders>
          </w:tcPr>
          <w:p>
            <w:pPr>
              <w:pStyle w:val="TableParagraph"/>
              <w:spacing w:line="263" w:lineRule="exact" w:before="0"/>
              <w:ind w:left="92"/>
              <w:rPr>
                <w:sz w:val="22"/>
              </w:rPr>
            </w:pPr>
            <w:r>
              <w:rPr>
                <w:sz w:val="22"/>
              </w:rPr>
              <w:t>17</w:t>
            </w:r>
          </w:p>
        </w:tc>
        <w:tc>
          <w:tcPr>
            <w:tcW w:w="844" w:type="dxa"/>
            <w:tcBorders>
              <w:top w:val="nil"/>
              <w:left w:val="nil"/>
              <w:bottom w:val="nil"/>
              <w:right w:val="nil"/>
            </w:tcBorders>
          </w:tcPr>
          <w:p>
            <w:pPr>
              <w:pStyle w:val="TableParagraph"/>
              <w:spacing w:line="263" w:lineRule="exact" w:before="0"/>
              <w:ind w:left="216"/>
              <w:rPr>
                <w:sz w:val="22"/>
              </w:rPr>
            </w:pPr>
            <w:r>
              <w:rPr>
                <w:sz w:val="22"/>
              </w:rPr>
              <w:t>30</w:t>
            </w:r>
          </w:p>
        </w:tc>
        <w:tc>
          <w:tcPr>
            <w:tcW w:w="1075" w:type="dxa"/>
            <w:tcBorders>
              <w:top w:val="nil"/>
              <w:left w:val="nil"/>
              <w:bottom w:val="nil"/>
              <w:right w:val="nil"/>
            </w:tcBorders>
          </w:tcPr>
          <w:p>
            <w:pPr>
              <w:pStyle w:val="TableParagraph"/>
              <w:spacing w:line="263" w:lineRule="exact" w:before="0"/>
              <w:ind w:left="223"/>
              <w:rPr>
                <w:b/>
                <w:sz w:val="22"/>
              </w:rPr>
            </w:pPr>
            <w:r>
              <w:rPr>
                <w:b/>
                <w:sz w:val="22"/>
              </w:rPr>
              <w:t>107</w:t>
            </w:r>
          </w:p>
        </w:tc>
      </w:tr>
      <w:tr>
        <w:trPr>
          <w:trHeight w:val="272" w:hRule="exact"/>
        </w:trPr>
        <w:tc>
          <w:tcPr>
            <w:tcW w:w="1988" w:type="dxa"/>
            <w:tcBorders>
              <w:top w:val="nil"/>
              <w:left w:val="nil"/>
              <w:right w:val="nil"/>
            </w:tcBorders>
          </w:tcPr>
          <w:p>
            <w:pPr>
              <w:pStyle w:val="TableParagraph"/>
              <w:spacing w:before="21"/>
              <w:ind w:left="84"/>
              <w:rPr>
                <w:b/>
                <w:sz w:val="20"/>
              </w:rPr>
            </w:pPr>
            <w:r>
              <w:rPr>
                <w:b/>
                <w:sz w:val="20"/>
              </w:rPr>
              <w:t>Total</w:t>
            </w:r>
          </w:p>
        </w:tc>
        <w:tc>
          <w:tcPr>
            <w:tcW w:w="1382" w:type="dxa"/>
            <w:tcBorders>
              <w:top w:val="nil"/>
              <w:left w:val="nil"/>
              <w:right w:val="nil"/>
            </w:tcBorders>
          </w:tcPr>
          <w:p>
            <w:pPr>
              <w:pStyle w:val="TableParagraph"/>
              <w:spacing w:line="264" w:lineRule="exact" w:before="0"/>
              <w:ind w:left="109"/>
              <w:rPr>
                <w:b/>
                <w:sz w:val="22"/>
              </w:rPr>
            </w:pPr>
            <w:r>
              <w:rPr>
                <w:b/>
                <w:sz w:val="22"/>
              </w:rPr>
              <w:t>77</w:t>
            </w:r>
          </w:p>
        </w:tc>
        <w:tc>
          <w:tcPr>
            <w:tcW w:w="826" w:type="dxa"/>
            <w:tcBorders>
              <w:top w:val="nil"/>
              <w:left w:val="nil"/>
              <w:right w:val="nil"/>
            </w:tcBorders>
          </w:tcPr>
          <w:p>
            <w:pPr>
              <w:pStyle w:val="TableParagraph"/>
              <w:spacing w:line="264" w:lineRule="exact" w:before="0"/>
              <w:ind w:left="73"/>
              <w:rPr>
                <w:b/>
                <w:sz w:val="22"/>
              </w:rPr>
            </w:pPr>
            <w:r>
              <w:rPr>
                <w:b/>
                <w:sz w:val="22"/>
              </w:rPr>
              <w:t>26</w:t>
            </w:r>
          </w:p>
        </w:tc>
        <w:tc>
          <w:tcPr>
            <w:tcW w:w="998" w:type="dxa"/>
            <w:tcBorders>
              <w:top w:val="nil"/>
              <w:left w:val="nil"/>
              <w:right w:val="nil"/>
            </w:tcBorders>
          </w:tcPr>
          <w:p>
            <w:pPr>
              <w:pStyle w:val="TableParagraph"/>
              <w:spacing w:line="264" w:lineRule="exact" w:before="0"/>
              <w:ind w:left="215"/>
              <w:rPr>
                <w:b/>
                <w:sz w:val="22"/>
              </w:rPr>
            </w:pPr>
            <w:r>
              <w:rPr>
                <w:b/>
                <w:sz w:val="22"/>
              </w:rPr>
              <w:t>30</w:t>
            </w:r>
          </w:p>
        </w:tc>
        <w:tc>
          <w:tcPr>
            <w:tcW w:w="1389" w:type="dxa"/>
            <w:tcBorders>
              <w:top w:val="nil"/>
              <w:left w:val="nil"/>
              <w:right w:val="nil"/>
            </w:tcBorders>
          </w:tcPr>
          <w:p>
            <w:pPr>
              <w:pStyle w:val="TableParagraph"/>
              <w:spacing w:line="264" w:lineRule="exact" w:before="0"/>
              <w:ind w:left="98"/>
              <w:rPr>
                <w:b/>
                <w:sz w:val="22"/>
              </w:rPr>
            </w:pPr>
            <w:r>
              <w:rPr>
                <w:b/>
                <w:w w:val="100"/>
                <w:sz w:val="22"/>
              </w:rPr>
              <w:t>8</w:t>
            </w:r>
          </w:p>
        </w:tc>
        <w:tc>
          <w:tcPr>
            <w:tcW w:w="869" w:type="dxa"/>
            <w:tcBorders>
              <w:top w:val="nil"/>
              <w:left w:val="nil"/>
              <w:right w:val="nil"/>
            </w:tcBorders>
          </w:tcPr>
          <w:p>
            <w:pPr>
              <w:pStyle w:val="TableParagraph"/>
              <w:spacing w:line="264" w:lineRule="exact" w:before="0"/>
              <w:ind w:left="92"/>
              <w:rPr>
                <w:b/>
                <w:sz w:val="22"/>
              </w:rPr>
            </w:pPr>
            <w:r>
              <w:rPr>
                <w:b/>
                <w:sz w:val="22"/>
              </w:rPr>
              <w:t>29</w:t>
            </w:r>
          </w:p>
        </w:tc>
        <w:tc>
          <w:tcPr>
            <w:tcW w:w="844" w:type="dxa"/>
            <w:tcBorders>
              <w:top w:val="nil"/>
              <w:left w:val="nil"/>
              <w:right w:val="nil"/>
            </w:tcBorders>
          </w:tcPr>
          <w:p>
            <w:pPr>
              <w:pStyle w:val="TableParagraph"/>
              <w:spacing w:line="264" w:lineRule="exact" w:before="0"/>
              <w:ind w:left="216"/>
              <w:rPr>
                <w:b/>
                <w:sz w:val="22"/>
              </w:rPr>
            </w:pPr>
            <w:r>
              <w:rPr>
                <w:b/>
                <w:sz w:val="22"/>
              </w:rPr>
              <w:t>39</w:t>
            </w:r>
          </w:p>
        </w:tc>
        <w:tc>
          <w:tcPr>
            <w:tcW w:w="1075" w:type="dxa"/>
            <w:tcBorders>
              <w:top w:val="nil"/>
              <w:left w:val="nil"/>
              <w:right w:val="nil"/>
            </w:tcBorders>
          </w:tcPr>
          <w:p>
            <w:pPr>
              <w:pStyle w:val="TableParagraph"/>
              <w:spacing w:line="264" w:lineRule="exact" w:before="0"/>
              <w:ind w:left="223"/>
              <w:rPr>
                <w:b/>
                <w:sz w:val="22"/>
              </w:rPr>
            </w:pPr>
            <w:r>
              <w:rPr>
                <w:b/>
                <w:sz w:val="22"/>
              </w:rPr>
              <w:t>209</w:t>
            </w:r>
          </w:p>
        </w:tc>
      </w:tr>
    </w:tbl>
    <w:p>
      <w:pPr>
        <w:pStyle w:val="BodyText"/>
        <w:rPr>
          <w:b/>
          <w:sz w:val="20"/>
        </w:rPr>
      </w:pPr>
    </w:p>
    <w:p>
      <w:pPr>
        <w:pStyle w:val="BodyText"/>
        <w:rPr>
          <w:b/>
          <w:sz w:val="27"/>
        </w:rPr>
      </w:pPr>
    </w:p>
    <w:p>
      <w:pPr>
        <w:pStyle w:val="BodyText"/>
        <w:spacing w:line="360" w:lineRule="auto" w:before="69"/>
        <w:ind w:left="392" w:right="375"/>
        <w:jc w:val="both"/>
      </w:pPr>
      <w:r>
        <w:rPr/>
        <w:t>Además cabe destacar en el Cuadro 6 los aislamientos por región anatómica, destacándose la presentación en cabeza, seguida de la del cuello y miembros torácicos en ambas especies (ovino y caprino), también presentándose la región inguinal o preclural afectando el nódulo linfoide que lleva dicho nombre.</w:t>
      </w:r>
    </w:p>
    <w:p>
      <w:pPr>
        <w:pStyle w:val="BodyText"/>
      </w:pPr>
    </w:p>
    <w:p>
      <w:pPr>
        <w:pStyle w:val="Heading3"/>
        <w:spacing w:line="242" w:lineRule="auto" w:before="202"/>
        <w:ind w:left="392" w:right="1238"/>
        <w:jc w:val="left"/>
      </w:pPr>
      <w:bookmarkStart w:name="_bookmark35" w:id="36"/>
      <w:bookmarkEnd w:id="36"/>
      <w:r>
        <w:rPr>
          <w:b w:val="0"/>
        </w:rPr>
      </w:r>
      <w:r>
        <w:rPr/>
        <w:t>Cuadro 6 Aislamientos por categoría y región anatómica de abscesos cutáneos en ovinos del Estado de Jalisco, México.</w:t>
      </w:r>
    </w:p>
    <w:p>
      <w:pPr>
        <w:pStyle w:val="BodyText"/>
        <w:spacing w:before="2" w:after="1"/>
        <w:rPr>
          <w:b/>
          <w:sz w:val="17"/>
        </w:rPr>
      </w:pPr>
    </w:p>
    <w:tbl>
      <w:tblPr>
        <w:tblW w:w="0" w:type="auto"/>
        <w:jc w:val="left"/>
        <w:tblInd w:w="14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11"/>
        <w:gridCol w:w="2091"/>
        <w:gridCol w:w="2435"/>
      </w:tblGrid>
      <w:tr>
        <w:trPr>
          <w:trHeight w:val="624" w:hRule="exact"/>
        </w:trPr>
        <w:tc>
          <w:tcPr>
            <w:tcW w:w="2211" w:type="dxa"/>
            <w:tcBorders>
              <w:left w:val="nil"/>
              <w:right w:val="nil"/>
            </w:tcBorders>
          </w:tcPr>
          <w:p>
            <w:pPr>
              <w:pStyle w:val="TableParagraph"/>
              <w:spacing w:line="274" w:lineRule="exact" w:before="0"/>
              <w:ind w:left="108"/>
              <w:rPr>
                <w:rFonts w:ascii="Arial" w:hAnsi="Arial"/>
                <w:sz w:val="24"/>
              </w:rPr>
            </w:pPr>
            <w:r>
              <w:rPr>
                <w:rFonts w:ascii="Arial" w:hAnsi="Arial"/>
                <w:sz w:val="24"/>
              </w:rPr>
              <w:t>Región anatómica</w:t>
            </w:r>
          </w:p>
        </w:tc>
        <w:tc>
          <w:tcPr>
            <w:tcW w:w="2091" w:type="dxa"/>
            <w:tcBorders>
              <w:left w:val="nil"/>
              <w:right w:val="nil"/>
            </w:tcBorders>
          </w:tcPr>
          <w:p>
            <w:pPr>
              <w:pStyle w:val="TableParagraph"/>
              <w:spacing w:line="274" w:lineRule="exact" w:before="0"/>
              <w:ind w:left="141"/>
              <w:rPr>
                <w:rFonts w:ascii="Arial"/>
                <w:sz w:val="24"/>
              </w:rPr>
            </w:pPr>
            <w:r>
              <w:rPr>
                <w:rFonts w:ascii="Arial"/>
                <w:sz w:val="24"/>
              </w:rPr>
              <w:t>Especie (ovino)</w:t>
            </w:r>
          </w:p>
        </w:tc>
        <w:tc>
          <w:tcPr>
            <w:tcW w:w="2435" w:type="dxa"/>
            <w:tcBorders>
              <w:left w:val="nil"/>
              <w:right w:val="nil"/>
            </w:tcBorders>
          </w:tcPr>
          <w:p>
            <w:pPr>
              <w:pStyle w:val="TableParagraph"/>
              <w:spacing w:line="274" w:lineRule="exact" w:before="0"/>
              <w:ind w:left="295"/>
              <w:rPr>
                <w:rFonts w:ascii="Arial"/>
                <w:sz w:val="24"/>
              </w:rPr>
            </w:pPr>
            <w:r>
              <w:rPr>
                <w:rFonts w:ascii="Arial"/>
                <w:sz w:val="24"/>
              </w:rPr>
              <w:t>Especie (Caprino)</w:t>
            </w:r>
          </w:p>
        </w:tc>
      </w:tr>
      <w:tr>
        <w:trPr>
          <w:trHeight w:val="461" w:hRule="exact"/>
        </w:trPr>
        <w:tc>
          <w:tcPr>
            <w:tcW w:w="2211" w:type="dxa"/>
            <w:tcBorders>
              <w:left w:val="nil"/>
              <w:bottom w:val="nil"/>
              <w:right w:val="nil"/>
            </w:tcBorders>
          </w:tcPr>
          <w:p>
            <w:pPr>
              <w:pStyle w:val="TableParagraph"/>
              <w:spacing w:line="274" w:lineRule="exact" w:before="0"/>
              <w:ind w:left="108"/>
              <w:rPr>
                <w:rFonts w:ascii="Arial"/>
                <w:sz w:val="24"/>
              </w:rPr>
            </w:pPr>
            <w:r>
              <w:rPr>
                <w:rFonts w:ascii="Arial"/>
                <w:sz w:val="24"/>
              </w:rPr>
              <w:t>Cabeza</w:t>
            </w:r>
          </w:p>
        </w:tc>
        <w:tc>
          <w:tcPr>
            <w:tcW w:w="2091" w:type="dxa"/>
            <w:tcBorders>
              <w:left w:val="nil"/>
              <w:bottom w:val="nil"/>
              <w:right w:val="nil"/>
            </w:tcBorders>
          </w:tcPr>
          <w:p>
            <w:pPr>
              <w:pStyle w:val="TableParagraph"/>
              <w:spacing w:line="274" w:lineRule="exact" w:before="0"/>
              <w:ind w:left="141"/>
              <w:rPr>
                <w:rFonts w:ascii="Arial"/>
                <w:sz w:val="24"/>
              </w:rPr>
            </w:pPr>
            <w:r>
              <w:rPr>
                <w:rFonts w:ascii="Arial"/>
                <w:sz w:val="24"/>
              </w:rPr>
              <w:t>27</w:t>
            </w:r>
          </w:p>
        </w:tc>
        <w:tc>
          <w:tcPr>
            <w:tcW w:w="2435" w:type="dxa"/>
            <w:tcBorders>
              <w:left w:val="nil"/>
              <w:bottom w:val="nil"/>
              <w:right w:val="nil"/>
            </w:tcBorders>
          </w:tcPr>
          <w:p>
            <w:pPr>
              <w:pStyle w:val="TableParagraph"/>
              <w:spacing w:line="274" w:lineRule="exact" w:before="0"/>
              <w:ind w:left="295"/>
              <w:rPr>
                <w:rFonts w:ascii="Arial"/>
                <w:sz w:val="24"/>
              </w:rPr>
            </w:pPr>
            <w:r>
              <w:rPr>
                <w:rFonts w:ascii="Arial"/>
                <w:w w:val="99"/>
                <w:sz w:val="24"/>
              </w:rPr>
              <w:t>6</w:t>
            </w:r>
          </w:p>
        </w:tc>
      </w:tr>
      <w:tr>
        <w:trPr>
          <w:trHeight w:val="614" w:hRule="exact"/>
        </w:trPr>
        <w:tc>
          <w:tcPr>
            <w:tcW w:w="2211" w:type="dxa"/>
            <w:tcBorders>
              <w:top w:val="nil"/>
              <w:left w:val="nil"/>
              <w:bottom w:val="nil"/>
              <w:right w:val="nil"/>
            </w:tcBorders>
          </w:tcPr>
          <w:p>
            <w:pPr>
              <w:pStyle w:val="TableParagraph"/>
              <w:spacing w:before="156"/>
              <w:ind w:left="108"/>
              <w:rPr>
                <w:rFonts w:ascii="Arial"/>
                <w:sz w:val="24"/>
              </w:rPr>
            </w:pPr>
            <w:r>
              <w:rPr>
                <w:rFonts w:ascii="Arial"/>
                <w:sz w:val="24"/>
              </w:rPr>
              <w:t>Cuello</w:t>
            </w:r>
          </w:p>
        </w:tc>
        <w:tc>
          <w:tcPr>
            <w:tcW w:w="2091" w:type="dxa"/>
            <w:tcBorders>
              <w:top w:val="nil"/>
              <w:left w:val="nil"/>
              <w:bottom w:val="nil"/>
              <w:right w:val="nil"/>
            </w:tcBorders>
          </w:tcPr>
          <w:p>
            <w:pPr>
              <w:pStyle w:val="TableParagraph"/>
              <w:spacing w:before="156"/>
              <w:ind w:left="141"/>
              <w:rPr>
                <w:rFonts w:ascii="Arial"/>
                <w:sz w:val="24"/>
              </w:rPr>
            </w:pPr>
            <w:r>
              <w:rPr>
                <w:rFonts w:ascii="Arial"/>
                <w:sz w:val="24"/>
              </w:rPr>
              <w:t>24</w:t>
            </w:r>
          </w:p>
        </w:tc>
        <w:tc>
          <w:tcPr>
            <w:tcW w:w="2435" w:type="dxa"/>
            <w:tcBorders>
              <w:top w:val="nil"/>
              <w:left w:val="nil"/>
              <w:bottom w:val="nil"/>
              <w:right w:val="nil"/>
            </w:tcBorders>
          </w:tcPr>
          <w:p>
            <w:pPr>
              <w:pStyle w:val="TableParagraph"/>
              <w:spacing w:before="156"/>
              <w:ind w:left="295"/>
              <w:rPr>
                <w:rFonts w:ascii="Arial"/>
                <w:sz w:val="24"/>
              </w:rPr>
            </w:pPr>
            <w:r>
              <w:rPr>
                <w:rFonts w:ascii="Arial"/>
                <w:w w:val="99"/>
                <w:sz w:val="24"/>
              </w:rPr>
              <w:t>0</w:t>
            </w:r>
          </w:p>
        </w:tc>
      </w:tr>
      <w:tr>
        <w:trPr>
          <w:trHeight w:val="1027" w:hRule="exact"/>
        </w:trPr>
        <w:tc>
          <w:tcPr>
            <w:tcW w:w="2211" w:type="dxa"/>
            <w:tcBorders>
              <w:top w:val="nil"/>
              <w:left w:val="nil"/>
              <w:bottom w:val="nil"/>
              <w:right w:val="nil"/>
            </w:tcBorders>
          </w:tcPr>
          <w:p>
            <w:pPr>
              <w:pStyle w:val="TableParagraph"/>
              <w:spacing w:line="360" w:lineRule="auto" w:before="156"/>
              <w:ind w:left="108" w:right="1029"/>
              <w:rPr>
                <w:rFonts w:ascii="Arial" w:hAnsi="Arial"/>
                <w:sz w:val="24"/>
              </w:rPr>
            </w:pPr>
            <w:r>
              <w:rPr>
                <w:rFonts w:ascii="Arial" w:hAnsi="Arial"/>
                <w:sz w:val="24"/>
              </w:rPr>
              <w:t>Miembros torácicos</w:t>
            </w:r>
          </w:p>
        </w:tc>
        <w:tc>
          <w:tcPr>
            <w:tcW w:w="2091" w:type="dxa"/>
            <w:tcBorders>
              <w:top w:val="nil"/>
              <w:left w:val="nil"/>
              <w:bottom w:val="nil"/>
              <w:right w:val="nil"/>
            </w:tcBorders>
          </w:tcPr>
          <w:p>
            <w:pPr>
              <w:pStyle w:val="TableParagraph"/>
              <w:spacing w:before="156"/>
              <w:ind w:left="141"/>
              <w:rPr>
                <w:rFonts w:ascii="Arial"/>
                <w:sz w:val="24"/>
              </w:rPr>
            </w:pPr>
            <w:r>
              <w:rPr>
                <w:rFonts w:ascii="Arial"/>
                <w:w w:val="99"/>
                <w:sz w:val="24"/>
              </w:rPr>
              <w:t>1</w:t>
            </w:r>
          </w:p>
        </w:tc>
        <w:tc>
          <w:tcPr>
            <w:tcW w:w="2435" w:type="dxa"/>
            <w:tcBorders>
              <w:top w:val="nil"/>
              <w:left w:val="nil"/>
              <w:bottom w:val="nil"/>
              <w:right w:val="nil"/>
            </w:tcBorders>
          </w:tcPr>
          <w:p>
            <w:pPr>
              <w:pStyle w:val="TableParagraph"/>
              <w:spacing w:before="156"/>
              <w:ind w:left="295"/>
              <w:rPr>
                <w:rFonts w:ascii="Arial"/>
                <w:sz w:val="24"/>
              </w:rPr>
            </w:pPr>
            <w:r>
              <w:rPr>
                <w:rFonts w:ascii="Arial"/>
                <w:w w:val="99"/>
                <w:sz w:val="24"/>
              </w:rPr>
              <w:t>2</w:t>
            </w:r>
          </w:p>
        </w:tc>
      </w:tr>
      <w:tr>
        <w:trPr>
          <w:trHeight w:val="615" w:hRule="exact"/>
        </w:trPr>
        <w:tc>
          <w:tcPr>
            <w:tcW w:w="2211" w:type="dxa"/>
            <w:tcBorders>
              <w:top w:val="nil"/>
              <w:left w:val="nil"/>
              <w:bottom w:val="nil"/>
              <w:right w:val="nil"/>
            </w:tcBorders>
          </w:tcPr>
          <w:p>
            <w:pPr>
              <w:pStyle w:val="TableParagraph"/>
              <w:spacing w:before="157"/>
              <w:ind w:left="108"/>
              <w:rPr>
                <w:rFonts w:ascii="Arial"/>
                <w:sz w:val="24"/>
              </w:rPr>
            </w:pPr>
            <w:r>
              <w:rPr>
                <w:rFonts w:ascii="Arial"/>
                <w:sz w:val="24"/>
              </w:rPr>
              <w:t>Inguinal</w:t>
            </w:r>
          </w:p>
        </w:tc>
        <w:tc>
          <w:tcPr>
            <w:tcW w:w="2091" w:type="dxa"/>
            <w:tcBorders>
              <w:top w:val="nil"/>
              <w:left w:val="nil"/>
              <w:bottom w:val="nil"/>
              <w:right w:val="nil"/>
            </w:tcBorders>
          </w:tcPr>
          <w:p>
            <w:pPr>
              <w:pStyle w:val="TableParagraph"/>
              <w:spacing w:before="157"/>
              <w:ind w:left="141"/>
              <w:rPr>
                <w:rFonts w:ascii="Arial"/>
                <w:sz w:val="24"/>
              </w:rPr>
            </w:pPr>
            <w:r>
              <w:rPr>
                <w:rFonts w:ascii="Arial"/>
                <w:w w:val="99"/>
                <w:sz w:val="24"/>
              </w:rPr>
              <w:t>1</w:t>
            </w:r>
          </w:p>
        </w:tc>
        <w:tc>
          <w:tcPr>
            <w:tcW w:w="2435" w:type="dxa"/>
            <w:tcBorders>
              <w:top w:val="nil"/>
              <w:left w:val="nil"/>
              <w:bottom w:val="nil"/>
              <w:right w:val="nil"/>
            </w:tcBorders>
          </w:tcPr>
          <w:p>
            <w:pPr>
              <w:pStyle w:val="TableParagraph"/>
              <w:spacing w:before="157"/>
              <w:ind w:left="295"/>
              <w:rPr>
                <w:rFonts w:ascii="Arial"/>
                <w:sz w:val="24"/>
              </w:rPr>
            </w:pPr>
            <w:r>
              <w:rPr>
                <w:rFonts w:ascii="Arial"/>
                <w:w w:val="99"/>
                <w:sz w:val="24"/>
              </w:rPr>
              <w:t>4</w:t>
            </w:r>
          </w:p>
        </w:tc>
      </w:tr>
      <w:tr>
        <w:trPr>
          <w:trHeight w:val="614" w:hRule="exact"/>
        </w:trPr>
        <w:tc>
          <w:tcPr>
            <w:tcW w:w="2211" w:type="dxa"/>
            <w:tcBorders>
              <w:top w:val="nil"/>
              <w:left w:val="nil"/>
              <w:bottom w:val="nil"/>
              <w:right w:val="nil"/>
            </w:tcBorders>
          </w:tcPr>
          <w:p>
            <w:pPr>
              <w:pStyle w:val="TableParagraph"/>
              <w:spacing w:before="156"/>
              <w:ind w:left="108"/>
              <w:rPr>
                <w:rFonts w:ascii="Arial"/>
                <w:sz w:val="24"/>
              </w:rPr>
            </w:pPr>
            <w:r>
              <w:rPr>
                <w:rFonts w:ascii="Arial"/>
                <w:sz w:val="24"/>
              </w:rPr>
              <w:t>Caudal</w:t>
            </w:r>
          </w:p>
        </w:tc>
        <w:tc>
          <w:tcPr>
            <w:tcW w:w="2091" w:type="dxa"/>
            <w:tcBorders>
              <w:top w:val="nil"/>
              <w:left w:val="nil"/>
              <w:bottom w:val="nil"/>
              <w:right w:val="nil"/>
            </w:tcBorders>
          </w:tcPr>
          <w:p>
            <w:pPr>
              <w:pStyle w:val="TableParagraph"/>
              <w:spacing w:before="156"/>
              <w:ind w:left="141"/>
              <w:rPr>
                <w:rFonts w:ascii="Arial"/>
                <w:sz w:val="24"/>
              </w:rPr>
            </w:pPr>
            <w:r>
              <w:rPr>
                <w:rFonts w:ascii="Arial"/>
                <w:w w:val="99"/>
                <w:sz w:val="24"/>
              </w:rPr>
              <w:t>3</w:t>
            </w:r>
          </w:p>
        </w:tc>
        <w:tc>
          <w:tcPr>
            <w:tcW w:w="2435" w:type="dxa"/>
            <w:tcBorders>
              <w:top w:val="nil"/>
              <w:left w:val="nil"/>
              <w:bottom w:val="nil"/>
              <w:right w:val="nil"/>
            </w:tcBorders>
          </w:tcPr>
          <w:p>
            <w:pPr>
              <w:pStyle w:val="TableParagraph"/>
              <w:spacing w:before="156"/>
              <w:ind w:left="295"/>
              <w:rPr>
                <w:rFonts w:ascii="Arial"/>
                <w:sz w:val="24"/>
              </w:rPr>
            </w:pPr>
            <w:r>
              <w:rPr>
                <w:rFonts w:ascii="Arial"/>
                <w:w w:val="99"/>
                <w:sz w:val="24"/>
              </w:rPr>
              <w:t>0</w:t>
            </w:r>
          </w:p>
        </w:tc>
      </w:tr>
      <w:tr>
        <w:trPr>
          <w:trHeight w:val="778" w:hRule="exact"/>
        </w:trPr>
        <w:tc>
          <w:tcPr>
            <w:tcW w:w="2211" w:type="dxa"/>
            <w:tcBorders>
              <w:top w:val="nil"/>
              <w:left w:val="nil"/>
              <w:right w:val="nil"/>
            </w:tcBorders>
          </w:tcPr>
          <w:p>
            <w:pPr>
              <w:pStyle w:val="TableParagraph"/>
              <w:spacing w:before="156"/>
              <w:ind w:left="108"/>
              <w:rPr>
                <w:rFonts w:ascii="Arial" w:hAnsi="Arial"/>
                <w:sz w:val="24"/>
              </w:rPr>
            </w:pPr>
            <w:r>
              <w:rPr>
                <w:rFonts w:ascii="Arial" w:hAnsi="Arial"/>
                <w:sz w:val="24"/>
              </w:rPr>
              <w:t>Glándula Mamaria</w:t>
            </w:r>
          </w:p>
        </w:tc>
        <w:tc>
          <w:tcPr>
            <w:tcW w:w="2091" w:type="dxa"/>
            <w:tcBorders>
              <w:top w:val="nil"/>
              <w:left w:val="nil"/>
              <w:right w:val="nil"/>
            </w:tcBorders>
          </w:tcPr>
          <w:p>
            <w:pPr>
              <w:pStyle w:val="TableParagraph"/>
              <w:spacing w:before="156"/>
              <w:ind w:left="141"/>
              <w:rPr>
                <w:rFonts w:ascii="Arial"/>
                <w:sz w:val="24"/>
              </w:rPr>
            </w:pPr>
            <w:r>
              <w:rPr>
                <w:rFonts w:ascii="Arial"/>
                <w:w w:val="99"/>
                <w:sz w:val="24"/>
              </w:rPr>
              <w:t>1</w:t>
            </w:r>
          </w:p>
        </w:tc>
        <w:tc>
          <w:tcPr>
            <w:tcW w:w="2435" w:type="dxa"/>
            <w:tcBorders>
              <w:top w:val="nil"/>
              <w:left w:val="nil"/>
              <w:right w:val="nil"/>
            </w:tcBorders>
          </w:tcPr>
          <w:p>
            <w:pPr>
              <w:pStyle w:val="TableParagraph"/>
              <w:spacing w:before="156"/>
              <w:ind w:left="295"/>
              <w:rPr>
                <w:rFonts w:ascii="Arial"/>
                <w:sz w:val="24"/>
              </w:rPr>
            </w:pPr>
            <w:r>
              <w:rPr>
                <w:rFonts w:ascii="Arial"/>
                <w:w w:val="99"/>
                <w:sz w:val="24"/>
              </w:rPr>
              <w:t>0</w:t>
            </w:r>
          </w:p>
        </w:tc>
      </w:tr>
    </w:tbl>
    <w:p>
      <w:pPr>
        <w:spacing w:after="0"/>
        <w:rPr>
          <w:rFonts w:ascii="Arial"/>
          <w:sz w:val="24"/>
        </w:rPr>
        <w:sectPr>
          <w:footerReference w:type="default" r:id="rId21"/>
          <w:pgSz w:w="12240" w:h="15840"/>
          <w:pgMar w:footer="1386" w:header="0" w:top="1500" w:bottom="1580" w:left="1480" w:right="1160"/>
        </w:sectPr>
      </w:pPr>
    </w:p>
    <w:p>
      <w:pPr>
        <w:pStyle w:val="BodyText"/>
        <w:spacing w:before="2"/>
        <w:rPr>
          <w:b/>
          <w:sz w:val="21"/>
        </w:rPr>
      </w:pPr>
    </w:p>
    <w:p>
      <w:pPr>
        <w:pStyle w:val="BodyText"/>
        <w:spacing w:line="360" w:lineRule="auto" w:before="69"/>
        <w:ind w:left="152" w:right="104"/>
        <w:jc w:val="both"/>
      </w:pPr>
      <w:r>
        <w:rPr/>
        <w:t>Los resultados de la prueba Api Coryne (Cuadro 7) donde se observan diferentes perfiles destacándose por ejemplo el 23. 2% (16 aislamientos) presentaron perfiles comunes al api y 17 aislamientos presentaron perfiles únicos. Además, se presenta el % de positividad a cada una de las pruebas en la parte inferior por ejemplo el 100% de los aislados presentaron reacción Catalasa positiva y Urea positiva, el 100% de los aislados fue negativo a Pyr A (ácido piroglutámico β naftilamina reacción enzimática con Pirolidonil Arilamidasa) a BNAG (1-naftil-N- acetil βD-glucosaminida reacción con β-galactosidasa) a O (testigo negativo de fermentación), aproximadamente el 50 % de las cepas fue positivo a PAL (2 naftil- fosfato reacción enzimática fosfatasa alcalina) y a MAL (fermentación de la D- Maltosa).</w:t>
      </w:r>
    </w:p>
    <w:p>
      <w:pPr>
        <w:spacing w:after="0" w:line="360" w:lineRule="auto"/>
        <w:jc w:val="both"/>
        <w:sectPr>
          <w:footerReference w:type="default" r:id="rId22"/>
          <w:pgSz w:w="12240" w:h="15840"/>
          <w:pgMar w:footer="1386" w:header="0" w:top="1500" w:bottom="1580" w:left="1720" w:right="1420"/>
          <w:pgNumType w:start="41"/>
        </w:sectPr>
      </w:pPr>
    </w:p>
    <w:p>
      <w:pPr>
        <w:pStyle w:val="BodyText"/>
        <w:rPr>
          <w:sz w:val="20"/>
        </w:rPr>
      </w:pPr>
    </w:p>
    <w:p>
      <w:pPr>
        <w:pStyle w:val="BodyText"/>
        <w:spacing w:before="1"/>
        <w:rPr>
          <w:sz w:val="19"/>
        </w:rPr>
      </w:pPr>
    </w:p>
    <w:p>
      <w:pPr>
        <w:spacing w:before="1"/>
        <w:ind w:left="187" w:right="0" w:firstLine="0"/>
        <w:jc w:val="left"/>
        <w:rPr>
          <w:b/>
          <w:sz w:val="16"/>
        </w:rPr>
      </w:pPr>
      <w:bookmarkStart w:name="_bookmark36" w:id="37"/>
      <w:bookmarkEnd w:id="37"/>
      <w:r>
        <w:rPr/>
      </w:r>
      <w:r>
        <w:rPr>
          <w:b/>
          <w:sz w:val="16"/>
        </w:rPr>
        <w:t>Cuadro 7 Perfiles bioquímicos en el sistema Api coryne. Aislamientos de Corynebacterium pseudotuberculosis obtenidos de abscesos ovinos y caprinos</w:t>
      </w:r>
    </w:p>
    <w:p>
      <w:pPr>
        <w:pStyle w:val="BodyText"/>
        <w:spacing w:before="5"/>
        <w:rPr>
          <w:b/>
          <w:sz w:val="14"/>
        </w:rPr>
      </w:pPr>
      <w:r>
        <w:rPr/>
        <w:pict>
          <v:group style="position:absolute;margin-left:71.774002pt;margin-top:10.294673pt;width:485.75pt;height:.5pt;mso-position-horizontal-relative:page;mso-position-vertical-relative:paragraph;z-index:1312;mso-wrap-distance-left:0;mso-wrap-distance-right:0" coordorigin="1435,206" coordsize="9715,10">
            <v:line style="position:absolute" from="1440,211" to="1808,211" stroked="true" strokeweight=".48pt" strokecolor="#000000"/>
            <v:line style="position:absolute" from="1808,211" to="1817,211" stroked="true" strokeweight=".48pt" strokecolor="#000000"/>
            <v:line style="position:absolute" from="1817,211" to="2192,211" stroked="true" strokeweight=".48pt" strokecolor="#000000"/>
            <v:line style="position:absolute" from="2192,211" to="2201,211" stroked="true" strokeweight=".48pt" strokecolor="#000000"/>
            <v:line style="position:absolute" from="2201,211" to="2648,211" stroked="true" strokeweight=".48pt" strokecolor="#000000"/>
            <v:line style="position:absolute" from="2648,211" to="2657,211" stroked="true" strokeweight=".48pt" strokecolor="#000000"/>
            <v:line style="position:absolute" from="2657,211" to="3036,211" stroked="true" strokeweight=".48pt" strokecolor="#000000"/>
            <v:line style="position:absolute" from="3036,211" to="3046,211" stroked="true" strokeweight=".48pt" strokecolor="#000000"/>
            <v:line style="position:absolute" from="3046,211" to="3476,211" stroked="true" strokeweight=".48pt" strokecolor="#000000"/>
            <v:line style="position:absolute" from="3476,211" to="3485,211" stroked="true" strokeweight=".48pt" strokecolor="#000000"/>
            <v:line style="position:absolute" from="3485,211" to="3881,211" stroked="true" strokeweight=".48pt" strokecolor="#000000"/>
            <v:line style="position:absolute" from="3881,211" to="3891,211" stroked="true" strokeweight=".48pt" strokecolor="#000000"/>
            <v:line style="position:absolute" from="3891,211" to="4297,211" stroked="true" strokeweight=".48pt" strokecolor="#000000"/>
            <v:line style="position:absolute" from="4297,211" to="4307,211" stroked="true" strokeweight=".48pt" strokecolor="#000000"/>
            <v:line style="position:absolute" from="4307,211" to="4782,211" stroked="true" strokeweight=".48pt" strokecolor="#000000"/>
            <v:line style="position:absolute" from="4782,211" to="4791,211" stroked="true" strokeweight=".48pt" strokecolor="#000000"/>
            <v:line style="position:absolute" from="4791,211" to="5161,211" stroked="true" strokeweight=".48pt" strokecolor="#000000"/>
            <v:line style="position:absolute" from="5161,211" to="5171,211" stroked="true" strokeweight=".48pt" strokecolor="#000000"/>
            <v:line style="position:absolute" from="5171,211" to="5574,211" stroked="true" strokeweight=".48pt" strokecolor="#000000"/>
            <v:line style="position:absolute" from="5574,211" to="5583,211" stroked="true" strokeweight=".48pt" strokecolor="#000000"/>
            <v:line style="position:absolute" from="5583,211" to="5963,211" stroked="true" strokeweight=".48pt" strokecolor="#000000"/>
            <v:line style="position:absolute" from="5963,211" to="5972,211" stroked="true" strokeweight=".48pt" strokecolor="#000000"/>
            <v:line style="position:absolute" from="5972,211" to="6272,211" stroked="true" strokeweight=".48pt" strokecolor="#000000"/>
            <v:line style="position:absolute" from="6272,211" to="6282,211" stroked="true" strokeweight=".48pt" strokecolor="#000000"/>
            <v:line style="position:absolute" from="6282,211" to="6685,211" stroked="true" strokeweight=".48pt" strokecolor="#000000"/>
            <v:line style="position:absolute" from="6685,211" to="6695,211" stroked="true" strokeweight=".48pt" strokecolor="#000000"/>
            <v:line style="position:absolute" from="6695,211" to="7050,211" stroked="true" strokeweight=".48pt" strokecolor="#000000"/>
            <v:line style="position:absolute" from="7050,211" to="7060,211" stroked="true" strokeweight=".48pt" strokecolor="#000000"/>
            <v:line style="position:absolute" from="7060,211" to="7429,211" stroked="true" strokeweight=".48pt" strokecolor="#000000"/>
            <v:line style="position:absolute" from="7429,211" to="7439,211" stroked="true" strokeweight=".48pt" strokecolor="#000000"/>
            <v:line style="position:absolute" from="7439,211" to="7912,211" stroked="true" strokeweight=".48pt" strokecolor="#000000"/>
            <v:line style="position:absolute" from="7912,211" to="7921,211" stroked="true" strokeweight=".48pt" strokecolor="#000000"/>
            <v:line style="position:absolute" from="7921,211" to="8356,211" stroked="true" strokeweight=".48pt" strokecolor="#000000"/>
            <v:line style="position:absolute" from="8356,211" to="8365,211" stroked="true" strokeweight=".48pt" strokecolor="#000000"/>
            <v:line style="position:absolute" from="8365,211" to="8747,211" stroked="true" strokeweight=".48pt" strokecolor="#000000"/>
            <v:line style="position:absolute" from="8747,211" to="8757,211" stroked="true" strokeweight=".48pt" strokecolor="#000000"/>
            <v:line style="position:absolute" from="8757,211" to="9145,211" stroked="true" strokeweight=".48pt" strokecolor="#000000"/>
            <v:line style="position:absolute" from="9145,211" to="9155,211" stroked="true" strokeweight=".48pt" strokecolor="#000000"/>
            <v:line style="position:absolute" from="9155,211" to="9640,211" stroked="true" strokeweight=".48pt" strokecolor="#000000"/>
            <v:line style="position:absolute" from="9640,211" to="9650,211" stroked="true" strokeweight=".48pt" strokecolor="#000000"/>
            <v:line style="position:absolute" from="9650,211" to="10041,211" stroked="true" strokeweight=".48pt" strokecolor="#000000"/>
            <v:line style="position:absolute" from="10041,211" to="10051,211" stroked="true" strokeweight=".48pt" strokecolor="#000000"/>
            <v:line style="position:absolute" from="10051,211" to="11145,211" stroked="true" strokeweight=".48pt" strokecolor="#000000"/>
            <w10:wrap type="topAndBottom"/>
          </v:group>
        </w:pict>
      </w:r>
    </w:p>
    <w:p>
      <w:pPr>
        <w:pStyle w:val="BodyText"/>
        <w:spacing w:before="9"/>
        <w:rPr>
          <w:b/>
          <w:sz w:val="29"/>
        </w:rPr>
      </w:pPr>
    </w:p>
    <w:p>
      <w:pPr>
        <w:spacing w:after="0"/>
        <w:rPr>
          <w:sz w:val="29"/>
        </w:rPr>
        <w:sectPr>
          <w:pgSz w:w="12240" w:h="15840"/>
          <w:pgMar w:header="0" w:footer="1386" w:top="1500" w:bottom="1580" w:left="1320" w:right="980"/>
        </w:sectPr>
      </w:pPr>
    </w:p>
    <w:p>
      <w:pPr>
        <w:spacing w:line="247" w:lineRule="exact" w:before="64"/>
        <w:ind w:left="187" w:right="0" w:firstLine="0"/>
        <w:jc w:val="left"/>
        <w:rPr>
          <w:rFonts w:ascii="Calibri"/>
          <w:b/>
          <w:sz w:val="16"/>
        </w:rPr>
      </w:pPr>
      <w:r>
        <w:rPr>
          <w:rFonts w:ascii="Calibri"/>
          <w:b/>
          <w:sz w:val="16"/>
        </w:rPr>
        <w:t>NIT    PYZ    PyrA    PAL   </w:t>
      </w:r>
      <w:r>
        <w:rPr>
          <w:rFonts w:ascii="Calibri"/>
          <w:b/>
          <w:position w:val="10"/>
          <w:sz w:val="16"/>
        </w:rPr>
        <w:t>B</w:t>
      </w:r>
    </w:p>
    <w:p>
      <w:pPr>
        <w:spacing w:line="147" w:lineRule="exact" w:before="0"/>
        <w:ind w:left="0" w:right="0" w:firstLine="0"/>
        <w:jc w:val="right"/>
        <w:rPr>
          <w:rFonts w:ascii="Calibri"/>
          <w:b/>
          <w:sz w:val="16"/>
        </w:rPr>
      </w:pPr>
      <w:r>
        <w:rPr>
          <w:rFonts w:ascii="Calibri"/>
          <w:b/>
          <w:sz w:val="16"/>
        </w:rPr>
        <w:t>GUR</w:t>
      </w:r>
    </w:p>
    <w:p>
      <w:pPr>
        <w:spacing w:before="68"/>
        <w:ind w:left="96" w:right="-16" w:firstLine="0"/>
        <w:jc w:val="left"/>
        <w:rPr>
          <w:rFonts w:ascii="Calibri"/>
          <w:b/>
          <w:sz w:val="16"/>
        </w:rPr>
      </w:pPr>
      <w:r>
        <w:rPr/>
        <w:br w:type="column"/>
      </w:r>
      <w:r>
        <w:rPr>
          <w:rFonts w:ascii="Calibri"/>
          <w:b/>
          <w:sz w:val="16"/>
        </w:rPr>
        <w:t>B GAL</w:t>
      </w:r>
    </w:p>
    <w:p>
      <w:pPr>
        <w:spacing w:before="68"/>
        <w:ind w:left="97" w:right="-18" w:firstLine="0"/>
        <w:jc w:val="left"/>
        <w:rPr>
          <w:rFonts w:ascii="Calibri"/>
          <w:b/>
          <w:sz w:val="16"/>
        </w:rPr>
      </w:pPr>
      <w:r>
        <w:rPr/>
        <w:br w:type="column"/>
      </w:r>
      <w:r>
        <w:rPr>
          <w:rFonts w:ascii="Calibri"/>
          <w:b/>
          <w:sz w:val="16"/>
        </w:rPr>
        <w:t>a GLU</w:t>
      </w:r>
    </w:p>
    <w:p>
      <w:pPr>
        <w:spacing w:before="68"/>
        <w:ind w:left="100" w:right="-18" w:firstLine="0"/>
        <w:jc w:val="left"/>
        <w:rPr>
          <w:rFonts w:ascii="Calibri"/>
          <w:b/>
          <w:sz w:val="16"/>
        </w:rPr>
      </w:pPr>
      <w:r>
        <w:rPr/>
        <w:br w:type="column"/>
      </w:r>
      <w:r>
        <w:rPr>
          <w:rFonts w:ascii="Calibri"/>
          <w:b/>
          <w:sz w:val="16"/>
        </w:rPr>
        <w:t>B NAG</w:t>
      </w:r>
    </w:p>
    <w:p>
      <w:pPr>
        <w:pStyle w:val="BodyText"/>
        <w:spacing w:before="6"/>
        <w:rPr>
          <w:rFonts w:ascii="Calibri"/>
          <w:b/>
          <w:sz w:val="13"/>
        </w:rPr>
      </w:pPr>
      <w:r>
        <w:rPr/>
        <w:br w:type="column"/>
      </w:r>
      <w:r>
        <w:rPr>
          <w:rFonts w:ascii="Calibri"/>
          <w:b/>
          <w:sz w:val="13"/>
        </w:rPr>
      </w:r>
    </w:p>
    <w:p>
      <w:pPr>
        <w:tabs>
          <w:tab w:pos="1626" w:val="left" w:leader="none"/>
        </w:tabs>
        <w:spacing w:before="0"/>
        <w:ind w:left="138" w:right="0" w:firstLine="0"/>
        <w:jc w:val="left"/>
        <w:rPr>
          <w:rFonts w:ascii="Calibri"/>
          <w:b/>
          <w:sz w:val="16"/>
        </w:rPr>
      </w:pPr>
      <w:r>
        <w:rPr>
          <w:rFonts w:ascii="Calibri"/>
          <w:b/>
          <w:sz w:val="16"/>
        </w:rPr>
        <w:t>ESC    URE  </w:t>
      </w:r>
      <w:r>
        <w:rPr>
          <w:rFonts w:ascii="Calibri"/>
          <w:b/>
          <w:spacing w:val="23"/>
          <w:sz w:val="16"/>
        </w:rPr>
        <w:t> </w:t>
      </w:r>
      <w:r>
        <w:rPr>
          <w:rFonts w:ascii="Calibri"/>
          <w:b/>
          <w:sz w:val="16"/>
        </w:rPr>
        <w:t>GEL  </w:t>
      </w:r>
      <w:r>
        <w:rPr>
          <w:rFonts w:ascii="Calibri"/>
          <w:b/>
          <w:spacing w:val="30"/>
          <w:sz w:val="16"/>
        </w:rPr>
        <w:t> </w:t>
      </w:r>
      <w:r>
        <w:rPr>
          <w:rFonts w:ascii="Calibri"/>
          <w:b/>
          <w:sz w:val="16"/>
        </w:rPr>
        <w:t>0</w:t>
        <w:tab/>
        <w:t>GLU    RIB    XYL    MAN    MAL    LAC    SAC    GLYG </w:t>
      </w:r>
      <w:r>
        <w:rPr>
          <w:rFonts w:ascii="Calibri"/>
          <w:b/>
          <w:spacing w:val="32"/>
          <w:sz w:val="16"/>
        </w:rPr>
        <w:t> </w:t>
      </w:r>
      <w:r>
        <w:rPr>
          <w:rFonts w:ascii="Calibri"/>
          <w:b/>
          <w:sz w:val="16"/>
        </w:rPr>
        <w:t>CAT</w:t>
      </w:r>
    </w:p>
    <w:p>
      <w:pPr>
        <w:pStyle w:val="BodyText"/>
        <w:rPr>
          <w:rFonts w:ascii="Calibri"/>
          <w:b/>
          <w:sz w:val="26"/>
        </w:rPr>
      </w:pPr>
      <w:r>
        <w:rPr/>
        <w:br w:type="column"/>
      </w:r>
      <w:r>
        <w:rPr>
          <w:rFonts w:ascii="Calibri"/>
          <w:b/>
          <w:sz w:val="26"/>
        </w:rPr>
      </w:r>
    </w:p>
    <w:p>
      <w:pPr>
        <w:spacing w:line="115" w:lineRule="auto" w:before="210"/>
        <w:ind w:left="98" w:right="237" w:firstLine="0"/>
        <w:jc w:val="left"/>
        <w:rPr>
          <w:rFonts w:ascii="Calibri"/>
          <w:b/>
          <w:sz w:val="16"/>
        </w:rPr>
      </w:pPr>
      <w:r>
        <w:rPr/>
        <w:pict>
          <v:shape style="position:absolute;margin-left:502.059998pt;margin-top:-34.443722pt;width:55.2pt;height:37.6pt;mso-position-horizontal-relative:page;mso-position-vertical-relative:paragraph;z-index:-175672" type="#_x0000_t202" filled="true" fillcolor="#375f91" stroked="false">
            <v:textbox inset="0,0,0,0">
              <w:txbxContent>
                <w:p>
                  <w:pPr>
                    <w:spacing w:line="195" w:lineRule="exact" w:before="83"/>
                    <w:ind w:left="69" w:right="64" w:firstLine="0"/>
                    <w:jc w:val="left"/>
                    <w:rPr>
                      <w:rFonts w:ascii="Calibri"/>
                      <w:b/>
                      <w:sz w:val="16"/>
                    </w:rPr>
                  </w:pPr>
                  <w:r>
                    <w:rPr>
                      <w:rFonts w:ascii="Calibri"/>
                      <w:b/>
                      <w:sz w:val="16"/>
                    </w:rPr>
                    <w:t>PERFIL</w:t>
                  </w:r>
                </w:p>
                <w:p>
                  <w:pPr>
                    <w:spacing w:before="0"/>
                    <w:ind w:left="69" w:right="64" w:firstLine="0"/>
                    <w:jc w:val="left"/>
                    <w:rPr>
                      <w:rFonts w:ascii="Calibri" w:hAnsi="Calibri"/>
                      <w:b/>
                      <w:sz w:val="16"/>
                    </w:rPr>
                  </w:pPr>
                  <w:r>
                    <w:rPr>
                      <w:rFonts w:ascii="Calibri" w:hAnsi="Calibri"/>
                      <w:b/>
                      <w:sz w:val="16"/>
                    </w:rPr>
                    <w:t>Bioquímico en sistema API</w:t>
                  </w:r>
                </w:p>
              </w:txbxContent>
            </v:textbox>
            <v:fill type="solid"/>
            <w10:wrap type="none"/>
          </v:shape>
        </w:pict>
      </w:r>
      <w:r>
        <w:rPr/>
        <w:pict>
          <v:shape style="position:absolute;margin-left:71.663994pt;margin-top:29.156279pt;width:486.1pt;height:139.950pt;mso-position-horizontal-relative:page;mso-position-vertical-relative:paragraph;z-index:1360"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8"/>
                    <w:gridCol w:w="377"/>
                    <w:gridCol w:w="420"/>
                    <w:gridCol w:w="436"/>
                    <w:gridCol w:w="399"/>
                    <w:gridCol w:w="422"/>
                    <w:gridCol w:w="426"/>
                    <w:gridCol w:w="436"/>
                    <w:gridCol w:w="432"/>
                    <w:gridCol w:w="410"/>
                    <w:gridCol w:w="387"/>
                    <w:gridCol w:w="348"/>
                    <w:gridCol w:w="375"/>
                    <w:gridCol w:w="389"/>
                    <w:gridCol w:w="357"/>
                    <w:gridCol w:w="446"/>
                    <w:gridCol w:w="464"/>
                    <w:gridCol w:w="402"/>
                    <w:gridCol w:w="408"/>
                    <w:gridCol w:w="434"/>
                    <w:gridCol w:w="463"/>
                    <w:gridCol w:w="533"/>
                    <w:gridCol w:w="614"/>
                  </w:tblGrid>
                  <w:tr>
                    <w:trPr>
                      <w:trHeight w:val="310" w:hRule="exact"/>
                    </w:trPr>
                    <w:tc>
                      <w:tcPr>
                        <w:tcW w:w="328" w:type="dxa"/>
                        <w:tcBorders>
                          <w:left w:val="nil"/>
                          <w:right w:val="nil"/>
                        </w:tcBorders>
                        <w:shd w:val="clear" w:color="auto" w:fill="CCC0DA"/>
                      </w:tcPr>
                      <w:p>
                        <w:pPr>
                          <w:pStyle w:val="TableParagraph"/>
                          <w:spacing w:before="102"/>
                          <w:ind w:left="51" w:right="90"/>
                          <w:jc w:val="center"/>
                          <w:rPr>
                            <w:sz w:val="16"/>
                          </w:rPr>
                        </w:pPr>
                        <w:r>
                          <w:rPr>
                            <w:sz w:val="16"/>
                          </w:rPr>
                          <w:t>(-)</w:t>
                        </w:r>
                      </w:p>
                    </w:tc>
                    <w:tc>
                      <w:tcPr>
                        <w:tcW w:w="377" w:type="dxa"/>
                        <w:tcBorders>
                          <w:left w:val="nil"/>
                          <w:right w:val="nil"/>
                        </w:tcBorders>
                        <w:shd w:val="clear" w:color="auto" w:fill="CCC0DA"/>
                      </w:tcPr>
                      <w:p>
                        <w:pPr>
                          <w:pStyle w:val="TableParagraph"/>
                          <w:spacing w:before="102"/>
                          <w:ind w:left="111"/>
                          <w:rPr>
                            <w:sz w:val="16"/>
                          </w:rPr>
                        </w:pPr>
                        <w:r>
                          <w:rPr>
                            <w:sz w:val="16"/>
                          </w:rPr>
                          <w:t>(-)</w:t>
                        </w:r>
                      </w:p>
                    </w:tc>
                    <w:tc>
                      <w:tcPr>
                        <w:tcW w:w="420" w:type="dxa"/>
                        <w:tcBorders>
                          <w:left w:val="nil"/>
                          <w:right w:val="nil"/>
                        </w:tcBorders>
                        <w:shd w:val="clear" w:color="auto" w:fill="CCC0DA"/>
                      </w:tcPr>
                      <w:p>
                        <w:pPr>
                          <w:pStyle w:val="TableParagraph"/>
                          <w:spacing w:before="102"/>
                          <w:ind w:left="118"/>
                          <w:rPr>
                            <w:sz w:val="16"/>
                          </w:rPr>
                        </w:pPr>
                        <w:r>
                          <w:rPr>
                            <w:sz w:val="16"/>
                          </w:rPr>
                          <w:t>(-)</w:t>
                        </w:r>
                      </w:p>
                    </w:tc>
                    <w:tc>
                      <w:tcPr>
                        <w:tcW w:w="436" w:type="dxa"/>
                        <w:tcBorders>
                          <w:left w:val="nil"/>
                          <w:right w:val="nil"/>
                        </w:tcBorders>
                        <w:shd w:val="clear" w:color="auto" w:fill="CCC0DA"/>
                      </w:tcPr>
                      <w:p>
                        <w:pPr>
                          <w:pStyle w:val="TableParagraph"/>
                          <w:spacing w:before="102"/>
                          <w:ind w:left="0" w:right="132"/>
                          <w:jc w:val="right"/>
                          <w:rPr>
                            <w:sz w:val="16"/>
                          </w:rPr>
                        </w:pPr>
                        <w:r>
                          <w:rPr>
                            <w:sz w:val="16"/>
                          </w:rPr>
                          <w:t>(-)</w:t>
                        </w:r>
                      </w:p>
                    </w:tc>
                    <w:tc>
                      <w:tcPr>
                        <w:tcW w:w="399" w:type="dxa"/>
                        <w:tcBorders>
                          <w:left w:val="nil"/>
                          <w:right w:val="nil"/>
                        </w:tcBorders>
                        <w:shd w:val="clear" w:color="auto" w:fill="CCC0DA"/>
                      </w:tcPr>
                      <w:p>
                        <w:pPr>
                          <w:pStyle w:val="TableParagraph"/>
                          <w:spacing w:before="102"/>
                          <w:ind w:left="0" w:right="142"/>
                          <w:jc w:val="right"/>
                          <w:rPr>
                            <w:sz w:val="16"/>
                          </w:rPr>
                        </w:pPr>
                        <w:r>
                          <w:rPr>
                            <w:sz w:val="16"/>
                          </w:rPr>
                          <w:t>(-)</w:t>
                        </w:r>
                      </w:p>
                    </w:tc>
                    <w:tc>
                      <w:tcPr>
                        <w:tcW w:w="422" w:type="dxa"/>
                        <w:tcBorders>
                          <w:left w:val="nil"/>
                          <w:right w:val="nil"/>
                        </w:tcBorders>
                        <w:shd w:val="clear" w:color="auto" w:fill="CCC0DA"/>
                      </w:tcPr>
                      <w:p>
                        <w:pPr>
                          <w:pStyle w:val="TableParagraph"/>
                          <w:spacing w:before="102"/>
                          <w:ind w:left="125" w:right="111"/>
                          <w:jc w:val="center"/>
                          <w:rPr>
                            <w:sz w:val="16"/>
                          </w:rPr>
                        </w:pPr>
                        <w:r>
                          <w:rPr>
                            <w:sz w:val="16"/>
                          </w:rPr>
                          <w:t>(-)</w:t>
                        </w:r>
                      </w:p>
                    </w:tc>
                    <w:tc>
                      <w:tcPr>
                        <w:tcW w:w="426" w:type="dxa"/>
                        <w:tcBorders>
                          <w:left w:val="nil"/>
                          <w:right w:val="nil"/>
                        </w:tcBorders>
                        <w:shd w:val="clear" w:color="auto" w:fill="CCC0DA"/>
                      </w:tcPr>
                      <w:p>
                        <w:pPr>
                          <w:pStyle w:val="TableParagraph"/>
                          <w:spacing w:before="102"/>
                          <w:ind w:left="130"/>
                          <w:rPr>
                            <w:sz w:val="16"/>
                          </w:rPr>
                        </w:pPr>
                        <w:r>
                          <w:rPr>
                            <w:sz w:val="16"/>
                          </w:rPr>
                          <w:t>(+)</w:t>
                        </w:r>
                      </w:p>
                    </w:tc>
                    <w:tc>
                      <w:tcPr>
                        <w:tcW w:w="436" w:type="dxa"/>
                        <w:tcBorders>
                          <w:left w:val="nil"/>
                          <w:right w:val="nil"/>
                        </w:tcBorders>
                        <w:shd w:val="clear" w:color="auto" w:fill="CCC0DA"/>
                      </w:tcPr>
                      <w:p>
                        <w:pPr>
                          <w:pStyle w:val="TableParagraph"/>
                          <w:spacing w:before="102"/>
                          <w:ind w:left="120"/>
                          <w:rPr>
                            <w:sz w:val="16"/>
                          </w:rPr>
                        </w:pPr>
                        <w:r>
                          <w:rPr>
                            <w:sz w:val="16"/>
                          </w:rPr>
                          <w:t>(-)</w:t>
                        </w:r>
                      </w:p>
                    </w:tc>
                    <w:tc>
                      <w:tcPr>
                        <w:tcW w:w="432" w:type="dxa"/>
                        <w:tcBorders>
                          <w:left w:val="nil"/>
                          <w:right w:val="nil"/>
                        </w:tcBorders>
                        <w:shd w:val="clear" w:color="auto" w:fill="CCC0DA"/>
                      </w:tcPr>
                      <w:p>
                        <w:pPr>
                          <w:pStyle w:val="TableParagraph"/>
                          <w:spacing w:before="102"/>
                          <w:ind w:left="82" w:right="30"/>
                          <w:jc w:val="center"/>
                          <w:rPr>
                            <w:sz w:val="16"/>
                          </w:rPr>
                        </w:pPr>
                        <w:r>
                          <w:rPr>
                            <w:sz w:val="16"/>
                          </w:rPr>
                          <w:t>(-)</w:t>
                        </w:r>
                      </w:p>
                    </w:tc>
                    <w:tc>
                      <w:tcPr>
                        <w:tcW w:w="410" w:type="dxa"/>
                        <w:tcBorders>
                          <w:left w:val="nil"/>
                          <w:right w:val="nil"/>
                        </w:tcBorders>
                        <w:shd w:val="clear" w:color="auto" w:fill="CCC0DA"/>
                      </w:tcPr>
                      <w:p>
                        <w:pPr>
                          <w:pStyle w:val="TableParagraph"/>
                          <w:spacing w:before="102"/>
                          <w:ind w:left="96" w:right="96"/>
                          <w:jc w:val="center"/>
                          <w:rPr>
                            <w:sz w:val="16"/>
                          </w:rPr>
                        </w:pPr>
                        <w:r>
                          <w:rPr>
                            <w:sz w:val="16"/>
                          </w:rPr>
                          <w:t>(+)</w:t>
                        </w:r>
                      </w:p>
                    </w:tc>
                    <w:tc>
                      <w:tcPr>
                        <w:tcW w:w="387" w:type="dxa"/>
                        <w:tcBorders>
                          <w:left w:val="nil"/>
                          <w:right w:val="nil"/>
                        </w:tcBorders>
                        <w:shd w:val="clear" w:color="auto" w:fill="CCC0DA"/>
                      </w:tcPr>
                      <w:p>
                        <w:pPr>
                          <w:pStyle w:val="TableParagraph"/>
                          <w:spacing w:before="102"/>
                          <w:ind w:left="100" w:right="100"/>
                          <w:jc w:val="center"/>
                          <w:rPr>
                            <w:sz w:val="16"/>
                          </w:rPr>
                        </w:pPr>
                        <w:r>
                          <w:rPr>
                            <w:sz w:val="16"/>
                          </w:rPr>
                          <w:t>(-)</w:t>
                        </w:r>
                      </w:p>
                    </w:tc>
                    <w:tc>
                      <w:tcPr>
                        <w:tcW w:w="348" w:type="dxa"/>
                        <w:tcBorders>
                          <w:left w:val="nil"/>
                          <w:right w:val="nil"/>
                        </w:tcBorders>
                        <w:shd w:val="clear" w:color="auto" w:fill="CCC0DA"/>
                      </w:tcPr>
                      <w:p>
                        <w:pPr>
                          <w:pStyle w:val="TableParagraph"/>
                          <w:spacing w:before="102"/>
                          <w:ind w:left="101" w:right="61"/>
                          <w:jc w:val="center"/>
                          <w:rPr>
                            <w:sz w:val="16"/>
                          </w:rPr>
                        </w:pPr>
                        <w:r>
                          <w:rPr>
                            <w:sz w:val="16"/>
                          </w:rPr>
                          <w:t>(-)</w:t>
                        </w:r>
                      </w:p>
                    </w:tc>
                    <w:tc>
                      <w:tcPr>
                        <w:tcW w:w="375" w:type="dxa"/>
                        <w:tcBorders>
                          <w:left w:val="nil"/>
                          <w:right w:val="nil"/>
                        </w:tcBorders>
                        <w:shd w:val="clear" w:color="auto" w:fill="CCC0DA"/>
                      </w:tcPr>
                      <w:p>
                        <w:pPr>
                          <w:pStyle w:val="TableParagraph"/>
                          <w:spacing w:before="102"/>
                          <w:ind w:left="80"/>
                          <w:rPr>
                            <w:sz w:val="16"/>
                          </w:rPr>
                        </w:pPr>
                        <w:r>
                          <w:rPr>
                            <w:sz w:val="16"/>
                          </w:rPr>
                          <w:t>(+)</w:t>
                        </w:r>
                      </w:p>
                    </w:tc>
                    <w:tc>
                      <w:tcPr>
                        <w:tcW w:w="389" w:type="dxa"/>
                        <w:tcBorders>
                          <w:left w:val="nil"/>
                          <w:right w:val="nil"/>
                        </w:tcBorders>
                        <w:shd w:val="clear" w:color="auto" w:fill="CCC0DA"/>
                      </w:tcPr>
                      <w:p>
                        <w:pPr>
                          <w:pStyle w:val="TableParagraph"/>
                          <w:spacing w:before="102"/>
                          <w:ind w:left="119"/>
                          <w:rPr>
                            <w:sz w:val="16"/>
                          </w:rPr>
                        </w:pPr>
                        <w:r>
                          <w:rPr>
                            <w:sz w:val="16"/>
                          </w:rPr>
                          <w:t>(+)</w:t>
                        </w:r>
                      </w:p>
                    </w:tc>
                    <w:tc>
                      <w:tcPr>
                        <w:tcW w:w="357" w:type="dxa"/>
                        <w:tcBorders>
                          <w:left w:val="nil"/>
                          <w:right w:val="nil"/>
                        </w:tcBorders>
                        <w:shd w:val="clear" w:color="auto" w:fill="CCC0DA"/>
                      </w:tcPr>
                      <w:p>
                        <w:pPr>
                          <w:pStyle w:val="TableParagraph"/>
                          <w:spacing w:before="102"/>
                          <w:ind w:left="75" w:right="95"/>
                          <w:jc w:val="center"/>
                          <w:rPr>
                            <w:sz w:val="16"/>
                          </w:rPr>
                        </w:pPr>
                        <w:r>
                          <w:rPr>
                            <w:sz w:val="16"/>
                          </w:rPr>
                          <w:t>(-)</w:t>
                        </w:r>
                      </w:p>
                    </w:tc>
                    <w:tc>
                      <w:tcPr>
                        <w:tcW w:w="446" w:type="dxa"/>
                        <w:tcBorders>
                          <w:left w:val="nil"/>
                          <w:right w:val="nil"/>
                        </w:tcBorders>
                        <w:shd w:val="clear" w:color="auto" w:fill="CCC0DA"/>
                      </w:tcPr>
                      <w:p>
                        <w:pPr>
                          <w:pStyle w:val="TableParagraph"/>
                          <w:spacing w:before="102"/>
                          <w:ind w:left="17" w:right="81"/>
                          <w:jc w:val="center"/>
                          <w:rPr>
                            <w:sz w:val="16"/>
                          </w:rPr>
                        </w:pPr>
                        <w:r>
                          <w:rPr>
                            <w:sz w:val="16"/>
                          </w:rPr>
                          <w:t>(-)</w:t>
                        </w:r>
                      </w:p>
                    </w:tc>
                    <w:tc>
                      <w:tcPr>
                        <w:tcW w:w="464" w:type="dxa"/>
                        <w:tcBorders>
                          <w:left w:val="nil"/>
                          <w:right w:val="nil"/>
                        </w:tcBorders>
                        <w:shd w:val="clear" w:color="auto" w:fill="CCC0DA"/>
                      </w:tcPr>
                      <w:p>
                        <w:pPr>
                          <w:pStyle w:val="TableParagraph"/>
                          <w:spacing w:before="102"/>
                          <w:ind w:left="108" w:right="113"/>
                          <w:jc w:val="center"/>
                          <w:rPr>
                            <w:sz w:val="16"/>
                          </w:rPr>
                        </w:pPr>
                        <w:r>
                          <w:rPr>
                            <w:sz w:val="16"/>
                          </w:rPr>
                          <w:t>(-)</w:t>
                        </w:r>
                      </w:p>
                    </w:tc>
                    <w:tc>
                      <w:tcPr>
                        <w:tcW w:w="402" w:type="dxa"/>
                        <w:tcBorders>
                          <w:left w:val="nil"/>
                          <w:right w:val="nil"/>
                        </w:tcBorders>
                        <w:shd w:val="clear" w:color="auto" w:fill="CCC0DA"/>
                      </w:tcPr>
                      <w:p>
                        <w:pPr>
                          <w:pStyle w:val="TableParagraph"/>
                          <w:spacing w:before="102"/>
                          <w:ind w:left="134"/>
                          <w:rPr>
                            <w:sz w:val="16"/>
                          </w:rPr>
                        </w:pPr>
                        <w:r>
                          <w:rPr>
                            <w:sz w:val="16"/>
                          </w:rPr>
                          <w:t>(-)</w:t>
                        </w:r>
                      </w:p>
                    </w:tc>
                    <w:tc>
                      <w:tcPr>
                        <w:tcW w:w="408" w:type="dxa"/>
                        <w:tcBorders>
                          <w:left w:val="nil"/>
                          <w:right w:val="nil"/>
                        </w:tcBorders>
                        <w:shd w:val="clear" w:color="auto" w:fill="CCC0DA"/>
                      </w:tcPr>
                      <w:p>
                        <w:pPr>
                          <w:pStyle w:val="TableParagraph"/>
                          <w:spacing w:before="102"/>
                          <w:ind w:left="120"/>
                          <w:rPr>
                            <w:sz w:val="16"/>
                          </w:rPr>
                        </w:pPr>
                        <w:r>
                          <w:rPr>
                            <w:sz w:val="16"/>
                          </w:rPr>
                          <w:t>(-)</w:t>
                        </w:r>
                      </w:p>
                    </w:tc>
                    <w:tc>
                      <w:tcPr>
                        <w:tcW w:w="434" w:type="dxa"/>
                        <w:tcBorders>
                          <w:left w:val="nil"/>
                          <w:right w:val="nil"/>
                        </w:tcBorders>
                        <w:shd w:val="clear" w:color="auto" w:fill="CCC0DA"/>
                      </w:tcPr>
                      <w:p>
                        <w:pPr>
                          <w:pStyle w:val="TableParagraph"/>
                          <w:spacing w:before="102"/>
                          <w:ind w:left="111"/>
                          <w:rPr>
                            <w:sz w:val="16"/>
                          </w:rPr>
                        </w:pPr>
                        <w:r>
                          <w:rPr>
                            <w:sz w:val="16"/>
                          </w:rPr>
                          <w:t>(-)</w:t>
                        </w:r>
                      </w:p>
                    </w:tc>
                    <w:tc>
                      <w:tcPr>
                        <w:tcW w:w="463" w:type="dxa"/>
                        <w:tcBorders>
                          <w:left w:val="nil"/>
                          <w:right w:val="nil"/>
                        </w:tcBorders>
                        <w:shd w:val="clear" w:color="auto" w:fill="CCC0DA"/>
                      </w:tcPr>
                      <w:p>
                        <w:pPr>
                          <w:pStyle w:val="TableParagraph"/>
                          <w:spacing w:before="102"/>
                          <w:ind w:left="0" w:right="110"/>
                          <w:jc w:val="right"/>
                          <w:rPr>
                            <w:sz w:val="16"/>
                          </w:rPr>
                        </w:pPr>
                        <w:r>
                          <w:rPr>
                            <w:sz w:val="16"/>
                          </w:rPr>
                          <w:t>(+)</w:t>
                        </w:r>
                      </w:p>
                    </w:tc>
                    <w:tc>
                      <w:tcPr>
                        <w:tcW w:w="533" w:type="dxa"/>
                        <w:tcBorders>
                          <w:left w:val="nil"/>
                          <w:right w:val="nil"/>
                        </w:tcBorders>
                        <w:shd w:val="clear" w:color="auto" w:fill="CCC0DA"/>
                      </w:tcPr>
                      <w:p>
                        <w:pPr>
                          <w:pStyle w:val="TableParagraph"/>
                          <w:spacing w:before="51"/>
                          <w:ind w:left="112"/>
                          <w:rPr>
                            <w:b/>
                            <w:sz w:val="16"/>
                          </w:rPr>
                        </w:pPr>
                        <w:r>
                          <w:rPr>
                            <w:b/>
                            <w:sz w:val="16"/>
                          </w:rPr>
                          <w:t>16</w:t>
                        </w:r>
                      </w:p>
                    </w:tc>
                    <w:tc>
                      <w:tcPr>
                        <w:tcW w:w="614" w:type="dxa"/>
                        <w:tcBorders>
                          <w:left w:val="nil"/>
                          <w:right w:val="nil"/>
                        </w:tcBorders>
                        <w:shd w:val="clear" w:color="auto" w:fill="CCC0DA"/>
                      </w:tcPr>
                      <w:p>
                        <w:pPr>
                          <w:pStyle w:val="TableParagraph"/>
                          <w:spacing w:before="51"/>
                          <w:ind w:left="256"/>
                          <w:rPr>
                            <w:b/>
                            <w:sz w:val="16"/>
                          </w:rPr>
                        </w:pPr>
                        <w:r>
                          <w:rPr>
                            <w:b/>
                            <w:sz w:val="16"/>
                          </w:rPr>
                          <w:t>23.2</w:t>
                        </w:r>
                      </w:p>
                    </w:tc>
                  </w:tr>
                  <w:tr>
                    <w:trPr>
                      <w:trHeight w:val="310" w:hRule="exact"/>
                    </w:trPr>
                    <w:tc>
                      <w:tcPr>
                        <w:tcW w:w="328" w:type="dxa"/>
                        <w:tcBorders>
                          <w:left w:val="nil"/>
                          <w:right w:val="nil"/>
                        </w:tcBorders>
                        <w:shd w:val="clear" w:color="auto" w:fill="E6B8B8"/>
                      </w:tcPr>
                      <w:p>
                        <w:pPr>
                          <w:pStyle w:val="TableParagraph"/>
                          <w:spacing w:before="104"/>
                          <w:ind w:left="51" w:right="90"/>
                          <w:jc w:val="center"/>
                          <w:rPr>
                            <w:sz w:val="16"/>
                          </w:rPr>
                        </w:pPr>
                        <w:r>
                          <w:rPr>
                            <w:sz w:val="16"/>
                          </w:rPr>
                          <w:t>(-)</w:t>
                        </w:r>
                      </w:p>
                    </w:tc>
                    <w:tc>
                      <w:tcPr>
                        <w:tcW w:w="377" w:type="dxa"/>
                        <w:tcBorders>
                          <w:left w:val="nil"/>
                          <w:right w:val="nil"/>
                        </w:tcBorders>
                        <w:shd w:val="clear" w:color="auto" w:fill="E6B8B8"/>
                      </w:tcPr>
                      <w:p>
                        <w:pPr>
                          <w:pStyle w:val="TableParagraph"/>
                          <w:spacing w:before="104"/>
                          <w:ind w:left="111"/>
                          <w:rPr>
                            <w:sz w:val="16"/>
                          </w:rPr>
                        </w:pPr>
                        <w:r>
                          <w:rPr>
                            <w:sz w:val="16"/>
                          </w:rPr>
                          <w:t>(-)</w:t>
                        </w:r>
                      </w:p>
                    </w:tc>
                    <w:tc>
                      <w:tcPr>
                        <w:tcW w:w="420" w:type="dxa"/>
                        <w:tcBorders>
                          <w:left w:val="nil"/>
                          <w:right w:val="nil"/>
                        </w:tcBorders>
                        <w:shd w:val="clear" w:color="auto" w:fill="E6B8B8"/>
                      </w:tcPr>
                      <w:p>
                        <w:pPr>
                          <w:pStyle w:val="TableParagraph"/>
                          <w:spacing w:before="104"/>
                          <w:ind w:left="118"/>
                          <w:rPr>
                            <w:sz w:val="16"/>
                          </w:rPr>
                        </w:pPr>
                        <w:r>
                          <w:rPr>
                            <w:sz w:val="16"/>
                          </w:rPr>
                          <w:t>(-)</w:t>
                        </w:r>
                      </w:p>
                    </w:tc>
                    <w:tc>
                      <w:tcPr>
                        <w:tcW w:w="436" w:type="dxa"/>
                        <w:tcBorders>
                          <w:left w:val="nil"/>
                          <w:right w:val="nil"/>
                        </w:tcBorders>
                        <w:shd w:val="clear" w:color="auto" w:fill="E6B8B8"/>
                      </w:tcPr>
                      <w:p>
                        <w:pPr>
                          <w:pStyle w:val="TableParagraph"/>
                          <w:spacing w:before="104"/>
                          <w:ind w:left="0" w:right="104"/>
                          <w:jc w:val="right"/>
                          <w:rPr>
                            <w:sz w:val="16"/>
                          </w:rPr>
                        </w:pPr>
                        <w:r>
                          <w:rPr>
                            <w:sz w:val="16"/>
                          </w:rPr>
                          <w:t>(+)</w:t>
                        </w:r>
                      </w:p>
                    </w:tc>
                    <w:tc>
                      <w:tcPr>
                        <w:tcW w:w="399" w:type="dxa"/>
                        <w:tcBorders>
                          <w:left w:val="nil"/>
                          <w:right w:val="nil"/>
                        </w:tcBorders>
                        <w:shd w:val="clear" w:color="auto" w:fill="E6B8B8"/>
                      </w:tcPr>
                      <w:p>
                        <w:pPr>
                          <w:pStyle w:val="TableParagraph"/>
                          <w:spacing w:before="104"/>
                          <w:ind w:left="0" w:right="142"/>
                          <w:jc w:val="right"/>
                          <w:rPr>
                            <w:sz w:val="16"/>
                          </w:rPr>
                        </w:pPr>
                        <w:r>
                          <w:rPr>
                            <w:sz w:val="16"/>
                          </w:rPr>
                          <w:t>(-)</w:t>
                        </w:r>
                      </w:p>
                    </w:tc>
                    <w:tc>
                      <w:tcPr>
                        <w:tcW w:w="422" w:type="dxa"/>
                        <w:tcBorders>
                          <w:left w:val="nil"/>
                          <w:right w:val="nil"/>
                        </w:tcBorders>
                        <w:shd w:val="clear" w:color="auto" w:fill="E6B8B8"/>
                      </w:tcPr>
                      <w:p>
                        <w:pPr>
                          <w:pStyle w:val="TableParagraph"/>
                          <w:spacing w:before="104"/>
                          <w:ind w:left="125" w:right="111"/>
                          <w:jc w:val="center"/>
                          <w:rPr>
                            <w:sz w:val="16"/>
                          </w:rPr>
                        </w:pPr>
                        <w:r>
                          <w:rPr>
                            <w:sz w:val="16"/>
                          </w:rPr>
                          <w:t>(-)</w:t>
                        </w:r>
                      </w:p>
                    </w:tc>
                    <w:tc>
                      <w:tcPr>
                        <w:tcW w:w="426" w:type="dxa"/>
                        <w:tcBorders>
                          <w:left w:val="nil"/>
                          <w:right w:val="nil"/>
                        </w:tcBorders>
                        <w:shd w:val="clear" w:color="auto" w:fill="E6B8B8"/>
                      </w:tcPr>
                      <w:p>
                        <w:pPr>
                          <w:pStyle w:val="TableParagraph"/>
                          <w:spacing w:before="104"/>
                          <w:ind w:left="130"/>
                          <w:rPr>
                            <w:sz w:val="16"/>
                          </w:rPr>
                        </w:pPr>
                        <w:r>
                          <w:rPr>
                            <w:sz w:val="16"/>
                          </w:rPr>
                          <w:t>(+)</w:t>
                        </w:r>
                      </w:p>
                    </w:tc>
                    <w:tc>
                      <w:tcPr>
                        <w:tcW w:w="436" w:type="dxa"/>
                        <w:tcBorders>
                          <w:left w:val="nil"/>
                          <w:right w:val="nil"/>
                        </w:tcBorders>
                        <w:shd w:val="clear" w:color="auto" w:fill="E6B8B8"/>
                      </w:tcPr>
                      <w:p>
                        <w:pPr>
                          <w:pStyle w:val="TableParagraph"/>
                          <w:spacing w:before="104"/>
                          <w:ind w:left="120"/>
                          <w:rPr>
                            <w:sz w:val="16"/>
                          </w:rPr>
                        </w:pPr>
                        <w:r>
                          <w:rPr>
                            <w:sz w:val="16"/>
                          </w:rPr>
                          <w:t>(-)</w:t>
                        </w:r>
                      </w:p>
                    </w:tc>
                    <w:tc>
                      <w:tcPr>
                        <w:tcW w:w="432" w:type="dxa"/>
                        <w:tcBorders>
                          <w:left w:val="nil"/>
                          <w:right w:val="nil"/>
                        </w:tcBorders>
                        <w:shd w:val="clear" w:color="auto" w:fill="E6B8B8"/>
                      </w:tcPr>
                      <w:p>
                        <w:pPr>
                          <w:pStyle w:val="TableParagraph"/>
                          <w:spacing w:before="104"/>
                          <w:ind w:left="82" w:right="30"/>
                          <w:jc w:val="center"/>
                          <w:rPr>
                            <w:sz w:val="16"/>
                          </w:rPr>
                        </w:pPr>
                        <w:r>
                          <w:rPr>
                            <w:sz w:val="16"/>
                          </w:rPr>
                          <w:t>(-)</w:t>
                        </w:r>
                      </w:p>
                    </w:tc>
                    <w:tc>
                      <w:tcPr>
                        <w:tcW w:w="410" w:type="dxa"/>
                        <w:tcBorders>
                          <w:left w:val="nil"/>
                          <w:right w:val="nil"/>
                        </w:tcBorders>
                        <w:shd w:val="clear" w:color="auto" w:fill="E6B8B8"/>
                      </w:tcPr>
                      <w:p>
                        <w:pPr>
                          <w:pStyle w:val="TableParagraph"/>
                          <w:spacing w:before="104"/>
                          <w:ind w:left="96" w:right="96"/>
                          <w:jc w:val="center"/>
                          <w:rPr>
                            <w:sz w:val="16"/>
                          </w:rPr>
                        </w:pPr>
                        <w:r>
                          <w:rPr>
                            <w:sz w:val="16"/>
                          </w:rPr>
                          <w:t>(+)</w:t>
                        </w:r>
                      </w:p>
                    </w:tc>
                    <w:tc>
                      <w:tcPr>
                        <w:tcW w:w="387" w:type="dxa"/>
                        <w:tcBorders>
                          <w:left w:val="nil"/>
                          <w:right w:val="nil"/>
                        </w:tcBorders>
                        <w:shd w:val="clear" w:color="auto" w:fill="E6B8B8"/>
                      </w:tcPr>
                      <w:p>
                        <w:pPr>
                          <w:pStyle w:val="TableParagraph"/>
                          <w:spacing w:before="104"/>
                          <w:ind w:left="100" w:right="100"/>
                          <w:jc w:val="center"/>
                          <w:rPr>
                            <w:sz w:val="16"/>
                          </w:rPr>
                        </w:pPr>
                        <w:r>
                          <w:rPr>
                            <w:sz w:val="16"/>
                          </w:rPr>
                          <w:t>(-)</w:t>
                        </w:r>
                      </w:p>
                    </w:tc>
                    <w:tc>
                      <w:tcPr>
                        <w:tcW w:w="348" w:type="dxa"/>
                        <w:tcBorders>
                          <w:left w:val="nil"/>
                          <w:right w:val="nil"/>
                        </w:tcBorders>
                        <w:shd w:val="clear" w:color="auto" w:fill="E6B8B8"/>
                      </w:tcPr>
                      <w:p>
                        <w:pPr>
                          <w:pStyle w:val="TableParagraph"/>
                          <w:spacing w:before="104"/>
                          <w:ind w:left="101" w:right="61"/>
                          <w:jc w:val="center"/>
                          <w:rPr>
                            <w:sz w:val="16"/>
                          </w:rPr>
                        </w:pPr>
                        <w:r>
                          <w:rPr>
                            <w:sz w:val="16"/>
                          </w:rPr>
                          <w:t>(-)</w:t>
                        </w:r>
                      </w:p>
                    </w:tc>
                    <w:tc>
                      <w:tcPr>
                        <w:tcW w:w="375" w:type="dxa"/>
                        <w:tcBorders>
                          <w:left w:val="nil"/>
                          <w:right w:val="nil"/>
                        </w:tcBorders>
                        <w:shd w:val="clear" w:color="auto" w:fill="E6B8B8"/>
                      </w:tcPr>
                      <w:p>
                        <w:pPr>
                          <w:pStyle w:val="TableParagraph"/>
                          <w:spacing w:before="104"/>
                          <w:ind w:left="80"/>
                          <w:rPr>
                            <w:sz w:val="16"/>
                          </w:rPr>
                        </w:pPr>
                        <w:r>
                          <w:rPr>
                            <w:sz w:val="16"/>
                          </w:rPr>
                          <w:t>(+)</w:t>
                        </w:r>
                      </w:p>
                    </w:tc>
                    <w:tc>
                      <w:tcPr>
                        <w:tcW w:w="389" w:type="dxa"/>
                        <w:tcBorders>
                          <w:left w:val="nil"/>
                          <w:right w:val="nil"/>
                        </w:tcBorders>
                        <w:shd w:val="clear" w:color="auto" w:fill="E6B8B8"/>
                      </w:tcPr>
                      <w:p>
                        <w:pPr>
                          <w:pStyle w:val="TableParagraph"/>
                          <w:spacing w:before="104"/>
                          <w:ind w:left="119"/>
                          <w:rPr>
                            <w:sz w:val="16"/>
                          </w:rPr>
                        </w:pPr>
                        <w:r>
                          <w:rPr>
                            <w:sz w:val="16"/>
                          </w:rPr>
                          <w:t>(+)</w:t>
                        </w:r>
                      </w:p>
                    </w:tc>
                    <w:tc>
                      <w:tcPr>
                        <w:tcW w:w="357" w:type="dxa"/>
                        <w:tcBorders>
                          <w:left w:val="nil"/>
                          <w:right w:val="nil"/>
                        </w:tcBorders>
                        <w:shd w:val="clear" w:color="auto" w:fill="E6B8B8"/>
                      </w:tcPr>
                      <w:p>
                        <w:pPr>
                          <w:pStyle w:val="TableParagraph"/>
                          <w:spacing w:before="104"/>
                          <w:ind w:left="75" w:right="95"/>
                          <w:jc w:val="center"/>
                          <w:rPr>
                            <w:sz w:val="16"/>
                          </w:rPr>
                        </w:pPr>
                        <w:r>
                          <w:rPr>
                            <w:sz w:val="16"/>
                          </w:rPr>
                          <w:t>(-)</w:t>
                        </w:r>
                      </w:p>
                    </w:tc>
                    <w:tc>
                      <w:tcPr>
                        <w:tcW w:w="446" w:type="dxa"/>
                        <w:tcBorders>
                          <w:left w:val="nil"/>
                          <w:right w:val="nil"/>
                        </w:tcBorders>
                        <w:shd w:val="clear" w:color="auto" w:fill="E6B8B8"/>
                      </w:tcPr>
                      <w:p>
                        <w:pPr>
                          <w:pStyle w:val="TableParagraph"/>
                          <w:spacing w:before="104"/>
                          <w:ind w:left="45" w:right="81"/>
                          <w:jc w:val="center"/>
                          <w:rPr>
                            <w:sz w:val="16"/>
                          </w:rPr>
                        </w:pPr>
                        <w:r>
                          <w:rPr>
                            <w:sz w:val="16"/>
                          </w:rPr>
                          <w:t>(+)</w:t>
                        </w:r>
                      </w:p>
                    </w:tc>
                    <w:tc>
                      <w:tcPr>
                        <w:tcW w:w="464" w:type="dxa"/>
                        <w:tcBorders>
                          <w:left w:val="nil"/>
                          <w:right w:val="nil"/>
                        </w:tcBorders>
                        <w:shd w:val="clear" w:color="auto" w:fill="E6B8B8"/>
                      </w:tcPr>
                      <w:p>
                        <w:pPr>
                          <w:pStyle w:val="TableParagraph"/>
                          <w:spacing w:before="104"/>
                          <w:ind w:left="133" w:right="113"/>
                          <w:jc w:val="center"/>
                          <w:rPr>
                            <w:sz w:val="16"/>
                          </w:rPr>
                        </w:pPr>
                        <w:r>
                          <w:rPr>
                            <w:sz w:val="16"/>
                          </w:rPr>
                          <w:t>(+)</w:t>
                        </w:r>
                      </w:p>
                    </w:tc>
                    <w:tc>
                      <w:tcPr>
                        <w:tcW w:w="402" w:type="dxa"/>
                        <w:tcBorders>
                          <w:left w:val="nil"/>
                          <w:right w:val="nil"/>
                        </w:tcBorders>
                        <w:shd w:val="clear" w:color="auto" w:fill="E6B8B8"/>
                      </w:tcPr>
                      <w:p>
                        <w:pPr>
                          <w:pStyle w:val="TableParagraph"/>
                          <w:spacing w:before="104"/>
                          <w:ind w:left="134"/>
                          <w:rPr>
                            <w:sz w:val="16"/>
                          </w:rPr>
                        </w:pPr>
                        <w:r>
                          <w:rPr>
                            <w:sz w:val="16"/>
                          </w:rPr>
                          <w:t>(-)</w:t>
                        </w:r>
                      </w:p>
                    </w:tc>
                    <w:tc>
                      <w:tcPr>
                        <w:tcW w:w="408" w:type="dxa"/>
                        <w:tcBorders>
                          <w:left w:val="nil"/>
                          <w:right w:val="nil"/>
                        </w:tcBorders>
                        <w:shd w:val="clear" w:color="auto" w:fill="E6B8B8"/>
                      </w:tcPr>
                      <w:p>
                        <w:pPr>
                          <w:pStyle w:val="TableParagraph"/>
                          <w:spacing w:before="104"/>
                          <w:ind w:left="120"/>
                          <w:rPr>
                            <w:sz w:val="16"/>
                          </w:rPr>
                        </w:pPr>
                        <w:r>
                          <w:rPr>
                            <w:sz w:val="16"/>
                          </w:rPr>
                          <w:t>(-)</w:t>
                        </w:r>
                      </w:p>
                    </w:tc>
                    <w:tc>
                      <w:tcPr>
                        <w:tcW w:w="434" w:type="dxa"/>
                        <w:tcBorders>
                          <w:left w:val="nil"/>
                          <w:right w:val="nil"/>
                        </w:tcBorders>
                        <w:shd w:val="clear" w:color="auto" w:fill="E6B8B8"/>
                      </w:tcPr>
                      <w:p>
                        <w:pPr>
                          <w:pStyle w:val="TableParagraph"/>
                          <w:spacing w:before="104"/>
                          <w:ind w:left="111"/>
                          <w:rPr>
                            <w:sz w:val="16"/>
                          </w:rPr>
                        </w:pPr>
                        <w:r>
                          <w:rPr>
                            <w:sz w:val="16"/>
                          </w:rPr>
                          <w:t>(-)</w:t>
                        </w:r>
                      </w:p>
                    </w:tc>
                    <w:tc>
                      <w:tcPr>
                        <w:tcW w:w="463" w:type="dxa"/>
                        <w:tcBorders>
                          <w:left w:val="nil"/>
                          <w:right w:val="nil"/>
                        </w:tcBorders>
                        <w:shd w:val="clear" w:color="auto" w:fill="E6B8B8"/>
                      </w:tcPr>
                      <w:p>
                        <w:pPr>
                          <w:pStyle w:val="TableParagraph"/>
                          <w:spacing w:before="104"/>
                          <w:ind w:left="0" w:right="110"/>
                          <w:jc w:val="right"/>
                          <w:rPr>
                            <w:sz w:val="16"/>
                          </w:rPr>
                        </w:pPr>
                        <w:r>
                          <w:rPr>
                            <w:sz w:val="16"/>
                          </w:rPr>
                          <w:t>(+)</w:t>
                        </w:r>
                      </w:p>
                    </w:tc>
                    <w:tc>
                      <w:tcPr>
                        <w:tcW w:w="533" w:type="dxa"/>
                        <w:tcBorders>
                          <w:left w:val="nil"/>
                          <w:right w:val="nil"/>
                        </w:tcBorders>
                        <w:shd w:val="clear" w:color="auto" w:fill="E6B8B8"/>
                      </w:tcPr>
                      <w:p>
                        <w:pPr>
                          <w:pStyle w:val="TableParagraph"/>
                          <w:spacing w:before="51"/>
                          <w:ind w:left="112"/>
                          <w:rPr>
                            <w:b/>
                            <w:sz w:val="16"/>
                          </w:rPr>
                        </w:pPr>
                        <w:r>
                          <w:rPr>
                            <w:b/>
                            <w:w w:val="100"/>
                            <w:sz w:val="16"/>
                          </w:rPr>
                          <w:t>9</w:t>
                        </w:r>
                      </w:p>
                    </w:tc>
                    <w:tc>
                      <w:tcPr>
                        <w:tcW w:w="614" w:type="dxa"/>
                        <w:tcBorders>
                          <w:left w:val="nil"/>
                          <w:right w:val="nil"/>
                        </w:tcBorders>
                        <w:shd w:val="clear" w:color="auto" w:fill="E6B8B8"/>
                      </w:tcPr>
                      <w:p>
                        <w:pPr>
                          <w:pStyle w:val="TableParagraph"/>
                          <w:spacing w:before="51"/>
                          <w:ind w:left="256"/>
                          <w:rPr>
                            <w:b/>
                            <w:sz w:val="16"/>
                          </w:rPr>
                        </w:pPr>
                        <w:r>
                          <w:rPr>
                            <w:b/>
                            <w:sz w:val="16"/>
                          </w:rPr>
                          <w:t>13.0</w:t>
                        </w:r>
                      </w:p>
                    </w:tc>
                  </w:tr>
                  <w:tr>
                    <w:trPr>
                      <w:trHeight w:val="310" w:hRule="exact"/>
                    </w:trPr>
                    <w:tc>
                      <w:tcPr>
                        <w:tcW w:w="328" w:type="dxa"/>
                        <w:tcBorders>
                          <w:left w:val="nil"/>
                          <w:bottom w:val="single" w:sz="4" w:space="0" w:color="000000"/>
                          <w:right w:val="nil"/>
                        </w:tcBorders>
                        <w:shd w:val="clear" w:color="auto" w:fill="C5D9F0"/>
                      </w:tcPr>
                      <w:p>
                        <w:pPr>
                          <w:pStyle w:val="TableParagraph"/>
                          <w:spacing w:before="104"/>
                          <w:ind w:left="51" w:right="90"/>
                          <w:jc w:val="center"/>
                          <w:rPr>
                            <w:sz w:val="16"/>
                          </w:rPr>
                        </w:pPr>
                        <w:r>
                          <w:rPr>
                            <w:sz w:val="16"/>
                          </w:rPr>
                          <w:t>(-)</w:t>
                        </w:r>
                      </w:p>
                    </w:tc>
                    <w:tc>
                      <w:tcPr>
                        <w:tcW w:w="377" w:type="dxa"/>
                        <w:tcBorders>
                          <w:left w:val="nil"/>
                          <w:bottom w:val="single" w:sz="4" w:space="0" w:color="000000"/>
                          <w:right w:val="nil"/>
                        </w:tcBorders>
                        <w:shd w:val="clear" w:color="auto" w:fill="C5D9F0"/>
                      </w:tcPr>
                      <w:p>
                        <w:pPr>
                          <w:pStyle w:val="TableParagraph"/>
                          <w:spacing w:before="104"/>
                          <w:ind w:left="111"/>
                          <w:rPr>
                            <w:sz w:val="16"/>
                          </w:rPr>
                        </w:pPr>
                        <w:r>
                          <w:rPr>
                            <w:sz w:val="16"/>
                          </w:rPr>
                          <w:t>(-)</w:t>
                        </w:r>
                      </w:p>
                    </w:tc>
                    <w:tc>
                      <w:tcPr>
                        <w:tcW w:w="420" w:type="dxa"/>
                        <w:tcBorders>
                          <w:left w:val="nil"/>
                          <w:bottom w:val="single" w:sz="4" w:space="0" w:color="000000"/>
                          <w:right w:val="nil"/>
                        </w:tcBorders>
                        <w:shd w:val="clear" w:color="auto" w:fill="C5D9F0"/>
                      </w:tcPr>
                      <w:p>
                        <w:pPr>
                          <w:pStyle w:val="TableParagraph"/>
                          <w:spacing w:before="104"/>
                          <w:ind w:left="118"/>
                          <w:rPr>
                            <w:sz w:val="16"/>
                          </w:rPr>
                        </w:pPr>
                        <w:r>
                          <w:rPr>
                            <w:sz w:val="16"/>
                          </w:rPr>
                          <w:t>(-)</w:t>
                        </w:r>
                      </w:p>
                    </w:tc>
                    <w:tc>
                      <w:tcPr>
                        <w:tcW w:w="436" w:type="dxa"/>
                        <w:tcBorders>
                          <w:left w:val="nil"/>
                          <w:bottom w:val="single" w:sz="4" w:space="0" w:color="000000"/>
                          <w:right w:val="nil"/>
                        </w:tcBorders>
                        <w:shd w:val="clear" w:color="auto" w:fill="C5D9F0"/>
                      </w:tcPr>
                      <w:p>
                        <w:pPr>
                          <w:pStyle w:val="TableParagraph"/>
                          <w:spacing w:before="104"/>
                          <w:ind w:left="0" w:right="104"/>
                          <w:jc w:val="right"/>
                          <w:rPr>
                            <w:sz w:val="16"/>
                          </w:rPr>
                        </w:pPr>
                        <w:r>
                          <w:rPr>
                            <w:sz w:val="16"/>
                          </w:rPr>
                          <w:t>(+)</w:t>
                        </w:r>
                      </w:p>
                    </w:tc>
                    <w:tc>
                      <w:tcPr>
                        <w:tcW w:w="399" w:type="dxa"/>
                        <w:tcBorders>
                          <w:left w:val="nil"/>
                          <w:bottom w:val="single" w:sz="4" w:space="0" w:color="000000"/>
                          <w:right w:val="nil"/>
                        </w:tcBorders>
                        <w:shd w:val="clear" w:color="auto" w:fill="C5D9F0"/>
                      </w:tcPr>
                      <w:p>
                        <w:pPr>
                          <w:pStyle w:val="TableParagraph"/>
                          <w:spacing w:before="104"/>
                          <w:ind w:left="0" w:right="142"/>
                          <w:jc w:val="right"/>
                          <w:rPr>
                            <w:sz w:val="16"/>
                          </w:rPr>
                        </w:pPr>
                        <w:r>
                          <w:rPr>
                            <w:sz w:val="16"/>
                          </w:rPr>
                          <w:t>(-)</w:t>
                        </w:r>
                      </w:p>
                    </w:tc>
                    <w:tc>
                      <w:tcPr>
                        <w:tcW w:w="422" w:type="dxa"/>
                        <w:tcBorders>
                          <w:left w:val="nil"/>
                          <w:bottom w:val="single" w:sz="4" w:space="0" w:color="000000"/>
                          <w:right w:val="nil"/>
                        </w:tcBorders>
                        <w:shd w:val="clear" w:color="auto" w:fill="C5D9F0"/>
                      </w:tcPr>
                      <w:p>
                        <w:pPr>
                          <w:pStyle w:val="TableParagraph"/>
                          <w:spacing w:before="104"/>
                          <w:ind w:left="125" w:right="111"/>
                          <w:jc w:val="center"/>
                          <w:rPr>
                            <w:sz w:val="16"/>
                          </w:rPr>
                        </w:pPr>
                        <w:r>
                          <w:rPr>
                            <w:sz w:val="16"/>
                          </w:rPr>
                          <w:t>(-)</w:t>
                        </w:r>
                      </w:p>
                    </w:tc>
                    <w:tc>
                      <w:tcPr>
                        <w:tcW w:w="426" w:type="dxa"/>
                        <w:tcBorders>
                          <w:left w:val="nil"/>
                          <w:bottom w:val="single" w:sz="4" w:space="0" w:color="000000"/>
                          <w:right w:val="nil"/>
                        </w:tcBorders>
                        <w:shd w:val="clear" w:color="auto" w:fill="C5D9F0"/>
                      </w:tcPr>
                      <w:p>
                        <w:pPr>
                          <w:pStyle w:val="TableParagraph"/>
                          <w:spacing w:before="104"/>
                          <w:ind w:left="130"/>
                          <w:rPr>
                            <w:sz w:val="16"/>
                          </w:rPr>
                        </w:pPr>
                        <w:r>
                          <w:rPr>
                            <w:sz w:val="16"/>
                          </w:rPr>
                          <w:t>(+)</w:t>
                        </w:r>
                      </w:p>
                    </w:tc>
                    <w:tc>
                      <w:tcPr>
                        <w:tcW w:w="436" w:type="dxa"/>
                        <w:tcBorders>
                          <w:left w:val="nil"/>
                          <w:bottom w:val="single" w:sz="4" w:space="0" w:color="000000"/>
                          <w:right w:val="nil"/>
                        </w:tcBorders>
                        <w:shd w:val="clear" w:color="auto" w:fill="C5D9F0"/>
                      </w:tcPr>
                      <w:p>
                        <w:pPr>
                          <w:pStyle w:val="TableParagraph"/>
                          <w:spacing w:before="104"/>
                          <w:ind w:left="120"/>
                          <w:rPr>
                            <w:sz w:val="16"/>
                          </w:rPr>
                        </w:pPr>
                        <w:r>
                          <w:rPr>
                            <w:sz w:val="16"/>
                          </w:rPr>
                          <w:t>(-)</w:t>
                        </w:r>
                      </w:p>
                    </w:tc>
                    <w:tc>
                      <w:tcPr>
                        <w:tcW w:w="432" w:type="dxa"/>
                        <w:tcBorders>
                          <w:left w:val="nil"/>
                          <w:bottom w:val="single" w:sz="4" w:space="0" w:color="000000"/>
                          <w:right w:val="nil"/>
                        </w:tcBorders>
                        <w:shd w:val="clear" w:color="auto" w:fill="C5D9F0"/>
                      </w:tcPr>
                      <w:p>
                        <w:pPr>
                          <w:pStyle w:val="TableParagraph"/>
                          <w:spacing w:before="104"/>
                          <w:ind w:left="82" w:right="30"/>
                          <w:jc w:val="center"/>
                          <w:rPr>
                            <w:sz w:val="16"/>
                          </w:rPr>
                        </w:pPr>
                        <w:r>
                          <w:rPr>
                            <w:sz w:val="16"/>
                          </w:rPr>
                          <w:t>(-)</w:t>
                        </w:r>
                      </w:p>
                    </w:tc>
                    <w:tc>
                      <w:tcPr>
                        <w:tcW w:w="410" w:type="dxa"/>
                        <w:tcBorders>
                          <w:left w:val="nil"/>
                          <w:bottom w:val="single" w:sz="4" w:space="0" w:color="000000"/>
                          <w:right w:val="nil"/>
                        </w:tcBorders>
                        <w:shd w:val="clear" w:color="auto" w:fill="C5D9F0"/>
                      </w:tcPr>
                      <w:p>
                        <w:pPr>
                          <w:pStyle w:val="TableParagraph"/>
                          <w:spacing w:before="104"/>
                          <w:ind w:left="96" w:right="96"/>
                          <w:jc w:val="center"/>
                          <w:rPr>
                            <w:sz w:val="16"/>
                          </w:rPr>
                        </w:pPr>
                        <w:r>
                          <w:rPr>
                            <w:sz w:val="16"/>
                          </w:rPr>
                          <w:t>(+)</w:t>
                        </w:r>
                      </w:p>
                    </w:tc>
                    <w:tc>
                      <w:tcPr>
                        <w:tcW w:w="387" w:type="dxa"/>
                        <w:tcBorders>
                          <w:left w:val="nil"/>
                          <w:bottom w:val="single" w:sz="4" w:space="0" w:color="000000"/>
                          <w:right w:val="nil"/>
                        </w:tcBorders>
                        <w:shd w:val="clear" w:color="auto" w:fill="C5D9F0"/>
                      </w:tcPr>
                      <w:p>
                        <w:pPr>
                          <w:pStyle w:val="TableParagraph"/>
                          <w:spacing w:before="104"/>
                          <w:ind w:left="100" w:right="100"/>
                          <w:jc w:val="center"/>
                          <w:rPr>
                            <w:sz w:val="16"/>
                          </w:rPr>
                        </w:pPr>
                        <w:r>
                          <w:rPr>
                            <w:sz w:val="16"/>
                          </w:rPr>
                          <w:t>(-)</w:t>
                        </w:r>
                      </w:p>
                    </w:tc>
                    <w:tc>
                      <w:tcPr>
                        <w:tcW w:w="348" w:type="dxa"/>
                        <w:tcBorders>
                          <w:left w:val="nil"/>
                          <w:bottom w:val="single" w:sz="4" w:space="0" w:color="000000"/>
                          <w:right w:val="nil"/>
                        </w:tcBorders>
                        <w:shd w:val="clear" w:color="auto" w:fill="C5D9F0"/>
                      </w:tcPr>
                      <w:p>
                        <w:pPr>
                          <w:pStyle w:val="TableParagraph"/>
                          <w:spacing w:before="104"/>
                          <w:ind w:left="101" w:right="61"/>
                          <w:jc w:val="center"/>
                          <w:rPr>
                            <w:sz w:val="16"/>
                          </w:rPr>
                        </w:pPr>
                        <w:r>
                          <w:rPr>
                            <w:sz w:val="16"/>
                          </w:rPr>
                          <w:t>(-)</w:t>
                        </w:r>
                      </w:p>
                    </w:tc>
                    <w:tc>
                      <w:tcPr>
                        <w:tcW w:w="375" w:type="dxa"/>
                        <w:tcBorders>
                          <w:left w:val="nil"/>
                          <w:bottom w:val="single" w:sz="4" w:space="0" w:color="000000"/>
                          <w:right w:val="nil"/>
                        </w:tcBorders>
                        <w:shd w:val="clear" w:color="auto" w:fill="C5D9F0"/>
                      </w:tcPr>
                      <w:p>
                        <w:pPr>
                          <w:pStyle w:val="TableParagraph"/>
                          <w:spacing w:before="104"/>
                          <w:ind w:left="80"/>
                          <w:rPr>
                            <w:sz w:val="16"/>
                          </w:rPr>
                        </w:pPr>
                        <w:r>
                          <w:rPr>
                            <w:sz w:val="16"/>
                          </w:rPr>
                          <w:t>(+)</w:t>
                        </w:r>
                      </w:p>
                    </w:tc>
                    <w:tc>
                      <w:tcPr>
                        <w:tcW w:w="389" w:type="dxa"/>
                        <w:tcBorders>
                          <w:left w:val="nil"/>
                          <w:bottom w:val="single" w:sz="4" w:space="0" w:color="000000"/>
                          <w:right w:val="nil"/>
                        </w:tcBorders>
                        <w:shd w:val="clear" w:color="auto" w:fill="C5D9F0"/>
                      </w:tcPr>
                      <w:p>
                        <w:pPr>
                          <w:pStyle w:val="TableParagraph"/>
                          <w:spacing w:before="104"/>
                          <w:ind w:left="119"/>
                          <w:rPr>
                            <w:sz w:val="16"/>
                          </w:rPr>
                        </w:pPr>
                        <w:r>
                          <w:rPr>
                            <w:sz w:val="16"/>
                          </w:rPr>
                          <w:t>(+)</w:t>
                        </w:r>
                      </w:p>
                    </w:tc>
                    <w:tc>
                      <w:tcPr>
                        <w:tcW w:w="357" w:type="dxa"/>
                        <w:tcBorders>
                          <w:left w:val="nil"/>
                          <w:bottom w:val="single" w:sz="4" w:space="0" w:color="000000"/>
                          <w:right w:val="nil"/>
                        </w:tcBorders>
                        <w:shd w:val="clear" w:color="auto" w:fill="C5D9F0"/>
                      </w:tcPr>
                      <w:p>
                        <w:pPr>
                          <w:pStyle w:val="TableParagraph"/>
                          <w:spacing w:before="104"/>
                          <w:ind w:left="75" w:right="95"/>
                          <w:jc w:val="center"/>
                          <w:rPr>
                            <w:sz w:val="16"/>
                          </w:rPr>
                        </w:pPr>
                        <w:r>
                          <w:rPr>
                            <w:sz w:val="16"/>
                          </w:rPr>
                          <w:t>(-)</w:t>
                        </w:r>
                      </w:p>
                    </w:tc>
                    <w:tc>
                      <w:tcPr>
                        <w:tcW w:w="446" w:type="dxa"/>
                        <w:tcBorders>
                          <w:left w:val="nil"/>
                          <w:bottom w:val="single" w:sz="4" w:space="0" w:color="000000"/>
                          <w:right w:val="nil"/>
                        </w:tcBorders>
                        <w:shd w:val="clear" w:color="auto" w:fill="C5D9F0"/>
                      </w:tcPr>
                      <w:p>
                        <w:pPr>
                          <w:pStyle w:val="TableParagraph"/>
                          <w:spacing w:before="104"/>
                          <w:ind w:left="17" w:right="81"/>
                          <w:jc w:val="center"/>
                          <w:rPr>
                            <w:sz w:val="16"/>
                          </w:rPr>
                        </w:pPr>
                        <w:r>
                          <w:rPr>
                            <w:sz w:val="16"/>
                          </w:rPr>
                          <w:t>(-)</w:t>
                        </w:r>
                      </w:p>
                    </w:tc>
                    <w:tc>
                      <w:tcPr>
                        <w:tcW w:w="464" w:type="dxa"/>
                        <w:tcBorders>
                          <w:left w:val="nil"/>
                          <w:bottom w:val="single" w:sz="4" w:space="0" w:color="000000"/>
                          <w:right w:val="nil"/>
                        </w:tcBorders>
                        <w:shd w:val="clear" w:color="auto" w:fill="C5D9F0"/>
                      </w:tcPr>
                      <w:p>
                        <w:pPr>
                          <w:pStyle w:val="TableParagraph"/>
                          <w:spacing w:before="104"/>
                          <w:ind w:left="133" w:right="113"/>
                          <w:jc w:val="center"/>
                          <w:rPr>
                            <w:sz w:val="16"/>
                          </w:rPr>
                        </w:pPr>
                        <w:r>
                          <w:rPr>
                            <w:sz w:val="16"/>
                          </w:rPr>
                          <w:t>(+)</w:t>
                        </w:r>
                      </w:p>
                    </w:tc>
                    <w:tc>
                      <w:tcPr>
                        <w:tcW w:w="402" w:type="dxa"/>
                        <w:tcBorders>
                          <w:left w:val="nil"/>
                          <w:bottom w:val="single" w:sz="4" w:space="0" w:color="000000"/>
                          <w:right w:val="nil"/>
                        </w:tcBorders>
                        <w:shd w:val="clear" w:color="auto" w:fill="C5D9F0"/>
                      </w:tcPr>
                      <w:p>
                        <w:pPr>
                          <w:pStyle w:val="TableParagraph"/>
                          <w:spacing w:before="104"/>
                          <w:ind w:left="134"/>
                          <w:rPr>
                            <w:sz w:val="16"/>
                          </w:rPr>
                        </w:pPr>
                        <w:r>
                          <w:rPr>
                            <w:sz w:val="16"/>
                          </w:rPr>
                          <w:t>(-)</w:t>
                        </w:r>
                      </w:p>
                    </w:tc>
                    <w:tc>
                      <w:tcPr>
                        <w:tcW w:w="408" w:type="dxa"/>
                        <w:tcBorders>
                          <w:left w:val="nil"/>
                          <w:bottom w:val="single" w:sz="4" w:space="0" w:color="000000"/>
                          <w:right w:val="nil"/>
                        </w:tcBorders>
                        <w:shd w:val="clear" w:color="auto" w:fill="C5D9F0"/>
                      </w:tcPr>
                      <w:p>
                        <w:pPr>
                          <w:pStyle w:val="TableParagraph"/>
                          <w:spacing w:before="104"/>
                          <w:ind w:left="120"/>
                          <w:rPr>
                            <w:sz w:val="16"/>
                          </w:rPr>
                        </w:pPr>
                        <w:r>
                          <w:rPr>
                            <w:sz w:val="16"/>
                          </w:rPr>
                          <w:t>(-)</w:t>
                        </w:r>
                      </w:p>
                    </w:tc>
                    <w:tc>
                      <w:tcPr>
                        <w:tcW w:w="434" w:type="dxa"/>
                        <w:tcBorders>
                          <w:left w:val="nil"/>
                          <w:bottom w:val="single" w:sz="4" w:space="0" w:color="000000"/>
                          <w:right w:val="nil"/>
                        </w:tcBorders>
                        <w:shd w:val="clear" w:color="auto" w:fill="C5D9F0"/>
                      </w:tcPr>
                      <w:p>
                        <w:pPr>
                          <w:pStyle w:val="TableParagraph"/>
                          <w:spacing w:before="104"/>
                          <w:ind w:left="111"/>
                          <w:rPr>
                            <w:sz w:val="16"/>
                          </w:rPr>
                        </w:pPr>
                        <w:r>
                          <w:rPr>
                            <w:sz w:val="16"/>
                          </w:rPr>
                          <w:t>(-)</w:t>
                        </w:r>
                      </w:p>
                    </w:tc>
                    <w:tc>
                      <w:tcPr>
                        <w:tcW w:w="463" w:type="dxa"/>
                        <w:tcBorders>
                          <w:left w:val="nil"/>
                          <w:bottom w:val="single" w:sz="4" w:space="0" w:color="000000"/>
                          <w:right w:val="nil"/>
                        </w:tcBorders>
                        <w:shd w:val="clear" w:color="auto" w:fill="C5D9F0"/>
                      </w:tcPr>
                      <w:p>
                        <w:pPr>
                          <w:pStyle w:val="TableParagraph"/>
                          <w:spacing w:before="104"/>
                          <w:ind w:left="0" w:right="110"/>
                          <w:jc w:val="right"/>
                          <w:rPr>
                            <w:sz w:val="16"/>
                          </w:rPr>
                        </w:pPr>
                        <w:r>
                          <w:rPr>
                            <w:sz w:val="16"/>
                          </w:rPr>
                          <w:t>(+)</w:t>
                        </w:r>
                      </w:p>
                    </w:tc>
                    <w:tc>
                      <w:tcPr>
                        <w:tcW w:w="533" w:type="dxa"/>
                        <w:tcBorders>
                          <w:left w:val="nil"/>
                          <w:bottom w:val="single" w:sz="4" w:space="0" w:color="000000"/>
                          <w:right w:val="nil"/>
                        </w:tcBorders>
                        <w:shd w:val="clear" w:color="auto" w:fill="C5D9F0"/>
                      </w:tcPr>
                      <w:p>
                        <w:pPr>
                          <w:pStyle w:val="TableParagraph"/>
                          <w:spacing w:before="51"/>
                          <w:ind w:left="112"/>
                          <w:rPr>
                            <w:b/>
                            <w:sz w:val="16"/>
                          </w:rPr>
                        </w:pPr>
                        <w:r>
                          <w:rPr>
                            <w:b/>
                            <w:w w:val="100"/>
                            <w:sz w:val="16"/>
                          </w:rPr>
                          <w:t>6</w:t>
                        </w:r>
                      </w:p>
                    </w:tc>
                    <w:tc>
                      <w:tcPr>
                        <w:tcW w:w="614" w:type="dxa"/>
                        <w:tcBorders>
                          <w:left w:val="nil"/>
                          <w:bottom w:val="single" w:sz="4" w:space="0" w:color="000000"/>
                          <w:right w:val="nil"/>
                        </w:tcBorders>
                        <w:shd w:val="clear" w:color="auto" w:fill="C5D9F0"/>
                      </w:tcPr>
                      <w:p>
                        <w:pPr>
                          <w:pStyle w:val="TableParagraph"/>
                          <w:spacing w:before="51"/>
                          <w:ind w:left="256"/>
                          <w:rPr>
                            <w:b/>
                            <w:sz w:val="16"/>
                          </w:rPr>
                        </w:pPr>
                        <w:r>
                          <w:rPr>
                            <w:b/>
                            <w:sz w:val="16"/>
                          </w:rPr>
                          <w:t>8.7</w:t>
                        </w:r>
                      </w:p>
                    </w:tc>
                  </w:tr>
                  <w:tr>
                    <w:trPr>
                      <w:trHeight w:val="310" w:hRule="exact"/>
                    </w:trPr>
                    <w:tc>
                      <w:tcPr>
                        <w:tcW w:w="328" w:type="dxa"/>
                        <w:tcBorders>
                          <w:top w:val="single" w:sz="4" w:space="0" w:color="000000"/>
                          <w:left w:val="nil"/>
                          <w:right w:val="nil"/>
                        </w:tcBorders>
                        <w:shd w:val="clear" w:color="auto" w:fill="EAF0DD"/>
                      </w:tcPr>
                      <w:p>
                        <w:pPr>
                          <w:pStyle w:val="TableParagraph"/>
                          <w:spacing w:before="104"/>
                          <w:ind w:left="51" w:right="90"/>
                          <w:jc w:val="center"/>
                          <w:rPr>
                            <w:sz w:val="16"/>
                          </w:rPr>
                        </w:pPr>
                        <w:r>
                          <w:rPr>
                            <w:sz w:val="16"/>
                          </w:rPr>
                          <w:t>(-)</w:t>
                        </w:r>
                      </w:p>
                    </w:tc>
                    <w:tc>
                      <w:tcPr>
                        <w:tcW w:w="377" w:type="dxa"/>
                        <w:tcBorders>
                          <w:top w:val="single" w:sz="4" w:space="0" w:color="000000"/>
                          <w:left w:val="nil"/>
                          <w:right w:val="nil"/>
                        </w:tcBorders>
                        <w:shd w:val="clear" w:color="auto" w:fill="EAF0DD"/>
                      </w:tcPr>
                      <w:p>
                        <w:pPr>
                          <w:pStyle w:val="TableParagraph"/>
                          <w:spacing w:before="104"/>
                          <w:ind w:left="111"/>
                          <w:rPr>
                            <w:sz w:val="16"/>
                          </w:rPr>
                        </w:pPr>
                        <w:r>
                          <w:rPr>
                            <w:sz w:val="16"/>
                          </w:rPr>
                          <w:t>(-)</w:t>
                        </w:r>
                      </w:p>
                    </w:tc>
                    <w:tc>
                      <w:tcPr>
                        <w:tcW w:w="420" w:type="dxa"/>
                        <w:tcBorders>
                          <w:top w:val="single" w:sz="4" w:space="0" w:color="000000"/>
                          <w:left w:val="nil"/>
                          <w:right w:val="nil"/>
                        </w:tcBorders>
                        <w:shd w:val="clear" w:color="auto" w:fill="EAF0DD"/>
                      </w:tcPr>
                      <w:p>
                        <w:pPr>
                          <w:pStyle w:val="TableParagraph"/>
                          <w:spacing w:before="104"/>
                          <w:ind w:left="118"/>
                          <w:rPr>
                            <w:sz w:val="16"/>
                          </w:rPr>
                        </w:pPr>
                        <w:r>
                          <w:rPr>
                            <w:sz w:val="16"/>
                          </w:rPr>
                          <w:t>(-)</w:t>
                        </w:r>
                      </w:p>
                    </w:tc>
                    <w:tc>
                      <w:tcPr>
                        <w:tcW w:w="436" w:type="dxa"/>
                        <w:tcBorders>
                          <w:top w:val="single" w:sz="4" w:space="0" w:color="000000"/>
                          <w:left w:val="nil"/>
                          <w:right w:val="nil"/>
                        </w:tcBorders>
                        <w:shd w:val="clear" w:color="auto" w:fill="EAF0DD"/>
                      </w:tcPr>
                      <w:p>
                        <w:pPr>
                          <w:pStyle w:val="TableParagraph"/>
                          <w:spacing w:before="104"/>
                          <w:ind w:left="0" w:right="132"/>
                          <w:jc w:val="right"/>
                          <w:rPr>
                            <w:sz w:val="16"/>
                          </w:rPr>
                        </w:pPr>
                        <w:r>
                          <w:rPr>
                            <w:sz w:val="16"/>
                          </w:rPr>
                          <w:t>(-)</w:t>
                        </w:r>
                      </w:p>
                    </w:tc>
                    <w:tc>
                      <w:tcPr>
                        <w:tcW w:w="399" w:type="dxa"/>
                        <w:tcBorders>
                          <w:top w:val="single" w:sz="4" w:space="0" w:color="000000"/>
                          <w:left w:val="nil"/>
                          <w:right w:val="nil"/>
                        </w:tcBorders>
                        <w:shd w:val="clear" w:color="auto" w:fill="EAF0DD"/>
                      </w:tcPr>
                      <w:p>
                        <w:pPr>
                          <w:pStyle w:val="TableParagraph"/>
                          <w:spacing w:before="104"/>
                          <w:ind w:left="0" w:right="142"/>
                          <w:jc w:val="right"/>
                          <w:rPr>
                            <w:sz w:val="16"/>
                          </w:rPr>
                        </w:pPr>
                        <w:r>
                          <w:rPr>
                            <w:sz w:val="16"/>
                          </w:rPr>
                          <w:t>(-)</w:t>
                        </w:r>
                      </w:p>
                    </w:tc>
                    <w:tc>
                      <w:tcPr>
                        <w:tcW w:w="422" w:type="dxa"/>
                        <w:tcBorders>
                          <w:top w:val="single" w:sz="4" w:space="0" w:color="000000"/>
                          <w:left w:val="nil"/>
                          <w:right w:val="nil"/>
                        </w:tcBorders>
                        <w:shd w:val="clear" w:color="auto" w:fill="EAF0DD"/>
                      </w:tcPr>
                      <w:p>
                        <w:pPr>
                          <w:pStyle w:val="TableParagraph"/>
                          <w:spacing w:before="104"/>
                          <w:ind w:left="125" w:right="111"/>
                          <w:jc w:val="center"/>
                          <w:rPr>
                            <w:sz w:val="16"/>
                          </w:rPr>
                        </w:pPr>
                        <w:r>
                          <w:rPr>
                            <w:sz w:val="16"/>
                          </w:rPr>
                          <w:t>(-)</w:t>
                        </w:r>
                      </w:p>
                    </w:tc>
                    <w:tc>
                      <w:tcPr>
                        <w:tcW w:w="426" w:type="dxa"/>
                        <w:tcBorders>
                          <w:top w:val="single" w:sz="4" w:space="0" w:color="000000"/>
                          <w:left w:val="nil"/>
                          <w:right w:val="nil"/>
                        </w:tcBorders>
                        <w:shd w:val="clear" w:color="auto" w:fill="EAF0DD"/>
                      </w:tcPr>
                      <w:p>
                        <w:pPr>
                          <w:pStyle w:val="TableParagraph"/>
                          <w:spacing w:before="104"/>
                          <w:ind w:left="130"/>
                          <w:rPr>
                            <w:sz w:val="16"/>
                          </w:rPr>
                        </w:pPr>
                        <w:r>
                          <w:rPr>
                            <w:sz w:val="16"/>
                          </w:rPr>
                          <w:t>(+)</w:t>
                        </w:r>
                      </w:p>
                    </w:tc>
                    <w:tc>
                      <w:tcPr>
                        <w:tcW w:w="436" w:type="dxa"/>
                        <w:tcBorders>
                          <w:top w:val="single" w:sz="4" w:space="0" w:color="000000"/>
                          <w:left w:val="nil"/>
                          <w:right w:val="nil"/>
                        </w:tcBorders>
                        <w:shd w:val="clear" w:color="auto" w:fill="EAF0DD"/>
                      </w:tcPr>
                      <w:p>
                        <w:pPr>
                          <w:pStyle w:val="TableParagraph"/>
                          <w:spacing w:before="104"/>
                          <w:ind w:left="120"/>
                          <w:rPr>
                            <w:sz w:val="16"/>
                          </w:rPr>
                        </w:pPr>
                        <w:r>
                          <w:rPr>
                            <w:sz w:val="16"/>
                          </w:rPr>
                          <w:t>(-)</w:t>
                        </w:r>
                      </w:p>
                    </w:tc>
                    <w:tc>
                      <w:tcPr>
                        <w:tcW w:w="432" w:type="dxa"/>
                        <w:tcBorders>
                          <w:top w:val="single" w:sz="4" w:space="0" w:color="000000"/>
                          <w:left w:val="nil"/>
                          <w:right w:val="nil"/>
                        </w:tcBorders>
                        <w:shd w:val="clear" w:color="auto" w:fill="EAF0DD"/>
                      </w:tcPr>
                      <w:p>
                        <w:pPr>
                          <w:pStyle w:val="TableParagraph"/>
                          <w:spacing w:before="104"/>
                          <w:ind w:left="82" w:right="30"/>
                          <w:jc w:val="center"/>
                          <w:rPr>
                            <w:sz w:val="16"/>
                          </w:rPr>
                        </w:pPr>
                        <w:r>
                          <w:rPr>
                            <w:sz w:val="16"/>
                          </w:rPr>
                          <w:t>(-)</w:t>
                        </w:r>
                      </w:p>
                    </w:tc>
                    <w:tc>
                      <w:tcPr>
                        <w:tcW w:w="410" w:type="dxa"/>
                        <w:tcBorders>
                          <w:top w:val="single" w:sz="4" w:space="0" w:color="000000"/>
                          <w:left w:val="nil"/>
                          <w:right w:val="nil"/>
                        </w:tcBorders>
                        <w:shd w:val="clear" w:color="auto" w:fill="EAF0DD"/>
                      </w:tcPr>
                      <w:p>
                        <w:pPr>
                          <w:pStyle w:val="TableParagraph"/>
                          <w:spacing w:before="104"/>
                          <w:ind w:left="96" w:right="96"/>
                          <w:jc w:val="center"/>
                          <w:rPr>
                            <w:sz w:val="16"/>
                          </w:rPr>
                        </w:pPr>
                        <w:r>
                          <w:rPr>
                            <w:sz w:val="16"/>
                          </w:rPr>
                          <w:t>(+)</w:t>
                        </w:r>
                      </w:p>
                    </w:tc>
                    <w:tc>
                      <w:tcPr>
                        <w:tcW w:w="387" w:type="dxa"/>
                        <w:tcBorders>
                          <w:top w:val="single" w:sz="4" w:space="0" w:color="000000"/>
                          <w:left w:val="nil"/>
                          <w:right w:val="nil"/>
                        </w:tcBorders>
                        <w:shd w:val="clear" w:color="auto" w:fill="EAF0DD"/>
                      </w:tcPr>
                      <w:p>
                        <w:pPr>
                          <w:pStyle w:val="TableParagraph"/>
                          <w:spacing w:before="104"/>
                          <w:ind w:left="100" w:right="100"/>
                          <w:jc w:val="center"/>
                          <w:rPr>
                            <w:sz w:val="16"/>
                          </w:rPr>
                        </w:pPr>
                        <w:r>
                          <w:rPr>
                            <w:sz w:val="16"/>
                          </w:rPr>
                          <w:t>(-)</w:t>
                        </w:r>
                      </w:p>
                    </w:tc>
                    <w:tc>
                      <w:tcPr>
                        <w:tcW w:w="348" w:type="dxa"/>
                        <w:tcBorders>
                          <w:top w:val="single" w:sz="4" w:space="0" w:color="000000"/>
                          <w:left w:val="nil"/>
                          <w:right w:val="nil"/>
                        </w:tcBorders>
                        <w:shd w:val="clear" w:color="auto" w:fill="EAF0DD"/>
                      </w:tcPr>
                      <w:p>
                        <w:pPr>
                          <w:pStyle w:val="TableParagraph"/>
                          <w:spacing w:before="104"/>
                          <w:ind w:left="101" w:right="61"/>
                          <w:jc w:val="center"/>
                          <w:rPr>
                            <w:sz w:val="16"/>
                          </w:rPr>
                        </w:pPr>
                        <w:r>
                          <w:rPr>
                            <w:sz w:val="16"/>
                          </w:rPr>
                          <w:t>(-)</w:t>
                        </w:r>
                      </w:p>
                    </w:tc>
                    <w:tc>
                      <w:tcPr>
                        <w:tcW w:w="375" w:type="dxa"/>
                        <w:tcBorders>
                          <w:top w:val="single" w:sz="4" w:space="0" w:color="000000"/>
                          <w:left w:val="nil"/>
                          <w:right w:val="nil"/>
                        </w:tcBorders>
                        <w:shd w:val="clear" w:color="auto" w:fill="EAF0DD"/>
                      </w:tcPr>
                      <w:p>
                        <w:pPr>
                          <w:pStyle w:val="TableParagraph"/>
                          <w:spacing w:before="104"/>
                          <w:ind w:left="80"/>
                          <w:rPr>
                            <w:sz w:val="16"/>
                          </w:rPr>
                        </w:pPr>
                        <w:r>
                          <w:rPr>
                            <w:sz w:val="16"/>
                          </w:rPr>
                          <w:t>(+)</w:t>
                        </w:r>
                      </w:p>
                    </w:tc>
                    <w:tc>
                      <w:tcPr>
                        <w:tcW w:w="389" w:type="dxa"/>
                        <w:tcBorders>
                          <w:top w:val="single" w:sz="4" w:space="0" w:color="000000"/>
                          <w:left w:val="nil"/>
                          <w:right w:val="nil"/>
                        </w:tcBorders>
                        <w:shd w:val="clear" w:color="auto" w:fill="EAF0DD"/>
                      </w:tcPr>
                      <w:p>
                        <w:pPr>
                          <w:pStyle w:val="TableParagraph"/>
                          <w:spacing w:before="104"/>
                          <w:ind w:left="119"/>
                          <w:rPr>
                            <w:sz w:val="16"/>
                          </w:rPr>
                        </w:pPr>
                        <w:r>
                          <w:rPr>
                            <w:sz w:val="16"/>
                          </w:rPr>
                          <w:t>(+)</w:t>
                        </w:r>
                      </w:p>
                    </w:tc>
                    <w:tc>
                      <w:tcPr>
                        <w:tcW w:w="357" w:type="dxa"/>
                        <w:tcBorders>
                          <w:top w:val="single" w:sz="4" w:space="0" w:color="000000"/>
                          <w:left w:val="nil"/>
                          <w:right w:val="nil"/>
                        </w:tcBorders>
                        <w:shd w:val="clear" w:color="auto" w:fill="EAF0DD"/>
                      </w:tcPr>
                      <w:p>
                        <w:pPr>
                          <w:pStyle w:val="TableParagraph"/>
                          <w:spacing w:before="104"/>
                          <w:ind w:left="75" w:right="95"/>
                          <w:jc w:val="center"/>
                          <w:rPr>
                            <w:sz w:val="16"/>
                          </w:rPr>
                        </w:pPr>
                        <w:r>
                          <w:rPr>
                            <w:sz w:val="16"/>
                          </w:rPr>
                          <w:t>(-)</w:t>
                        </w:r>
                      </w:p>
                    </w:tc>
                    <w:tc>
                      <w:tcPr>
                        <w:tcW w:w="446" w:type="dxa"/>
                        <w:tcBorders>
                          <w:top w:val="single" w:sz="4" w:space="0" w:color="000000"/>
                          <w:left w:val="nil"/>
                          <w:right w:val="nil"/>
                        </w:tcBorders>
                        <w:shd w:val="clear" w:color="auto" w:fill="EAF0DD"/>
                      </w:tcPr>
                      <w:p>
                        <w:pPr>
                          <w:pStyle w:val="TableParagraph"/>
                          <w:spacing w:before="104"/>
                          <w:ind w:left="17" w:right="81"/>
                          <w:jc w:val="center"/>
                          <w:rPr>
                            <w:sz w:val="16"/>
                          </w:rPr>
                        </w:pPr>
                        <w:r>
                          <w:rPr>
                            <w:sz w:val="16"/>
                          </w:rPr>
                          <w:t>(-)</w:t>
                        </w:r>
                      </w:p>
                    </w:tc>
                    <w:tc>
                      <w:tcPr>
                        <w:tcW w:w="464" w:type="dxa"/>
                        <w:tcBorders>
                          <w:top w:val="single" w:sz="4" w:space="0" w:color="000000"/>
                          <w:left w:val="nil"/>
                          <w:right w:val="nil"/>
                        </w:tcBorders>
                        <w:shd w:val="clear" w:color="auto" w:fill="EAF0DD"/>
                      </w:tcPr>
                      <w:p>
                        <w:pPr>
                          <w:pStyle w:val="TableParagraph"/>
                          <w:spacing w:before="104"/>
                          <w:ind w:left="133" w:right="113"/>
                          <w:jc w:val="center"/>
                          <w:rPr>
                            <w:sz w:val="16"/>
                          </w:rPr>
                        </w:pPr>
                        <w:r>
                          <w:rPr>
                            <w:sz w:val="16"/>
                          </w:rPr>
                          <w:t>(+)</w:t>
                        </w:r>
                      </w:p>
                    </w:tc>
                    <w:tc>
                      <w:tcPr>
                        <w:tcW w:w="402" w:type="dxa"/>
                        <w:tcBorders>
                          <w:top w:val="single" w:sz="4" w:space="0" w:color="000000"/>
                          <w:left w:val="nil"/>
                          <w:right w:val="nil"/>
                        </w:tcBorders>
                        <w:shd w:val="clear" w:color="auto" w:fill="EAF0DD"/>
                      </w:tcPr>
                      <w:p>
                        <w:pPr>
                          <w:pStyle w:val="TableParagraph"/>
                          <w:spacing w:before="104"/>
                          <w:ind w:left="134"/>
                          <w:rPr>
                            <w:sz w:val="16"/>
                          </w:rPr>
                        </w:pPr>
                        <w:r>
                          <w:rPr>
                            <w:sz w:val="16"/>
                          </w:rPr>
                          <w:t>(-)</w:t>
                        </w:r>
                      </w:p>
                    </w:tc>
                    <w:tc>
                      <w:tcPr>
                        <w:tcW w:w="408" w:type="dxa"/>
                        <w:tcBorders>
                          <w:top w:val="single" w:sz="4" w:space="0" w:color="000000"/>
                          <w:left w:val="nil"/>
                          <w:right w:val="nil"/>
                        </w:tcBorders>
                        <w:shd w:val="clear" w:color="auto" w:fill="EAF0DD"/>
                      </w:tcPr>
                      <w:p>
                        <w:pPr>
                          <w:pStyle w:val="TableParagraph"/>
                          <w:spacing w:before="104"/>
                          <w:ind w:left="120"/>
                          <w:rPr>
                            <w:sz w:val="16"/>
                          </w:rPr>
                        </w:pPr>
                        <w:r>
                          <w:rPr>
                            <w:sz w:val="16"/>
                          </w:rPr>
                          <w:t>(-)</w:t>
                        </w:r>
                      </w:p>
                    </w:tc>
                    <w:tc>
                      <w:tcPr>
                        <w:tcW w:w="434" w:type="dxa"/>
                        <w:tcBorders>
                          <w:top w:val="single" w:sz="4" w:space="0" w:color="000000"/>
                          <w:left w:val="nil"/>
                          <w:right w:val="nil"/>
                        </w:tcBorders>
                        <w:shd w:val="clear" w:color="auto" w:fill="EAF0DD"/>
                      </w:tcPr>
                      <w:p>
                        <w:pPr>
                          <w:pStyle w:val="TableParagraph"/>
                          <w:spacing w:before="104"/>
                          <w:ind w:left="111"/>
                          <w:rPr>
                            <w:sz w:val="16"/>
                          </w:rPr>
                        </w:pPr>
                        <w:r>
                          <w:rPr>
                            <w:sz w:val="16"/>
                          </w:rPr>
                          <w:t>(-)</w:t>
                        </w:r>
                      </w:p>
                    </w:tc>
                    <w:tc>
                      <w:tcPr>
                        <w:tcW w:w="463" w:type="dxa"/>
                        <w:tcBorders>
                          <w:top w:val="single" w:sz="4" w:space="0" w:color="000000"/>
                          <w:left w:val="nil"/>
                          <w:right w:val="nil"/>
                        </w:tcBorders>
                        <w:shd w:val="clear" w:color="auto" w:fill="EAF0DD"/>
                      </w:tcPr>
                      <w:p>
                        <w:pPr>
                          <w:pStyle w:val="TableParagraph"/>
                          <w:spacing w:before="104"/>
                          <w:ind w:left="0" w:right="110"/>
                          <w:jc w:val="right"/>
                          <w:rPr>
                            <w:sz w:val="16"/>
                          </w:rPr>
                        </w:pPr>
                        <w:r>
                          <w:rPr>
                            <w:sz w:val="16"/>
                          </w:rPr>
                          <w:t>(+)</w:t>
                        </w:r>
                      </w:p>
                    </w:tc>
                    <w:tc>
                      <w:tcPr>
                        <w:tcW w:w="533" w:type="dxa"/>
                        <w:tcBorders>
                          <w:top w:val="single" w:sz="4" w:space="0" w:color="000000"/>
                          <w:left w:val="nil"/>
                          <w:right w:val="nil"/>
                        </w:tcBorders>
                        <w:shd w:val="clear" w:color="auto" w:fill="EAF0DD"/>
                      </w:tcPr>
                      <w:p>
                        <w:pPr>
                          <w:pStyle w:val="TableParagraph"/>
                          <w:spacing w:before="51"/>
                          <w:ind w:left="112"/>
                          <w:rPr>
                            <w:b/>
                            <w:sz w:val="16"/>
                          </w:rPr>
                        </w:pPr>
                        <w:r>
                          <w:rPr>
                            <w:b/>
                            <w:w w:val="100"/>
                            <w:sz w:val="16"/>
                          </w:rPr>
                          <w:t>6</w:t>
                        </w:r>
                      </w:p>
                    </w:tc>
                    <w:tc>
                      <w:tcPr>
                        <w:tcW w:w="614" w:type="dxa"/>
                        <w:tcBorders>
                          <w:top w:val="single" w:sz="4" w:space="0" w:color="000000"/>
                          <w:left w:val="nil"/>
                          <w:right w:val="nil"/>
                        </w:tcBorders>
                        <w:shd w:val="clear" w:color="auto" w:fill="EAF0DD"/>
                      </w:tcPr>
                      <w:p>
                        <w:pPr>
                          <w:pStyle w:val="TableParagraph"/>
                          <w:spacing w:before="51"/>
                          <w:ind w:left="256"/>
                          <w:rPr>
                            <w:b/>
                            <w:sz w:val="16"/>
                          </w:rPr>
                        </w:pPr>
                        <w:r>
                          <w:rPr>
                            <w:b/>
                            <w:sz w:val="16"/>
                          </w:rPr>
                          <w:t>8.7</w:t>
                        </w:r>
                      </w:p>
                    </w:tc>
                  </w:tr>
                  <w:tr>
                    <w:trPr>
                      <w:trHeight w:val="311" w:hRule="exact"/>
                    </w:trPr>
                    <w:tc>
                      <w:tcPr>
                        <w:tcW w:w="328" w:type="dxa"/>
                        <w:tcBorders>
                          <w:left w:val="nil"/>
                          <w:right w:val="nil"/>
                        </w:tcBorders>
                        <w:shd w:val="clear" w:color="auto" w:fill="DBEDF3"/>
                      </w:tcPr>
                      <w:p>
                        <w:pPr>
                          <w:pStyle w:val="TableParagraph"/>
                          <w:spacing w:before="104"/>
                          <w:ind w:left="51" w:right="90"/>
                          <w:jc w:val="center"/>
                          <w:rPr>
                            <w:sz w:val="16"/>
                          </w:rPr>
                        </w:pPr>
                        <w:r>
                          <w:rPr>
                            <w:sz w:val="16"/>
                          </w:rPr>
                          <w:t>(-)</w:t>
                        </w:r>
                      </w:p>
                    </w:tc>
                    <w:tc>
                      <w:tcPr>
                        <w:tcW w:w="377" w:type="dxa"/>
                        <w:tcBorders>
                          <w:left w:val="nil"/>
                          <w:right w:val="nil"/>
                        </w:tcBorders>
                        <w:shd w:val="clear" w:color="auto" w:fill="DBEDF3"/>
                      </w:tcPr>
                      <w:p>
                        <w:pPr>
                          <w:pStyle w:val="TableParagraph"/>
                          <w:spacing w:before="104"/>
                          <w:ind w:left="111"/>
                          <w:rPr>
                            <w:sz w:val="16"/>
                          </w:rPr>
                        </w:pPr>
                        <w:r>
                          <w:rPr>
                            <w:sz w:val="16"/>
                          </w:rPr>
                          <w:t>(-)</w:t>
                        </w:r>
                      </w:p>
                    </w:tc>
                    <w:tc>
                      <w:tcPr>
                        <w:tcW w:w="420" w:type="dxa"/>
                        <w:tcBorders>
                          <w:left w:val="nil"/>
                          <w:right w:val="nil"/>
                        </w:tcBorders>
                        <w:shd w:val="clear" w:color="auto" w:fill="DBEDF3"/>
                      </w:tcPr>
                      <w:p>
                        <w:pPr>
                          <w:pStyle w:val="TableParagraph"/>
                          <w:spacing w:before="104"/>
                          <w:ind w:left="118"/>
                          <w:rPr>
                            <w:sz w:val="16"/>
                          </w:rPr>
                        </w:pPr>
                        <w:r>
                          <w:rPr>
                            <w:sz w:val="16"/>
                          </w:rPr>
                          <w:t>(-)</w:t>
                        </w:r>
                      </w:p>
                    </w:tc>
                    <w:tc>
                      <w:tcPr>
                        <w:tcW w:w="436" w:type="dxa"/>
                        <w:tcBorders>
                          <w:left w:val="nil"/>
                          <w:right w:val="nil"/>
                        </w:tcBorders>
                        <w:shd w:val="clear" w:color="auto" w:fill="DBEDF3"/>
                      </w:tcPr>
                      <w:p>
                        <w:pPr>
                          <w:pStyle w:val="TableParagraph"/>
                          <w:spacing w:before="104"/>
                          <w:ind w:left="0" w:right="132"/>
                          <w:jc w:val="right"/>
                          <w:rPr>
                            <w:sz w:val="16"/>
                          </w:rPr>
                        </w:pPr>
                        <w:r>
                          <w:rPr>
                            <w:sz w:val="16"/>
                          </w:rPr>
                          <w:t>(-)</w:t>
                        </w:r>
                      </w:p>
                    </w:tc>
                    <w:tc>
                      <w:tcPr>
                        <w:tcW w:w="399" w:type="dxa"/>
                        <w:tcBorders>
                          <w:left w:val="nil"/>
                          <w:right w:val="nil"/>
                        </w:tcBorders>
                        <w:shd w:val="clear" w:color="auto" w:fill="DBEDF3"/>
                      </w:tcPr>
                      <w:p>
                        <w:pPr>
                          <w:pStyle w:val="TableParagraph"/>
                          <w:spacing w:before="104"/>
                          <w:ind w:left="0" w:right="142"/>
                          <w:jc w:val="right"/>
                          <w:rPr>
                            <w:sz w:val="16"/>
                          </w:rPr>
                        </w:pPr>
                        <w:r>
                          <w:rPr>
                            <w:sz w:val="16"/>
                          </w:rPr>
                          <w:t>(-)</w:t>
                        </w:r>
                      </w:p>
                    </w:tc>
                    <w:tc>
                      <w:tcPr>
                        <w:tcW w:w="422" w:type="dxa"/>
                        <w:tcBorders>
                          <w:left w:val="nil"/>
                          <w:right w:val="nil"/>
                        </w:tcBorders>
                        <w:shd w:val="clear" w:color="auto" w:fill="DBEDF3"/>
                      </w:tcPr>
                      <w:p>
                        <w:pPr>
                          <w:pStyle w:val="TableParagraph"/>
                          <w:spacing w:before="104"/>
                          <w:ind w:left="125" w:right="111"/>
                          <w:jc w:val="center"/>
                          <w:rPr>
                            <w:sz w:val="16"/>
                          </w:rPr>
                        </w:pPr>
                        <w:r>
                          <w:rPr>
                            <w:sz w:val="16"/>
                          </w:rPr>
                          <w:t>(-)</w:t>
                        </w:r>
                      </w:p>
                    </w:tc>
                    <w:tc>
                      <w:tcPr>
                        <w:tcW w:w="426" w:type="dxa"/>
                        <w:tcBorders>
                          <w:left w:val="nil"/>
                          <w:right w:val="nil"/>
                        </w:tcBorders>
                        <w:shd w:val="clear" w:color="auto" w:fill="DBEDF3"/>
                      </w:tcPr>
                      <w:p>
                        <w:pPr>
                          <w:pStyle w:val="TableParagraph"/>
                          <w:spacing w:before="104"/>
                          <w:ind w:left="130"/>
                          <w:rPr>
                            <w:sz w:val="16"/>
                          </w:rPr>
                        </w:pPr>
                        <w:r>
                          <w:rPr>
                            <w:sz w:val="16"/>
                          </w:rPr>
                          <w:t>(-)</w:t>
                        </w:r>
                      </w:p>
                    </w:tc>
                    <w:tc>
                      <w:tcPr>
                        <w:tcW w:w="436" w:type="dxa"/>
                        <w:tcBorders>
                          <w:left w:val="nil"/>
                          <w:right w:val="nil"/>
                        </w:tcBorders>
                        <w:shd w:val="clear" w:color="auto" w:fill="DBEDF3"/>
                      </w:tcPr>
                      <w:p>
                        <w:pPr>
                          <w:pStyle w:val="TableParagraph"/>
                          <w:spacing w:before="104"/>
                          <w:ind w:left="120"/>
                          <w:rPr>
                            <w:sz w:val="16"/>
                          </w:rPr>
                        </w:pPr>
                        <w:r>
                          <w:rPr>
                            <w:sz w:val="16"/>
                          </w:rPr>
                          <w:t>(-)</w:t>
                        </w:r>
                      </w:p>
                    </w:tc>
                    <w:tc>
                      <w:tcPr>
                        <w:tcW w:w="432" w:type="dxa"/>
                        <w:tcBorders>
                          <w:left w:val="nil"/>
                          <w:right w:val="nil"/>
                        </w:tcBorders>
                        <w:shd w:val="clear" w:color="auto" w:fill="DBEDF3"/>
                      </w:tcPr>
                      <w:p>
                        <w:pPr>
                          <w:pStyle w:val="TableParagraph"/>
                          <w:spacing w:before="104"/>
                          <w:ind w:left="82" w:right="30"/>
                          <w:jc w:val="center"/>
                          <w:rPr>
                            <w:sz w:val="16"/>
                          </w:rPr>
                        </w:pPr>
                        <w:r>
                          <w:rPr>
                            <w:sz w:val="16"/>
                          </w:rPr>
                          <w:t>(-)</w:t>
                        </w:r>
                      </w:p>
                    </w:tc>
                    <w:tc>
                      <w:tcPr>
                        <w:tcW w:w="410" w:type="dxa"/>
                        <w:tcBorders>
                          <w:left w:val="nil"/>
                          <w:right w:val="nil"/>
                        </w:tcBorders>
                        <w:shd w:val="clear" w:color="auto" w:fill="DBEDF3"/>
                      </w:tcPr>
                      <w:p>
                        <w:pPr>
                          <w:pStyle w:val="TableParagraph"/>
                          <w:spacing w:before="104"/>
                          <w:ind w:left="96" w:right="96"/>
                          <w:jc w:val="center"/>
                          <w:rPr>
                            <w:sz w:val="16"/>
                          </w:rPr>
                        </w:pPr>
                        <w:r>
                          <w:rPr>
                            <w:sz w:val="16"/>
                          </w:rPr>
                          <w:t>(+)</w:t>
                        </w:r>
                      </w:p>
                    </w:tc>
                    <w:tc>
                      <w:tcPr>
                        <w:tcW w:w="387" w:type="dxa"/>
                        <w:tcBorders>
                          <w:left w:val="nil"/>
                          <w:right w:val="nil"/>
                        </w:tcBorders>
                        <w:shd w:val="clear" w:color="auto" w:fill="DBEDF3"/>
                      </w:tcPr>
                      <w:p>
                        <w:pPr>
                          <w:pStyle w:val="TableParagraph"/>
                          <w:spacing w:before="104"/>
                          <w:ind w:left="100" w:right="100"/>
                          <w:jc w:val="center"/>
                          <w:rPr>
                            <w:sz w:val="16"/>
                          </w:rPr>
                        </w:pPr>
                        <w:r>
                          <w:rPr>
                            <w:sz w:val="16"/>
                          </w:rPr>
                          <w:t>(-)</w:t>
                        </w:r>
                      </w:p>
                    </w:tc>
                    <w:tc>
                      <w:tcPr>
                        <w:tcW w:w="348" w:type="dxa"/>
                        <w:tcBorders>
                          <w:left w:val="nil"/>
                          <w:right w:val="nil"/>
                        </w:tcBorders>
                        <w:shd w:val="clear" w:color="auto" w:fill="DBEDF3"/>
                      </w:tcPr>
                      <w:p>
                        <w:pPr>
                          <w:pStyle w:val="TableParagraph"/>
                          <w:spacing w:before="104"/>
                          <w:ind w:left="101" w:right="61"/>
                          <w:jc w:val="center"/>
                          <w:rPr>
                            <w:sz w:val="16"/>
                          </w:rPr>
                        </w:pPr>
                        <w:r>
                          <w:rPr>
                            <w:sz w:val="16"/>
                          </w:rPr>
                          <w:t>(-)</w:t>
                        </w:r>
                      </w:p>
                    </w:tc>
                    <w:tc>
                      <w:tcPr>
                        <w:tcW w:w="375" w:type="dxa"/>
                        <w:tcBorders>
                          <w:left w:val="nil"/>
                          <w:right w:val="nil"/>
                        </w:tcBorders>
                        <w:shd w:val="clear" w:color="auto" w:fill="DBEDF3"/>
                      </w:tcPr>
                      <w:p>
                        <w:pPr>
                          <w:pStyle w:val="TableParagraph"/>
                          <w:spacing w:before="104"/>
                          <w:ind w:left="80"/>
                          <w:rPr>
                            <w:sz w:val="16"/>
                          </w:rPr>
                        </w:pPr>
                        <w:r>
                          <w:rPr>
                            <w:sz w:val="16"/>
                          </w:rPr>
                          <w:t>(+)</w:t>
                        </w:r>
                      </w:p>
                    </w:tc>
                    <w:tc>
                      <w:tcPr>
                        <w:tcW w:w="389" w:type="dxa"/>
                        <w:tcBorders>
                          <w:left w:val="nil"/>
                          <w:right w:val="nil"/>
                        </w:tcBorders>
                        <w:shd w:val="clear" w:color="auto" w:fill="DBEDF3"/>
                      </w:tcPr>
                      <w:p>
                        <w:pPr>
                          <w:pStyle w:val="TableParagraph"/>
                          <w:spacing w:before="104"/>
                          <w:ind w:left="119"/>
                          <w:rPr>
                            <w:sz w:val="16"/>
                          </w:rPr>
                        </w:pPr>
                        <w:r>
                          <w:rPr>
                            <w:sz w:val="16"/>
                          </w:rPr>
                          <w:t>(+)</w:t>
                        </w:r>
                      </w:p>
                    </w:tc>
                    <w:tc>
                      <w:tcPr>
                        <w:tcW w:w="357" w:type="dxa"/>
                        <w:tcBorders>
                          <w:left w:val="nil"/>
                          <w:right w:val="nil"/>
                        </w:tcBorders>
                        <w:shd w:val="clear" w:color="auto" w:fill="DBEDF3"/>
                      </w:tcPr>
                      <w:p>
                        <w:pPr>
                          <w:pStyle w:val="TableParagraph"/>
                          <w:spacing w:before="104"/>
                          <w:ind w:left="75" w:right="95"/>
                          <w:jc w:val="center"/>
                          <w:rPr>
                            <w:sz w:val="16"/>
                          </w:rPr>
                        </w:pPr>
                        <w:r>
                          <w:rPr>
                            <w:sz w:val="16"/>
                          </w:rPr>
                          <w:t>(-)</w:t>
                        </w:r>
                      </w:p>
                    </w:tc>
                    <w:tc>
                      <w:tcPr>
                        <w:tcW w:w="446" w:type="dxa"/>
                        <w:tcBorders>
                          <w:left w:val="nil"/>
                          <w:right w:val="nil"/>
                        </w:tcBorders>
                        <w:shd w:val="clear" w:color="auto" w:fill="DBEDF3"/>
                      </w:tcPr>
                      <w:p>
                        <w:pPr>
                          <w:pStyle w:val="TableParagraph"/>
                          <w:spacing w:before="104"/>
                          <w:ind w:left="17" w:right="81"/>
                          <w:jc w:val="center"/>
                          <w:rPr>
                            <w:sz w:val="16"/>
                          </w:rPr>
                        </w:pPr>
                        <w:r>
                          <w:rPr>
                            <w:sz w:val="16"/>
                          </w:rPr>
                          <w:t>(-)</w:t>
                        </w:r>
                      </w:p>
                    </w:tc>
                    <w:tc>
                      <w:tcPr>
                        <w:tcW w:w="464" w:type="dxa"/>
                        <w:tcBorders>
                          <w:left w:val="nil"/>
                          <w:right w:val="nil"/>
                        </w:tcBorders>
                        <w:shd w:val="clear" w:color="auto" w:fill="DBEDF3"/>
                      </w:tcPr>
                      <w:p>
                        <w:pPr>
                          <w:pStyle w:val="TableParagraph"/>
                          <w:spacing w:before="104"/>
                          <w:ind w:left="108" w:right="113"/>
                          <w:jc w:val="center"/>
                          <w:rPr>
                            <w:sz w:val="16"/>
                          </w:rPr>
                        </w:pPr>
                        <w:r>
                          <w:rPr>
                            <w:sz w:val="16"/>
                          </w:rPr>
                          <w:t>(-)</w:t>
                        </w:r>
                      </w:p>
                    </w:tc>
                    <w:tc>
                      <w:tcPr>
                        <w:tcW w:w="402" w:type="dxa"/>
                        <w:tcBorders>
                          <w:left w:val="nil"/>
                          <w:right w:val="nil"/>
                        </w:tcBorders>
                        <w:shd w:val="clear" w:color="auto" w:fill="DBEDF3"/>
                      </w:tcPr>
                      <w:p>
                        <w:pPr>
                          <w:pStyle w:val="TableParagraph"/>
                          <w:spacing w:before="104"/>
                          <w:ind w:left="134"/>
                          <w:rPr>
                            <w:sz w:val="16"/>
                          </w:rPr>
                        </w:pPr>
                        <w:r>
                          <w:rPr>
                            <w:sz w:val="16"/>
                          </w:rPr>
                          <w:t>(-)</w:t>
                        </w:r>
                      </w:p>
                    </w:tc>
                    <w:tc>
                      <w:tcPr>
                        <w:tcW w:w="408" w:type="dxa"/>
                        <w:tcBorders>
                          <w:left w:val="nil"/>
                          <w:right w:val="nil"/>
                        </w:tcBorders>
                        <w:shd w:val="clear" w:color="auto" w:fill="DBEDF3"/>
                      </w:tcPr>
                      <w:p>
                        <w:pPr>
                          <w:pStyle w:val="TableParagraph"/>
                          <w:spacing w:before="104"/>
                          <w:ind w:left="120"/>
                          <w:rPr>
                            <w:sz w:val="16"/>
                          </w:rPr>
                        </w:pPr>
                        <w:r>
                          <w:rPr>
                            <w:sz w:val="16"/>
                          </w:rPr>
                          <w:t>(-)</w:t>
                        </w:r>
                      </w:p>
                    </w:tc>
                    <w:tc>
                      <w:tcPr>
                        <w:tcW w:w="434" w:type="dxa"/>
                        <w:tcBorders>
                          <w:left w:val="nil"/>
                          <w:right w:val="nil"/>
                        </w:tcBorders>
                        <w:shd w:val="clear" w:color="auto" w:fill="DBEDF3"/>
                      </w:tcPr>
                      <w:p>
                        <w:pPr>
                          <w:pStyle w:val="TableParagraph"/>
                          <w:spacing w:before="104"/>
                          <w:ind w:left="111"/>
                          <w:rPr>
                            <w:sz w:val="16"/>
                          </w:rPr>
                        </w:pPr>
                        <w:r>
                          <w:rPr>
                            <w:sz w:val="16"/>
                          </w:rPr>
                          <w:t>(-)</w:t>
                        </w:r>
                      </w:p>
                    </w:tc>
                    <w:tc>
                      <w:tcPr>
                        <w:tcW w:w="463" w:type="dxa"/>
                        <w:tcBorders>
                          <w:left w:val="nil"/>
                          <w:right w:val="nil"/>
                        </w:tcBorders>
                        <w:shd w:val="clear" w:color="auto" w:fill="DBEDF3"/>
                      </w:tcPr>
                      <w:p>
                        <w:pPr>
                          <w:pStyle w:val="TableParagraph"/>
                          <w:spacing w:before="104"/>
                          <w:ind w:left="0" w:right="110"/>
                          <w:jc w:val="right"/>
                          <w:rPr>
                            <w:sz w:val="16"/>
                          </w:rPr>
                        </w:pPr>
                        <w:r>
                          <w:rPr>
                            <w:sz w:val="16"/>
                          </w:rPr>
                          <w:t>(+)</w:t>
                        </w:r>
                      </w:p>
                    </w:tc>
                    <w:tc>
                      <w:tcPr>
                        <w:tcW w:w="533" w:type="dxa"/>
                        <w:tcBorders>
                          <w:left w:val="nil"/>
                          <w:right w:val="nil"/>
                        </w:tcBorders>
                        <w:shd w:val="clear" w:color="auto" w:fill="DBEDF3"/>
                      </w:tcPr>
                      <w:p>
                        <w:pPr>
                          <w:pStyle w:val="TableParagraph"/>
                          <w:spacing w:before="51"/>
                          <w:ind w:left="112"/>
                          <w:rPr>
                            <w:b/>
                            <w:sz w:val="16"/>
                          </w:rPr>
                        </w:pPr>
                        <w:r>
                          <w:rPr>
                            <w:b/>
                            <w:w w:val="100"/>
                            <w:sz w:val="16"/>
                          </w:rPr>
                          <w:t>5</w:t>
                        </w:r>
                      </w:p>
                    </w:tc>
                    <w:tc>
                      <w:tcPr>
                        <w:tcW w:w="614" w:type="dxa"/>
                        <w:tcBorders>
                          <w:left w:val="nil"/>
                          <w:right w:val="nil"/>
                        </w:tcBorders>
                        <w:shd w:val="clear" w:color="auto" w:fill="DBEDF3"/>
                      </w:tcPr>
                      <w:p>
                        <w:pPr>
                          <w:pStyle w:val="TableParagraph"/>
                          <w:spacing w:before="51"/>
                          <w:ind w:left="256"/>
                          <w:rPr>
                            <w:b/>
                            <w:sz w:val="16"/>
                          </w:rPr>
                        </w:pPr>
                        <w:r>
                          <w:rPr>
                            <w:b/>
                            <w:sz w:val="16"/>
                          </w:rPr>
                          <w:t>7.2</w:t>
                        </w:r>
                      </w:p>
                    </w:tc>
                  </w:tr>
                  <w:tr>
                    <w:trPr>
                      <w:trHeight w:val="311" w:hRule="exact"/>
                    </w:trPr>
                    <w:tc>
                      <w:tcPr>
                        <w:tcW w:w="328" w:type="dxa"/>
                        <w:tcBorders>
                          <w:left w:val="nil"/>
                          <w:right w:val="nil"/>
                        </w:tcBorders>
                        <w:shd w:val="clear" w:color="auto" w:fill="EAF0DD"/>
                      </w:tcPr>
                      <w:p>
                        <w:pPr>
                          <w:pStyle w:val="TableParagraph"/>
                          <w:spacing w:before="103"/>
                          <w:ind w:left="51" w:right="90"/>
                          <w:jc w:val="center"/>
                          <w:rPr>
                            <w:sz w:val="16"/>
                          </w:rPr>
                        </w:pPr>
                        <w:r>
                          <w:rPr>
                            <w:sz w:val="16"/>
                          </w:rPr>
                          <w:t>(-)</w:t>
                        </w:r>
                      </w:p>
                    </w:tc>
                    <w:tc>
                      <w:tcPr>
                        <w:tcW w:w="377" w:type="dxa"/>
                        <w:tcBorders>
                          <w:left w:val="nil"/>
                          <w:right w:val="nil"/>
                        </w:tcBorders>
                        <w:shd w:val="clear" w:color="auto" w:fill="EAF0DD"/>
                      </w:tcPr>
                      <w:p>
                        <w:pPr>
                          <w:pStyle w:val="TableParagraph"/>
                          <w:spacing w:before="103"/>
                          <w:ind w:left="111"/>
                          <w:rPr>
                            <w:sz w:val="16"/>
                          </w:rPr>
                        </w:pPr>
                        <w:r>
                          <w:rPr>
                            <w:sz w:val="16"/>
                          </w:rPr>
                          <w:t>(-)</w:t>
                        </w:r>
                      </w:p>
                    </w:tc>
                    <w:tc>
                      <w:tcPr>
                        <w:tcW w:w="420" w:type="dxa"/>
                        <w:tcBorders>
                          <w:left w:val="nil"/>
                          <w:right w:val="nil"/>
                        </w:tcBorders>
                        <w:shd w:val="clear" w:color="auto" w:fill="EAF0DD"/>
                      </w:tcPr>
                      <w:p>
                        <w:pPr>
                          <w:pStyle w:val="TableParagraph"/>
                          <w:spacing w:before="103"/>
                          <w:ind w:left="118"/>
                          <w:rPr>
                            <w:sz w:val="16"/>
                          </w:rPr>
                        </w:pPr>
                        <w:r>
                          <w:rPr>
                            <w:sz w:val="16"/>
                          </w:rPr>
                          <w:t>(-)</w:t>
                        </w:r>
                      </w:p>
                    </w:tc>
                    <w:tc>
                      <w:tcPr>
                        <w:tcW w:w="436" w:type="dxa"/>
                        <w:tcBorders>
                          <w:left w:val="nil"/>
                          <w:right w:val="nil"/>
                        </w:tcBorders>
                        <w:shd w:val="clear" w:color="auto" w:fill="EAF0DD"/>
                      </w:tcPr>
                      <w:p>
                        <w:pPr>
                          <w:pStyle w:val="TableParagraph"/>
                          <w:spacing w:before="103"/>
                          <w:ind w:left="0" w:right="104"/>
                          <w:jc w:val="right"/>
                          <w:rPr>
                            <w:sz w:val="16"/>
                          </w:rPr>
                        </w:pPr>
                        <w:r>
                          <w:rPr>
                            <w:sz w:val="16"/>
                          </w:rPr>
                          <w:t>(+)</w:t>
                        </w:r>
                      </w:p>
                    </w:tc>
                    <w:tc>
                      <w:tcPr>
                        <w:tcW w:w="399" w:type="dxa"/>
                        <w:tcBorders>
                          <w:left w:val="nil"/>
                          <w:right w:val="nil"/>
                        </w:tcBorders>
                        <w:shd w:val="clear" w:color="auto" w:fill="EAF0DD"/>
                      </w:tcPr>
                      <w:p>
                        <w:pPr>
                          <w:pStyle w:val="TableParagraph"/>
                          <w:spacing w:before="103"/>
                          <w:ind w:left="0" w:right="142"/>
                          <w:jc w:val="right"/>
                          <w:rPr>
                            <w:sz w:val="16"/>
                          </w:rPr>
                        </w:pPr>
                        <w:r>
                          <w:rPr>
                            <w:sz w:val="16"/>
                          </w:rPr>
                          <w:t>(-)</w:t>
                        </w:r>
                      </w:p>
                    </w:tc>
                    <w:tc>
                      <w:tcPr>
                        <w:tcW w:w="422" w:type="dxa"/>
                        <w:tcBorders>
                          <w:left w:val="nil"/>
                          <w:right w:val="nil"/>
                        </w:tcBorders>
                        <w:shd w:val="clear" w:color="auto" w:fill="EAF0DD"/>
                      </w:tcPr>
                      <w:p>
                        <w:pPr>
                          <w:pStyle w:val="TableParagraph"/>
                          <w:spacing w:before="103"/>
                          <w:ind w:left="125" w:right="111"/>
                          <w:jc w:val="center"/>
                          <w:rPr>
                            <w:sz w:val="16"/>
                          </w:rPr>
                        </w:pPr>
                        <w:r>
                          <w:rPr>
                            <w:sz w:val="16"/>
                          </w:rPr>
                          <w:t>(-)</w:t>
                        </w:r>
                      </w:p>
                    </w:tc>
                    <w:tc>
                      <w:tcPr>
                        <w:tcW w:w="426" w:type="dxa"/>
                        <w:tcBorders>
                          <w:left w:val="nil"/>
                          <w:right w:val="nil"/>
                        </w:tcBorders>
                        <w:shd w:val="clear" w:color="auto" w:fill="EAF0DD"/>
                      </w:tcPr>
                      <w:p>
                        <w:pPr>
                          <w:pStyle w:val="TableParagraph"/>
                          <w:spacing w:before="103"/>
                          <w:ind w:left="130"/>
                          <w:rPr>
                            <w:sz w:val="16"/>
                          </w:rPr>
                        </w:pPr>
                        <w:r>
                          <w:rPr>
                            <w:sz w:val="16"/>
                          </w:rPr>
                          <w:t>(+)</w:t>
                        </w:r>
                      </w:p>
                    </w:tc>
                    <w:tc>
                      <w:tcPr>
                        <w:tcW w:w="436" w:type="dxa"/>
                        <w:tcBorders>
                          <w:left w:val="nil"/>
                          <w:right w:val="nil"/>
                        </w:tcBorders>
                        <w:shd w:val="clear" w:color="auto" w:fill="EAF0DD"/>
                      </w:tcPr>
                      <w:p>
                        <w:pPr>
                          <w:pStyle w:val="TableParagraph"/>
                          <w:spacing w:before="103"/>
                          <w:ind w:left="120"/>
                          <w:rPr>
                            <w:sz w:val="16"/>
                          </w:rPr>
                        </w:pPr>
                        <w:r>
                          <w:rPr>
                            <w:sz w:val="16"/>
                          </w:rPr>
                          <w:t>(-)</w:t>
                        </w:r>
                      </w:p>
                    </w:tc>
                    <w:tc>
                      <w:tcPr>
                        <w:tcW w:w="432" w:type="dxa"/>
                        <w:tcBorders>
                          <w:left w:val="nil"/>
                          <w:right w:val="nil"/>
                        </w:tcBorders>
                        <w:shd w:val="clear" w:color="auto" w:fill="EAF0DD"/>
                      </w:tcPr>
                      <w:p>
                        <w:pPr>
                          <w:pStyle w:val="TableParagraph"/>
                          <w:spacing w:before="103"/>
                          <w:ind w:left="82" w:right="30"/>
                          <w:jc w:val="center"/>
                          <w:rPr>
                            <w:sz w:val="16"/>
                          </w:rPr>
                        </w:pPr>
                        <w:r>
                          <w:rPr>
                            <w:sz w:val="16"/>
                          </w:rPr>
                          <w:t>(-)</w:t>
                        </w:r>
                      </w:p>
                    </w:tc>
                    <w:tc>
                      <w:tcPr>
                        <w:tcW w:w="410" w:type="dxa"/>
                        <w:tcBorders>
                          <w:left w:val="nil"/>
                          <w:right w:val="nil"/>
                        </w:tcBorders>
                        <w:shd w:val="clear" w:color="auto" w:fill="EAF0DD"/>
                      </w:tcPr>
                      <w:p>
                        <w:pPr>
                          <w:pStyle w:val="TableParagraph"/>
                          <w:spacing w:before="103"/>
                          <w:ind w:left="96" w:right="96"/>
                          <w:jc w:val="center"/>
                          <w:rPr>
                            <w:sz w:val="16"/>
                          </w:rPr>
                        </w:pPr>
                        <w:r>
                          <w:rPr>
                            <w:sz w:val="16"/>
                          </w:rPr>
                          <w:t>(+)</w:t>
                        </w:r>
                      </w:p>
                    </w:tc>
                    <w:tc>
                      <w:tcPr>
                        <w:tcW w:w="387" w:type="dxa"/>
                        <w:tcBorders>
                          <w:left w:val="nil"/>
                          <w:right w:val="nil"/>
                        </w:tcBorders>
                        <w:shd w:val="clear" w:color="auto" w:fill="EAF0DD"/>
                      </w:tcPr>
                      <w:p>
                        <w:pPr>
                          <w:pStyle w:val="TableParagraph"/>
                          <w:spacing w:before="103"/>
                          <w:ind w:left="100" w:right="100"/>
                          <w:jc w:val="center"/>
                          <w:rPr>
                            <w:sz w:val="16"/>
                          </w:rPr>
                        </w:pPr>
                        <w:r>
                          <w:rPr>
                            <w:sz w:val="16"/>
                          </w:rPr>
                          <w:t>(-)</w:t>
                        </w:r>
                      </w:p>
                    </w:tc>
                    <w:tc>
                      <w:tcPr>
                        <w:tcW w:w="348" w:type="dxa"/>
                        <w:tcBorders>
                          <w:left w:val="nil"/>
                          <w:right w:val="nil"/>
                        </w:tcBorders>
                        <w:shd w:val="clear" w:color="auto" w:fill="EAF0DD"/>
                      </w:tcPr>
                      <w:p>
                        <w:pPr>
                          <w:pStyle w:val="TableParagraph"/>
                          <w:spacing w:before="103"/>
                          <w:ind w:left="101" w:right="61"/>
                          <w:jc w:val="center"/>
                          <w:rPr>
                            <w:sz w:val="16"/>
                          </w:rPr>
                        </w:pPr>
                        <w:r>
                          <w:rPr>
                            <w:sz w:val="16"/>
                          </w:rPr>
                          <w:t>(-)</w:t>
                        </w:r>
                      </w:p>
                    </w:tc>
                    <w:tc>
                      <w:tcPr>
                        <w:tcW w:w="375" w:type="dxa"/>
                        <w:tcBorders>
                          <w:left w:val="nil"/>
                          <w:right w:val="nil"/>
                        </w:tcBorders>
                        <w:shd w:val="clear" w:color="auto" w:fill="EAF0DD"/>
                      </w:tcPr>
                      <w:p>
                        <w:pPr>
                          <w:pStyle w:val="TableParagraph"/>
                          <w:spacing w:before="103"/>
                          <w:ind w:left="80"/>
                          <w:rPr>
                            <w:sz w:val="16"/>
                          </w:rPr>
                        </w:pPr>
                        <w:r>
                          <w:rPr>
                            <w:sz w:val="16"/>
                          </w:rPr>
                          <w:t>(+)</w:t>
                        </w:r>
                      </w:p>
                    </w:tc>
                    <w:tc>
                      <w:tcPr>
                        <w:tcW w:w="389" w:type="dxa"/>
                        <w:tcBorders>
                          <w:left w:val="nil"/>
                          <w:right w:val="nil"/>
                        </w:tcBorders>
                        <w:shd w:val="clear" w:color="auto" w:fill="EAF0DD"/>
                      </w:tcPr>
                      <w:p>
                        <w:pPr>
                          <w:pStyle w:val="TableParagraph"/>
                          <w:spacing w:before="103"/>
                          <w:ind w:left="119"/>
                          <w:rPr>
                            <w:sz w:val="16"/>
                          </w:rPr>
                        </w:pPr>
                        <w:r>
                          <w:rPr>
                            <w:sz w:val="16"/>
                          </w:rPr>
                          <w:t>(+)</w:t>
                        </w:r>
                      </w:p>
                    </w:tc>
                    <w:tc>
                      <w:tcPr>
                        <w:tcW w:w="357" w:type="dxa"/>
                        <w:tcBorders>
                          <w:left w:val="nil"/>
                          <w:right w:val="nil"/>
                        </w:tcBorders>
                        <w:shd w:val="clear" w:color="auto" w:fill="EAF0DD"/>
                      </w:tcPr>
                      <w:p>
                        <w:pPr>
                          <w:pStyle w:val="TableParagraph"/>
                          <w:spacing w:before="103"/>
                          <w:ind w:left="75" w:right="95"/>
                          <w:jc w:val="center"/>
                          <w:rPr>
                            <w:sz w:val="16"/>
                          </w:rPr>
                        </w:pPr>
                        <w:r>
                          <w:rPr>
                            <w:sz w:val="16"/>
                          </w:rPr>
                          <w:t>(-)</w:t>
                        </w:r>
                      </w:p>
                    </w:tc>
                    <w:tc>
                      <w:tcPr>
                        <w:tcW w:w="446" w:type="dxa"/>
                        <w:tcBorders>
                          <w:left w:val="nil"/>
                          <w:right w:val="nil"/>
                        </w:tcBorders>
                        <w:shd w:val="clear" w:color="auto" w:fill="EAF0DD"/>
                      </w:tcPr>
                      <w:p>
                        <w:pPr>
                          <w:pStyle w:val="TableParagraph"/>
                          <w:spacing w:before="103"/>
                          <w:ind w:left="17" w:right="81"/>
                          <w:jc w:val="center"/>
                          <w:rPr>
                            <w:sz w:val="16"/>
                          </w:rPr>
                        </w:pPr>
                        <w:r>
                          <w:rPr>
                            <w:sz w:val="16"/>
                          </w:rPr>
                          <w:t>(-)</w:t>
                        </w:r>
                      </w:p>
                    </w:tc>
                    <w:tc>
                      <w:tcPr>
                        <w:tcW w:w="464" w:type="dxa"/>
                        <w:tcBorders>
                          <w:left w:val="nil"/>
                          <w:right w:val="nil"/>
                        </w:tcBorders>
                        <w:shd w:val="clear" w:color="auto" w:fill="EAF0DD"/>
                      </w:tcPr>
                      <w:p>
                        <w:pPr>
                          <w:pStyle w:val="TableParagraph"/>
                          <w:spacing w:before="103"/>
                          <w:ind w:left="108" w:right="113"/>
                          <w:jc w:val="center"/>
                          <w:rPr>
                            <w:sz w:val="16"/>
                          </w:rPr>
                        </w:pPr>
                        <w:r>
                          <w:rPr>
                            <w:sz w:val="16"/>
                          </w:rPr>
                          <w:t>(-)</w:t>
                        </w:r>
                      </w:p>
                    </w:tc>
                    <w:tc>
                      <w:tcPr>
                        <w:tcW w:w="402" w:type="dxa"/>
                        <w:tcBorders>
                          <w:left w:val="nil"/>
                          <w:right w:val="nil"/>
                        </w:tcBorders>
                        <w:shd w:val="clear" w:color="auto" w:fill="EAF0DD"/>
                      </w:tcPr>
                      <w:p>
                        <w:pPr>
                          <w:pStyle w:val="TableParagraph"/>
                          <w:spacing w:before="103"/>
                          <w:ind w:left="134"/>
                          <w:rPr>
                            <w:sz w:val="16"/>
                          </w:rPr>
                        </w:pPr>
                        <w:r>
                          <w:rPr>
                            <w:sz w:val="16"/>
                          </w:rPr>
                          <w:t>(-)</w:t>
                        </w:r>
                      </w:p>
                    </w:tc>
                    <w:tc>
                      <w:tcPr>
                        <w:tcW w:w="408" w:type="dxa"/>
                        <w:tcBorders>
                          <w:left w:val="nil"/>
                          <w:right w:val="nil"/>
                        </w:tcBorders>
                        <w:shd w:val="clear" w:color="auto" w:fill="EAF0DD"/>
                      </w:tcPr>
                      <w:p>
                        <w:pPr>
                          <w:pStyle w:val="TableParagraph"/>
                          <w:spacing w:before="103"/>
                          <w:ind w:left="120"/>
                          <w:rPr>
                            <w:sz w:val="16"/>
                          </w:rPr>
                        </w:pPr>
                        <w:r>
                          <w:rPr>
                            <w:sz w:val="16"/>
                          </w:rPr>
                          <w:t>(-)</w:t>
                        </w:r>
                      </w:p>
                    </w:tc>
                    <w:tc>
                      <w:tcPr>
                        <w:tcW w:w="434" w:type="dxa"/>
                        <w:tcBorders>
                          <w:left w:val="nil"/>
                          <w:right w:val="nil"/>
                        </w:tcBorders>
                        <w:shd w:val="clear" w:color="auto" w:fill="EAF0DD"/>
                      </w:tcPr>
                      <w:p>
                        <w:pPr>
                          <w:pStyle w:val="TableParagraph"/>
                          <w:spacing w:before="103"/>
                          <w:ind w:left="111"/>
                          <w:rPr>
                            <w:sz w:val="16"/>
                          </w:rPr>
                        </w:pPr>
                        <w:r>
                          <w:rPr>
                            <w:sz w:val="16"/>
                          </w:rPr>
                          <w:t>(-)</w:t>
                        </w:r>
                      </w:p>
                    </w:tc>
                    <w:tc>
                      <w:tcPr>
                        <w:tcW w:w="463" w:type="dxa"/>
                        <w:tcBorders>
                          <w:left w:val="nil"/>
                          <w:right w:val="nil"/>
                        </w:tcBorders>
                        <w:shd w:val="clear" w:color="auto" w:fill="EAF0DD"/>
                      </w:tcPr>
                      <w:p>
                        <w:pPr>
                          <w:pStyle w:val="TableParagraph"/>
                          <w:spacing w:before="103"/>
                          <w:ind w:left="0" w:right="110"/>
                          <w:jc w:val="right"/>
                          <w:rPr>
                            <w:sz w:val="16"/>
                          </w:rPr>
                        </w:pPr>
                        <w:r>
                          <w:rPr>
                            <w:sz w:val="16"/>
                          </w:rPr>
                          <w:t>(+)</w:t>
                        </w:r>
                      </w:p>
                    </w:tc>
                    <w:tc>
                      <w:tcPr>
                        <w:tcW w:w="533" w:type="dxa"/>
                        <w:tcBorders>
                          <w:left w:val="nil"/>
                          <w:right w:val="nil"/>
                        </w:tcBorders>
                        <w:shd w:val="clear" w:color="auto" w:fill="EAF0DD"/>
                      </w:tcPr>
                      <w:p>
                        <w:pPr>
                          <w:pStyle w:val="TableParagraph"/>
                          <w:spacing w:before="50"/>
                          <w:ind w:left="112"/>
                          <w:rPr>
                            <w:b/>
                            <w:sz w:val="16"/>
                          </w:rPr>
                        </w:pPr>
                        <w:r>
                          <w:rPr>
                            <w:b/>
                            <w:w w:val="100"/>
                            <w:sz w:val="16"/>
                          </w:rPr>
                          <w:t>4</w:t>
                        </w:r>
                      </w:p>
                    </w:tc>
                    <w:tc>
                      <w:tcPr>
                        <w:tcW w:w="614" w:type="dxa"/>
                        <w:tcBorders>
                          <w:left w:val="nil"/>
                          <w:right w:val="nil"/>
                        </w:tcBorders>
                        <w:shd w:val="clear" w:color="auto" w:fill="EAF0DD"/>
                      </w:tcPr>
                      <w:p>
                        <w:pPr>
                          <w:pStyle w:val="TableParagraph"/>
                          <w:spacing w:before="50"/>
                          <w:ind w:left="256"/>
                          <w:rPr>
                            <w:b/>
                            <w:sz w:val="16"/>
                          </w:rPr>
                        </w:pPr>
                        <w:r>
                          <w:rPr>
                            <w:b/>
                            <w:sz w:val="16"/>
                          </w:rPr>
                          <w:t>5.8</w:t>
                        </w:r>
                      </w:p>
                    </w:tc>
                  </w:tr>
                  <w:tr>
                    <w:trPr>
                      <w:trHeight w:val="310" w:hRule="exact"/>
                    </w:trPr>
                    <w:tc>
                      <w:tcPr>
                        <w:tcW w:w="328" w:type="dxa"/>
                        <w:tcBorders>
                          <w:left w:val="nil"/>
                          <w:right w:val="nil"/>
                        </w:tcBorders>
                        <w:shd w:val="clear" w:color="auto" w:fill="F1DDDC"/>
                      </w:tcPr>
                      <w:p>
                        <w:pPr>
                          <w:pStyle w:val="TableParagraph"/>
                          <w:spacing w:before="102"/>
                          <w:ind w:left="51" w:right="90"/>
                          <w:jc w:val="center"/>
                          <w:rPr>
                            <w:sz w:val="16"/>
                          </w:rPr>
                        </w:pPr>
                        <w:r>
                          <w:rPr>
                            <w:sz w:val="16"/>
                          </w:rPr>
                          <w:t>(-)</w:t>
                        </w:r>
                      </w:p>
                    </w:tc>
                    <w:tc>
                      <w:tcPr>
                        <w:tcW w:w="377" w:type="dxa"/>
                        <w:tcBorders>
                          <w:left w:val="nil"/>
                          <w:right w:val="nil"/>
                        </w:tcBorders>
                        <w:shd w:val="clear" w:color="auto" w:fill="F1DDDC"/>
                      </w:tcPr>
                      <w:p>
                        <w:pPr>
                          <w:pStyle w:val="TableParagraph"/>
                          <w:spacing w:before="102"/>
                          <w:ind w:left="111"/>
                          <w:rPr>
                            <w:sz w:val="16"/>
                          </w:rPr>
                        </w:pPr>
                        <w:r>
                          <w:rPr>
                            <w:sz w:val="16"/>
                          </w:rPr>
                          <w:t>(-)</w:t>
                        </w:r>
                      </w:p>
                    </w:tc>
                    <w:tc>
                      <w:tcPr>
                        <w:tcW w:w="420" w:type="dxa"/>
                        <w:tcBorders>
                          <w:left w:val="nil"/>
                          <w:right w:val="nil"/>
                        </w:tcBorders>
                        <w:shd w:val="clear" w:color="auto" w:fill="F1DDDC"/>
                      </w:tcPr>
                      <w:p>
                        <w:pPr>
                          <w:pStyle w:val="TableParagraph"/>
                          <w:spacing w:before="102"/>
                          <w:ind w:left="118"/>
                          <w:rPr>
                            <w:sz w:val="16"/>
                          </w:rPr>
                        </w:pPr>
                        <w:r>
                          <w:rPr>
                            <w:sz w:val="16"/>
                          </w:rPr>
                          <w:t>(-)</w:t>
                        </w:r>
                      </w:p>
                    </w:tc>
                    <w:tc>
                      <w:tcPr>
                        <w:tcW w:w="436" w:type="dxa"/>
                        <w:tcBorders>
                          <w:left w:val="nil"/>
                          <w:right w:val="nil"/>
                        </w:tcBorders>
                        <w:shd w:val="clear" w:color="auto" w:fill="F1DDDC"/>
                      </w:tcPr>
                      <w:p>
                        <w:pPr>
                          <w:pStyle w:val="TableParagraph"/>
                          <w:spacing w:before="102"/>
                          <w:ind w:left="0" w:right="104"/>
                          <w:jc w:val="right"/>
                          <w:rPr>
                            <w:sz w:val="16"/>
                          </w:rPr>
                        </w:pPr>
                        <w:r>
                          <w:rPr>
                            <w:sz w:val="16"/>
                          </w:rPr>
                          <w:t>(+)</w:t>
                        </w:r>
                      </w:p>
                    </w:tc>
                    <w:tc>
                      <w:tcPr>
                        <w:tcW w:w="399" w:type="dxa"/>
                        <w:tcBorders>
                          <w:left w:val="nil"/>
                          <w:right w:val="nil"/>
                        </w:tcBorders>
                        <w:shd w:val="clear" w:color="auto" w:fill="F1DDDC"/>
                      </w:tcPr>
                      <w:p>
                        <w:pPr>
                          <w:pStyle w:val="TableParagraph"/>
                          <w:spacing w:before="102"/>
                          <w:ind w:left="0" w:right="142"/>
                          <w:jc w:val="right"/>
                          <w:rPr>
                            <w:sz w:val="16"/>
                          </w:rPr>
                        </w:pPr>
                        <w:r>
                          <w:rPr>
                            <w:sz w:val="16"/>
                          </w:rPr>
                          <w:t>(-)</w:t>
                        </w:r>
                      </w:p>
                    </w:tc>
                    <w:tc>
                      <w:tcPr>
                        <w:tcW w:w="422" w:type="dxa"/>
                        <w:tcBorders>
                          <w:left w:val="nil"/>
                          <w:right w:val="nil"/>
                        </w:tcBorders>
                        <w:shd w:val="clear" w:color="auto" w:fill="F1DDDC"/>
                      </w:tcPr>
                      <w:p>
                        <w:pPr>
                          <w:pStyle w:val="TableParagraph"/>
                          <w:spacing w:before="102"/>
                          <w:ind w:left="125" w:right="111"/>
                          <w:jc w:val="center"/>
                          <w:rPr>
                            <w:sz w:val="16"/>
                          </w:rPr>
                        </w:pPr>
                        <w:r>
                          <w:rPr>
                            <w:sz w:val="16"/>
                          </w:rPr>
                          <w:t>(-)</w:t>
                        </w:r>
                      </w:p>
                    </w:tc>
                    <w:tc>
                      <w:tcPr>
                        <w:tcW w:w="426" w:type="dxa"/>
                        <w:tcBorders>
                          <w:left w:val="nil"/>
                          <w:right w:val="nil"/>
                        </w:tcBorders>
                        <w:shd w:val="clear" w:color="auto" w:fill="F1DDDC"/>
                      </w:tcPr>
                      <w:p>
                        <w:pPr>
                          <w:pStyle w:val="TableParagraph"/>
                          <w:spacing w:before="102"/>
                          <w:ind w:left="130"/>
                          <w:rPr>
                            <w:sz w:val="16"/>
                          </w:rPr>
                        </w:pPr>
                        <w:r>
                          <w:rPr>
                            <w:sz w:val="16"/>
                          </w:rPr>
                          <w:t>(+)</w:t>
                        </w:r>
                      </w:p>
                    </w:tc>
                    <w:tc>
                      <w:tcPr>
                        <w:tcW w:w="436" w:type="dxa"/>
                        <w:tcBorders>
                          <w:left w:val="nil"/>
                          <w:right w:val="nil"/>
                        </w:tcBorders>
                        <w:shd w:val="clear" w:color="auto" w:fill="F1DDDC"/>
                      </w:tcPr>
                      <w:p>
                        <w:pPr>
                          <w:pStyle w:val="TableParagraph"/>
                          <w:spacing w:before="102"/>
                          <w:ind w:left="120"/>
                          <w:rPr>
                            <w:sz w:val="16"/>
                          </w:rPr>
                        </w:pPr>
                        <w:r>
                          <w:rPr>
                            <w:sz w:val="16"/>
                          </w:rPr>
                          <w:t>(-)</w:t>
                        </w:r>
                      </w:p>
                    </w:tc>
                    <w:tc>
                      <w:tcPr>
                        <w:tcW w:w="432" w:type="dxa"/>
                        <w:tcBorders>
                          <w:left w:val="nil"/>
                          <w:right w:val="nil"/>
                        </w:tcBorders>
                        <w:shd w:val="clear" w:color="auto" w:fill="F1DDDC"/>
                      </w:tcPr>
                      <w:p>
                        <w:pPr>
                          <w:pStyle w:val="TableParagraph"/>
                          <w:spacing w:before="102"/>
                          <w:ind w:left="82" w:right="30"/>
                          <w:jc w:val="center"/>
                          <w:rPr>
                            <w:sz w:val="16"/>
                          </w:rPr>
                        </w:pPr>
                        <w:r>
                          <w:rPr>
                            <w:sz w:val="16"/>
                          </w:rPr>
                          <w:t>(-)</w:t>
                        </w:r>
                      </w:p>
                    </w:tc>
                    <w:tc>
                      <w:tcPr>
                        <w:tcW w:w="410" w:type="dxa"/>
                        <w:tcBorders>
                          <w:left w:val="nil"/>
                          <w:right w:val="nil"/>
                        </w:tcBorders>
                        <w:shd w:val="clear" w:color="auto" w:fill="F1DDDC"/>
                      </w:tcPr>
                      <w:p>
                        <w:pPr>
                          <w:pStyle w:val="TableParagraph"/>
                          <w:spacing w:before="102"/>
                          <w:ind w:left="96" w:right="96"/>
                          <w:jc w:val="center"/>
                          <w:rPr>
                            <w:sz w:val="16"/>
                          </w:rPr>
                        </w:pPr>
                        <w:r>
                          <w:rPr>
                            <w:sz w:val="16"/>
                          </w:rPr>
                          <w:t>(+)</w:t>
                        </w:r>
                      </w:p>
                    </w:tc>
                    <w:tc>
                      <w:tcPr>
                        <w:tcW w:w="387" w:type="dxa"/>
                        <w:tcBorders>
                          <w:left w:val="nil"/>
                          <w:right w:val="nil"/>
                        </w:tcBorders>
                        <w:shd w:val="clear" w:color="auto" w:fill="F1DDDC"/>
                      </w:tcPr>
                      <w:p>
                        <w:pPr>
                          <w:pStyle w:val="TableParagraph"/>
                          <w:spacing w:before="102"/>
                          <w:ind w:left="100" w:right="100"/>
                          <w:jc w:val="center"/>
                          <w:rPr>
                            <w:sz w:val="16"/>
                          </w:rPr>
                        </w:pPr>
                        <w:r>
                          <w:rPr>
                            <w:sz w:val="16"/>
                          </w:rPr>
                          <w:t>(-)</w:t>
                        </w:r>
                      </w:p>
                    </w:tc>
                    <w:tc>
                      <w:tcPr>
                        <w:tcW w:w="348" w:type="dxa"/>
                        <w:tcBorders>
                          <w:left w:val="nil"/>
                          <w:right w:val="nil"/>
                        </w:tcBorders>
                        <w:shd w:val="clear" w:color="auto" w:fill="F1DDDC"/>
                      </w:tcPr>
                      <w:p>
                        <w:pPr>
                          <w:pStyle w:val="TableParagraph"/>
                          <w:spacing w:before="102"/>
                          <w:ind w:left="101" w:right="61"/>
                          <w:jc w:val="center"/>
                          <w:rPr>
                            <w:sz w:val="16"/>
                          </w:rPr>
                        </w:pPr>
                        <w:r>
                          <w:rPr>
                            <w:sz w:val="16"/>
                          </w:rPr>
                          <w:t>(-)</w:t>
                        </w:r>
                      </w:p>
                    </w:tc>
                    <w:tc>
                      <w:tcPr>
                        <w:tcW w:w="375" w:type="dxa"/>
                        <w:tcBorders>
                          <w:left w:val="nil"/>
                          <w:right w:val="nil"/>
                        </w:tcBorders>
                        <w:shd w:val="clear" w:color="auto" w:fill="F1DDDC"/>
                      </w:tcPr>
                      <w:p>
                        <w:pPr>
                          <w:pStyle w:val="TableParagraph"/>
                          <w:spacing w:before="102"/>
                          <w:ind w:left="80"/>
                          <w:rPr>
                            <w:sz w:val="16"/>
                          </w:rPr>
                        </w:pPr>
                        <w:r>
                          <w:rPr>
                            <w:sz w:val="16"/>
                          </w:rPr>
                          <w:t>(+)</w:t>
                        </w:r>
                      </w:p>
                    </w:tc>
                    <w:tc>
                      <w:tcPr>
                        <w:tcW w:w="389" w:type="dxa"/>
                        <w:tcBorders>
                          <w:left w:val="nil"/>
                          <w:right w:val="nil"/>
                        </w:tcBorders>
                        <w:shd w:val="clear" w:color="auto" w:fill="F1DDDC"/>
                      </w:tcPr>
                      <w:p>
                        <w:pPr>
                          <w:pStyle w:val="TableParagraph"/>
                          <w:spacing w:before="102"/>
                          <w:ind w:left="119"/>
                          <w:rPr>
                            <w:sz w:val="16"/>
                          </w:rPr>
                        </w:pPr>
                        <w:r>
                          <w:rPr>
                            <w:sz w:val="16"/>
                          </w:rPr>
                          <w:t>(-)</w:t>
                        </w:r>
                      </w:p>
                    </w:tc>
                    <w:tc>
                      <w:tcPr>
                        <w:tcW w:w="357" w:type="dxa"/>
                        <w:tcBorders>
                          <w:left w:val="nil"/>
                          <w:right w:val="nil"/>
                        </w:tcBorders>
                        <w:shd w:val="clear" w:color="auto" w:fill="F1DDDC"/>
                      </w:tcPr>
                      <w:p>
                        <w:pPr>
                          <w:pStyle w:val="TableParagraph"/>
                          <w:spacing w:before="102"/>
                          <w:ind w:left="75" w:right="95"/>
                          <w:jc w:val="center"/>
                          <w:rPr>
                            <w:sz w:val="16"/>
                          </w:rPr>
                        </w:pPr>
                        <w:r>
                          <w:rPr>
                            <w:sz w:val="16"/>
                          </w:rPr>
                          <w:t>(-)</w:t>
                        </w:r>
                      </w:p>
                    </w:tc>
                    <w:tc>
                      <w:tcPr>
                        <w:tcW w:w="446" w:type="dxa"/>
                        <w:tcBorders>
                          <w:left w:val="nil"/>
                          <w:right w:val="nil"/>
                        </w:tcBorders>
                        <w:shd w:val="clear" w:color="auto" w:fill="F1DDDC"/>
                      </w:tcPr>
                      <w:p>
                        <w:pPr>
                          <w:pStyle w:val="TableParagraph"/>
                          <w:spacing w:before="102"/>
                          <w:ind w:left="17" w:right="81"/>
                          <w:jc w:val="center"/>
                          <w:rPr>
                            <w:sz w:val="16"/>
                          </w:rPr>
                        </w:pPr>
                        <w:r>
                          <w:rPr>
                            <w:sz w:val="16"/>
                          </w:rPr>
                          <w:t>(-)</w:t>
                        </w:r>
                      </w:p>
                    </w:tc>
                    <w:tc>
                      <w:tcPr>
                        <w:tcW w:w="464" w:type="dxa"/>
                        <w:tcBorders>
                          <w:left w:val="nil"/>
                          <w:right w:val="nil"/>
                        </w:tcBorders>
                        <w:shd w:val="clear" w:color="auto" w:fill="F1DDDC"/>
                      </w:tcPr>
                      <w:p>
                        <w:pPr>
                          <w:pStyle w:val="TableParagraph"/>
                          <w:spacing w:before="102"/>
                          <w:ind w:left="108" w:right="113"/>
                          <w:jc w:val="center"/>
                          <w:rPr>
                            <w:sz w:val="16"/>
                          </w:rPr>
                        </w:pPr>
                        <w:r>
                          <w:rPr>
                            <w:sz w:val="16"/>
                          </w:rPr>
                          <w:t>(-)</w:t>
                        </w:r>
                      </w:p>
                    </w:tc>
                    <w:tc>
                      <w:tcPr>
                        <w:tcW w:w="402" w:type="dxa"/>
                        <w:tcBorders>
                          <w:left w:val="nil"/>
                          <w:right w:val="nil"/>
                        </w:tcBorders>
                        <w:shd w:val="clear" w:color="auto" w:fill="F1DDDC"/>
                      </w:tcPr>
                      <w:p>
                        <w:pPr>
                          <w:pStyle w:val="TableParagraph"/>
                          <w:spacing w:before="102"/>
                          <w:ind w:left="134"/>
                          <w:rPr>
                            <w:sz w:val="16"/>
                          </w:rPr>
                        </w:pPr>
                        <w:r>
                          <w:rPr>
                            <w:sz w:val="16"/>
                          </w:rPr>
                          <w:t>(-)</w:t>
                        </w:r>
                      </w:p>
                    </w:tc>
                    <w:tc>
                      <w:tcPr>
                        <w:tcW w:w="408" w:type="dxa"/>
                        <w:tcBorders>
                          <w:left w:val="nil"/>
                          <w:right w:val="nil"/>
                        </w:tcBorders>
                        <w:shd w:val="clear" w:color="auto" w:fill="F1DDDC"/>
                      </w:tcPr>
                      <w:p>
                        <w:pPr>
                          <w:pStyle w:val="TableParagraph"/>
                          <w:spacing w:before="102"/>
                          <w:ind w:left="120"/>
                          <w:rPr>
                            <w:sz w:val="16"/>
                          </w:rPr>
                        </w:pPr>
                        <w:r>
                          <w:rPr>
                            <w:sz w:val="16"/>
                          </w:rPr>
                          <w:t>(-)</w:t>
                        </w:r>
                      </w:p>
                    </w:tc>
                    <w:tc>
                      <w:tcPr>
                        <w:tcW w:w="434" w:type="dxa"/>
                        <w:tcBorders>
                          <w:left w:val="nil"/>
                          <w:right w:val="nil"/>
                        </w:tcBorders>
                        <w:shd w:val="clear" w:color="auto" w:fill="F1DDDC"/>
                      </w:tcPr>
                      <w:p>
                        <w:pPr>
                          <w:pStyle w:val="TableParagraph"/>
                          <w:spacing w:before="102"/>
                          <w:ind w:left="111"/>
                          <w:rPr>
                            <w:sz w:val="16"/>
                          </w:rPr>
                        </w:pPr>
                        <w:r>
                          <w:rPr>
                            <w:sz w:val="16"/>
                          </w:rPr>
                          <w:t>(-)</w:t>
                        </w:r>
                      </w:p>
                    </w:tc>
                    <w:tc>
                      <w:tcPr>
                        <w:tcW w:w="463" w:type="dxa"/>
                        <w:tcBorders>
                          <w:left w:val="nil"/>
                          <w:right w:val="nil"/>
                        </w:tcBorders>
                        <w:shd w:val="clear" w:color="auto" w:fill="F1DDDC"/>
                      </w:tcPr>
                      <w:p>
                        <w:pPr>
                          <w:pStyle w:val="TableParagraph"/>
                          <w:spacing w:before="102"/>
                          <w:ind w:left="0" w:right="110"/>
                          <w:jc w:val="right"/>
                          <w:rPr>
                            <w:sz w:val="16"/>
                          </w:rPr>
                        </w:pPr>
                        <w:r>
                          <w:rPr>
                            <w:sz w:val="16"/>
                          </w:rPr>
                          <w:t>(+)</w:t>
                        </w:r>
                      </w:p>
                    </w:tc>
                    <w:tc>
                      <w:tcPr>
                        <w:tcW w:w="533" w:type="dxa"/>
                        <w:tcBorders>
                          <w:left w:val="nil"/>
                          <w:right w:val="nil"/>
                        </w:tcBorders>
                        <w:shd w:val="clear" w:color="auto" w:fill="F1DDDC"/>
                      </w:tcPr>
                      <w:p>
                        <w:pPr>
                          <w:pStyle w:val="TableParagraph"/>
                          <w:spacing w:before="51"/>
                          <w:ind w:left="112"/>
                          <w:rPr>
                            <w:b/>
                            <w:sz w:val="16"/>
                          </w:rPr>
                        </w:pPr>
                        <w:r>
                          <w:rPr>
                            <w:b/>
                            <w:w w:val="100"/>
                            <w:sz w:val="16"/>
                          </w:rPr>
                          <w:t>2</w:t>
                        </w:r>
                      </w:p>
                    </w:tc>
                    <w:tc>
                      <w:tcPr>
                        <w:tcW w:w="614" w:type="dxa"/>
                        <w:tcBorders>
                          <w:left w:val="nil"/>
                          <w:right w:val="nil"/>
                        </w:tcBorders>
                        <w:shd w:val="clear" w:color="auto" w:fill="F1DDDC"/>
                      </w:tcPr>
                      <w:p>
                        <w:pPr>
                          <w:pStyle w:val="TableParagraph"/>
                          <w:spacing w:before="51"/>
                          <w:ind w:left="256"/>
                          <w:rPr>
                            <w:b/>
                            <w:sz w:val="16"/>
                          </w:rPr>
                        </w:pPr>
                        <w:r>
                          <w:rPr>
                            <w:b/>
                            <w:sz w:val="16"/>
                          </w:rPr>
                          <w:t>2.9</w:t>
                        </w:r>
                      </w:p>
                    </w:tc>
                  </w:tr>
                  <w:tr>
                    <w:trPr>
                      <w:trHeight w:val="310" w:hRule="exact"/>
                    </w:trPr>
                    <w:tc>
                      <w:tcPr>
                        <w:tcW w:w="328" w:type="dxa"/>
                        <w:tcBorders>
                          <w:left w:val="nil"/>
                          <w:right w:val="nil"/>
                        </w:tcBorders>
                        <w:shd w:val="clear" w:color="auto" w:fill="DBEDF3"/>
                      </w:tcPr>
                      <w:p>
                        <w:pPr>
                          <w:pStyle w:val="TableParagraph"/>
                          <w:spacing w:before="104"/>
                          <w:ind w:left="51" w:right="90"/>
                          <w:jc w:val="center"/>
                          <w:rPr>
                            <w:sz w:val="16"/>
                          </w:rPr>
                        </w:pPr>
                        <w:r>
                          <w:rPr>
                            <w:sz w:val="16"/>
                          </w:rPr>
                          <w:t>(-)</w:t>
                        </w:r>
                      </w:p>
                    </w:tc>
                    <w:tc>
                      <w:tcPr>
                        <w:tcW w:w="377" w:type="dxa"/>
                        <w:tcBorders>
                          <w:left w:val="nil"/>
                          <w:right w:val="nil"/>
                        </w:tcBorders>
                        <w:shd w:val="clear" w:color="auto" w:fill="DBEDF3"/>
                      </w:tcPr>
                      <w:p>
                        <w:pPr>
                          <w:pStyle w:val="TableParagraph"/>
                          <w:spacing w:before="104"/>
                          <w:ind w:left="111"/>
                          <w:rPr>
                            <w:sz w:val="16"/>
                          </w:rPr>
                        </w:pPr>
                        <w:r>
                          <w:rPr>
                            <w:sz w:val="16"/>
                          </w:rPr>
                          <w:t>(-)</w:t>
                        </w:r>
                      </w:p>
                    </w:tc>
                    <w:tc>
                      <w:tcPr>
                        <w:tcW w:w="420" w:type="dxa"/>
                        <w:tcBorders>
                          <w:left w:val="nil"/>
                          <w:right w:val="nil"/>
                        </w:tcBorders>
                        <w:shd w:val="clear" w:color="auto" w:fill="DBEDF3"/>
                      </w:tcPr>
                      <w:p>
                        <w:pPr>
                          <w:pStyle w:val="TableParagraph"/>
                          <w:spacing w:before="104"/>
                          <w:ind w:left="118"/>
                          <w:rPr>
                            <w:sz w:val="16"/>
                          </w:rPr>
                        </w:pPr>
                        <w:r>
                          <w:rPr>
                            <w:sz w:val="16"/>
                          </w:rPr>
                          <w:t>(-)</w:t>
                        </w:r>
                      </w:p>
                    </w:tc>
                    <w:tc>
                      <w:tcPr>
                        <w:tcW w:w="436" w:type="dxa"/>
                        <w:tcBorders>
                          <w:left w:val="nil"/>
                          <w:right w:val="nil"/>
                        </w:tcBorders>
                        <w:shd w:val="clear" w:color="auto" w:fill="DBEDF3"/>
                      </w:tcPr>
                      <w:p>
                        <w:pPr>
                          <w:pStyle w:val="TableParagraph"/>
                          <w:spacing w:before="104"/>
                          <w:ind w:left="0" w:right="104"/>
                          <w:jc w:val="right"/>
                          <w:rPr>
                            <w:sz w:val="16"/>
                          </w:rPr>
                        </w:pPr>
                        <w:r>
                          <w:rPr>
                            <w:sz w:val="16"/>
                          </w:rPr>
                          <w:t>(+)</w:t>
                        </w:r>
                      </w:p>
                    </w:tc>
                    <w:tc>
                      <w:tcPr>
                        <w:tcW w:w="399" w:type="dxa"/>
                        <w:tcBorders>
                          <w:left w:val="nil"/>
                          <w:right w:val="nil"/>
                        </w:tcBorders>
                        <w:shd w:val="clear" w:color="auto" w:fill="DBEDF3"/>
                      </w:tcPr>
                      <w:p>
                        <w:pPr>
                          <w:pStyle w:val="TableParagraph"/>
                          <w:spacing w:before="104"/>
                          <w:ind w:left="0" w:right="142"/>
                          <w:jc w:val="right"/>
                          <w:rPr>
                            <w:sz w:val="16"/>
                          </w:rPr>
                        </w:pPr>
                        <w:r>
                          <w:rPr>
                            <w:sz w:val="16"/>
                          </w:rPr>
                          <w:t>(-)</w:t>
                        </w:r>
                      </w:p>
                    </w:tc>
                    <w:tc>
                      <w:tcPr>
                        <w:tcW w:w="422" w:type="dxa"/>
                        <w:tcBorders>
                          <w:left w:val="nil"/>
                          <w:right w:val="nil"/>
                        </w:tcBorders>
                        <w:shd w:val="clear" w:color="auto" w:fill="DBEDF3"/>
                      </w:tcPr>
                      <w:p>
                        <w:pPr>
                          <w:pStyle w:val="TableParagraph"/>
                          <w:spacing w:before="104"/>
                          <w:ind w:left="125" w:right="111"/>
                          <w:jc w:val="center"/>
                          <w:rPr>
                            <w:sz w:val="16"/>
                          </w:rPr>
                        </w:pPr>
                        <w:r>
                          <w:rPr>
                            <w:sz w:val="16"/>
                          </w:rPr>
                          <w:t>(-)</w:t>
                        </w:r>
                      </w:p>
                    </w:tc>
                    <w:tc>
                      <w:tcPr>
                        <w:tcW w:w="426" w:type="dxa"/>
                        <w:tcBorders>
                          <w:left w:val="nil"/>
                          <w:right w:val="nil"/>
                        </w:tcBorders>
                        <w:shd w:val="clear" w:color="auto" w:fill="DBEDF3"/>
                      </w:tcPr>
                      <w:p>
                        <w:pPr>
                          <w:pStyle w:val="TableParagraph"/>
                          <w:spacing w:before="104"/>
                          <w:ind w:left="130"/>
                          <w:rPr>
                            <w:sz w:val="16"/>
                          </w:rPr>
                        </w:pPr>
                        <w:r>
                          <w:rPr>
                            <w:sz w:val="16"/>
                          </w:rPr>
                          <w:t>(+)</w:t>
                        </w:r>
                      </w:p>
                    </w:tc>
                    <w:tc>
                      <w:tcPr>
                        <w:tcW w:w="436" w:type="dxa"/>
                        <w:tcBorders>
                          <w:left w:val="nil"/>
                          <w:right w:val="nil"/>
                        </w:tcBorders>
                        <w:shd w:val="clear" w:color="auto" w:fill="DBEDF3"/>
                      </w:tcPr>
                      <w:p>
                        <w:pPr>
                          <w:pStyle w:val="TableParagraph"/>
                          <w:spacing w:before="104"/>
                          <w:ind w:left="120"/>
                          <w:rPr>
                            <w:sz w:val="16"/>
                          </w:rPr>
                        </w:pPr>
                        <w:r>
                          <w:rPr>
                            <w:sz w:val="16"/>
                          </w:rPr>
                          <w:t>(-)</w:t>
                        </w:r>
                      </w:p>
                    </w:tc>
                    <w:tc>
                      <w:tcPr>
                        <w:tcW w:w="432" w:type="dxa"/>
                        <w:tcBorders>
                          <w:left w:val="nil"/>
                          <w:right w:val="nil"/>
                        </w:tcBorders>
                        <w:shd w:val="clear" w:color="auto" w:fill="DBEDF3"/>
                      </w:tcPr>
                      <w:p>
                        <w:pPr>
                          <w:pStyle w:val="TableParagraph"/>
                          <w:spacing w:before="104"/>
                          <w:ind w:left="82" w:right="30"/>
                          <w:jc w:val="center"/>
                          <w:rPr>
                            <w:sz w:val="16"/>
                          </w:rPr>
                        </w:pPr>
                        <w:r>
                          <w:rPr>
                            <w:sz w:val="16"/>
                          </w:rPr>
                          <w:t>(-)</w:t>
                        </w:r>
                      </w:p>
                    </w:tc>
                    <w:tc>
                      <w:tcPr>
                        <w:tcW w:w="410" w:type="dxa"/>
                        <w:tcBorders>
                          <w:left w:val="nil"/>
                          <w:right w:val="nil"/>
                        </w:tcBorders>
                        <w:shd w:val="clear" w:color="auto" w:fill="DBEDF3"/>
                      </w:tcPr>
                      <w:p>
                        <w:pPr>
                          <w:pStyle w:val="TableParagraph"/>
                          <w:spacing w:before="104"/>
                          <w:ind w:left="96" w:right="96"/>
                          <w:jc w:val="center"/>
                          <w:rPr>
                            <w:sz w:val="16"/>
                          </w:rPr>
                        </w:pPr>
                        <w:r>
                          <w:rPr>
                            <w:sz w:val="16"/>
                          </w:rPr>
                          <w:t>(+)</w:t>
                        </w:r>
                      </w:p>
                    </w:tc>
                    <w:tc>
                      <w:tcPr>
                        <w:tcW w:w="387" w:type="dxa"/>
                        <w:tcBorders>
                          <w:left w:val="nil"/>
                          <w:right w:val="nil"/>
                        </w:tcBorders>
                        <w:shd w:val="clear" w:color="auto" w:fill="DBEDF3"/>
                      </w:tcPr>
                      <w:p>
                        <w:pPr>
                          <w:pStyle w:val="TableParagraph"/>
                          <w:spacing w:before="104"/>
                          <w:ind w:left="100" w:right="100"/>
                          <w:jc w:val="center"/>
                          <w:rPr>
                            <w:sz w:val="16"/>
                          </w:rPr>
                        </w:pPr>
                        <w:r>
                          <w:rPr>
                            <w:sz w:val="16"/>
                          </w:rPr>
                          <w:t>(-)</w:t>
                        </w:r>
                      </w:p>
                    </w:tc>
                    <w:tc>
                      <w:tcPr>
                        <w:tcW w:w="348" w:type="dxa"/>
                        <w:tcBorders>
                          <w:left w:val="nil"/>
                          <w:right w:val="nil"/>
                        </w:tcBorders>
                        <w:shd w:val="clear" w:color="auto" w:fill="DBEDF3"/>
                      </w:tcPr>
                      <w:p>
                        <w:pPr>
                          <w:pStyle w:val="TableParagraph"/>
                          <w:spacing w:before="104"/>
                          <w:ind w:left="101" w:right="61"/>
                          <w:jc w:val="center"/>
                          <w:rPr>
                            <w:sz w:val="16"/>
                          </w:rPr>
                        </w:pPr>
                        <w:r>
                          <w:rPr>
                            <w:sz w:val="16"/>
                          </w:rPr>
                          <w:t>(-)</w:t>
                        </w:r>
                      </w:p>
                    </w:tc>
                    <w:tc>
                      <w:tcPr>
                        <w:tcW w:w="375" w:type="dxa"/>
                        <w:tcBorders>
                          <w:left w:val="nil"/>
                          <w:right w:val="nil"/>
                        </w:tcBorders>
                        <w:shd w:val="clear" w:color="auto" w:fill="DBEDF3"/>
                      </w:tcPr>
                      <w:p>
                        <w:pPr>
                          <w:pStyle w:val="TableParagraph"/>
                          <w:spacing w:before="104"/>
                          <w:ind w:left="80"/>
                          <w:rPr>
                            <w:sz w:val="16"/>
                          </w:rPr>
                        </w:pPr>
                        <w:r>
                          <w:rPr>
                            <w:sz w:val="16"/>
                          </w:rPr>
                          <w:t>(+)</w:t>
                        </w:r>
                      </w:p>
                    </w:tc>
                    <w:tc>
                      <w:tcPr>
                        <w:tcW w:w="389" w:type="dxa"/>
                        <w:tcBorders>
                          <w:left w:val="nil"/>
                          <w:right w:val="nil"/>
                        </w:tcBorders>
                        <w:shd w:val="clear" w:color="auto" w:fill="DBEDF3"/>
                      </w:tcPr>
                      <w:p>
                        <w:pPr>
                          <w:pStyle w:val="TableParagraph"/>
                          <w:spacing w:before="104"/>
                          <w:ind w:left="119"/>
                          <w:rPr>
                            <w:sz w:val="16"/>
                          </w:rPr>
                        </w:pPr>
                        <w:r>
                          <w:rPr>
                            <w:sz w:val="16"/>
                          </w:rPr>
                          <w:t>(+)</w:t>
                        </w:r>
                      </w:p>
                    </w:tc>
                    <w:tc>
                      <w:tcPr>
                        <w:tcW w:w="357" w:type="dxa"/>
                        <w:tcBorders>
                          <w:left w:val="nil"/>
                          <w:right w:val="nil"/>
                        </w:tcBorders>
                        <w:shd w:val="clear" w:color="auto" w:fill="DBEDF3"/>
                      </w:tcPr>
                      <w:p>
                        <w:pPr>
                          <w:pStyle w:val="TableParagraph"/>
                          <w:spacing w:before="104"/>
                          <w:ind w:left="75" w:right="95"/>
                          <w:jc w:val="center"/>
                          <w:rPr>
                            <w:sz w:val="16"/>
                          </w:rPr>
                        </w:pPr>
                        <w:r>
                          <w:rPr>
                            <w:sz w:val="16"/>
                          </w:rPr>
                          <w:t>(-)</w:t>
                        </w:r>
                      </w:p>
                    </w:tc>
                    <w:tc>
                      <w:tcPr>
                        <w:tcW w:w="446" w:type="dxa"/>
                        <w:tcBorders>
                          <w:left w:val="nil"/>
                          <w:right w:val="nil"/>
                        </w:tcBorders>
                        <w:shd w:val="clear" w:color="auto" w:fill="DBEDF3"/>
                      </w:tcPr>
                      <w:p>
                        <w:pPr>
                          <w:pStyle w:val="TableParagraph"/>
                          <w:spacing w:before="104"/>
                          <w:ind w:left="17" w:right="81"/>
                          <w:jc w:val="center"/>
                          <w:rPr>
                            <w:sz w:val="16"/>
                          </w:rPr>
                        </w:pPr>
                        <w:r>
                          <w:rPr>
                            <w:sz w:val="16"/>
                          </w:rPr>
                          <w:t>(-)</w:t>
                        </w:r>
                      </w:p>
                    </w:tc>
                    <w:tc>
                      <w:tcPr>
                        <w:tcW w:w="464" w:type="dxa"/>
                        <w:tcBorders>
                          <w:left w:val="nil"/>
                          <w:right w:val="nil"/>
                        </w:tcBorders>
                        <w:shd w:val="clear" w:color="auto" w:fill="DBEDF3"/>
                      </w:tcPr>
                      <w:p>
                        <w:pPr>
                          <w:pStyle w:val="TableParagraph"/>
                          <w:spacing w:before="104"/>
                          <w:ind w:left="133" w:right="113"/>
                          <w:jc w:val="center"/>
                          <w:rPr>
                            <w:sz w:val="16"/>
                          </w:rPr>
                        </w:pPr>
                        <w:r>
                          <w:rPr>
                            <w:sz w:val="16"/>
                          </w:rPr>
                          <w:t>(+)</w:t>
                        </w:r>
                      </w:p>
                    </w:tc>
                    <w:tc>
                      <w:tcPr>
                        <w:tcW w:w="402" w:type="dxa"/>
                        <w:tcBorders>
                          <w:left w:val="nil"/>
                          <w:right w:val="nil"/>
                        </w:tcBorders>
                        <w:shd w:val="clear" w:color="auto" w:fill="DBEDF3"/>
                      </w:tcPr>
                      <w:p>
                        <w:pPr>
                          <w:pStyle w:val="TableParagraph"/>
                          <w:spacing w:before="104"/>
                          <w:ind w:left="134"/>
                          <w:rPr>
                            <w:sz w:val="16"/>
                          </w:rPr>
                        </w:pPr>
                        <w:r>
                          <w:rPr>
                            <w:sz w:val="16"/>
                          </w:rPr>
                          <w:t>(-)</w:t>
                        </w:r>
                      </w:p>
                    </w:tc>
                    <w:tc>
                      <w:tcPr>
                        <w:tcW w:w="408" w:type="dxa"/>
                        <w:tcBorders>
                          <w:left w:val="nil"/>
                          <w:right w:val="nil"/>
                        </w:tcBorders>
                        <w:shd w:val="clear" w:color="auto" w:fill="DBEDF3"/>
                      </w:tcPr>
                      <w:p>
                        <w:pPr>
                          <w:pStyle w:val="TableParagraph"/>
                          <w:spacing w:before="104"/>
                          <w:ind w:left="120"/>
                          <w:rPr>
                            <w:sz w:val="16"/>
                          </w:rPr>
                        </w:pPr>
                        <w:r>
                          <w:rPr>
                            <w:sz w:val="16"/>
                          </w:rPr>
                          <w:t>(+)</w:t>
                        </w:r>
                      </w:p>
                    </w:tc>
                    <w:tc>
                      <w:tcPr>
                        <w:tcW w:w="434" w:type="dxa"/>
                        <w:tcBorders>
                          <w:left w:val="nil"/>
                          <w:right w:val="nil"/>
                        </w:tcBorders>
                        <w:shd w:val="clear" w:color="auto" w:fill="DBEDF3"/>
                      </w:tcPr>
                      <w:p>
                        <w:pPr>
                          <w:pStyle w:val="TableParagraph"/>
                          <w:spacing w:before="104"/>
                          <w:ind w:left="111"/>
                          <w:rPr>
                            <w:sz w:val="16"/>
                          </w:rPr>
                        </w:pPr>
                        <w:r>
                          <w:rPr>
                            <w:sz w:val="16"/>
                          </w:rPr>
                          <w:t>(-)</w:t>
                        </w:r>
                      </w:p>
                    </w:tc>
                    <w:tc>
                      <w:tcPr>
                        <w:tcW w:w="463" w:type="dxa"/>
                        <w:tcBorders>
                          <w:left w:val="nil"/>
                          <w:right w:val="nil"/>
                        </w:tcBorders>
                        <w:shd w:val="clear" w:color="auto" w:fill="DBEDF3"/>
                      </w:tcPr>
                      <w:p>
                        <w:pPr>
                          <w:pStyle w:val="TableParagraph"/>
                          <w:spacing w:before="104"/>
                          <w:ind w:left="0" w:right="110"/>
                          <w:jc w:val="right"/>
                          <w:rPr>
                            <w:sz w:val="16"/>
                          </w:rPr>
                        </w:pPr>
                        <w:r>
                          <w:rPr>
                            <w:sz w:val="16"/>
                          </w:rPr>
                          <w:t>(+)</w:t>
                        </w:r>
                      </w:p>
                    </w:tc>
                    <w:tc>
                      <w:tcPr>
                        <w:tcW w:w="533" w:type="dxa"/>
                        <w:tcBorders>
                          <w:left w:val="nil"/>
                          <w:right w:val="nil"/>
                        </w:tcBorders>
                        <w:shd w:val="clear" w:color="auto" w:fill="DBEDF3"/>
                      </w:tcPr>
                      <w:p>
                        <w:pPr>
                          <w:pStyle w:val="TableParagraph"/>
                          <w:spacing w:before="51"/>
                          <w:ind w:left="112"/>
                          <w:rPr>
                            <w:b/>
                            <w:sz w:val="16"/>
                          </w:rPr>
                        </w:pPr>
                        <w:r>
                          <w:rPr>
                            <w:b/>
                            <w:w w:val="100"/>
                            <w:sz w:val="16"/>
                          </w:rPr>
                          <w:t>2</w:t>
                        </w:r>
                      </w:p>
                    </w:tc>
                    <w:tc>
                      <w:tcPr>
                        <w:tcW w:w="614" w:type="dxa"/>
                        <w:tcBorders>
                          <w:left w:val="nil"/>
                          <w:right w:val="nil"/>
                        </w:tcBorders>
                        <w:shd w:val="clear" w:color="auto" w:fill="DBEDF3"/>
                      </w:tcPr>
                      <w:p>
                        <w:pPr>
                          <w:pStyle w:val="TableParagraph"/>
                          <w:spacing w:before="51"/>
                          <w:ind w:left="256"/>
                          <w:rPr>
                            <w:b/>
                            <w:sz w:val="16"/>
                          </w:rPr>
                        </w:pPr>
                        <w:r>
                          <w:rPr>
                            <w:b/>
                            <w:sz w:val="16"/>
                          </w:rPr>
                          <w:t>2.9</w:t>
                        </w:r>
                      </w:p>
                    </w:tc>
                  </w:tr>
                  <w:tr>
                    <w:trPr>
                      <w:trHeight w:val="310" w:hRule="exact"/>
                    </w:trPr>
                    <w:tc>
                      <w:tcPr>
                        <w:tcW w:w="328" w:type="dxa"/>
                        <w:tcBorders>
                          <w:left w:val="nil"/>
                          <w:right w:val="nil"/>
                        </w:tcBorders>
                        <w:shd w:val="clear" w:color="auto" w:fill="DDD9C3"/>
                      </w:tcPr>
                      <w:p>
                        <w:pPr>
                          <w:pStyle w:val="TableParagraph"/>
                          <w:spacing w:before="104"/>
                          <w:ind w:left="51" w:right="90"/>
                          <w:jc w:val="center"/>
                          <w:rPr>
                            <w:sz w:val="16"/>
                          </w:rPr>
                        </w:pPr>
                        <w:r>
                          <w:rPr>
                            <w:sz w:val="16"/>
                          </w:rPr>
                          <w:t>(-)</w:t>
                        </w:r>
                      </w:p>
                    </w:tc>
                    <w:tc>
                      <w:tcPr>
                        <w:tcW w:w="377" w:type="dxa"/>
                        <w:tcBorders>
                          <w:left w:val="nil"/>
                          <w:right w:val="nil"/>
                        </w:tcBorders>
                        <w:shd w:val="clear" w:color="auto" w:fill="DDD9C3"/>
                      </w:tcPr>
                      <w:p>
                        <w:pPr>
                          <w:pStyle w:val="TableParagraph"/>
                          <w:spacing w:before="104"/>
                          <w:ind w:left="111"/>
                          <w:rPr>
                            <w:sz w:val="16"/>
                          </w:rPr>
                        </w:pPr>
                        <w:r>
                          <w:rPr>
                            <w:sz w:val="16"/>
                          </w:rPr>
                          <w:t>(-)</w:t>
                        </w:r>
                      </w:p>
                    </w:tc>
                    <w:tc>
                      <w:tcPr>
                        <w:tcW w:w="420" w:type="dxa"/>
                        <w:tcBorders>
                          <w:left w:val="nil"/>
                          <w:right w:val="nil"/>
                        </w:tcBorders>
                        <w:shd w:val="clear" w:color="auto" w:fill="DDD9C3"/>
                      </w:tcPr>
                      <w:p>
                        <w:pPr>
                          <w:pStyle w:val="TableParagraph"/>
                          <w:spacing w:before="104"/>
                          <w:ind w:left="118"/>
                          <w:rPr>
                            <w:sz w:val="16"/>
                          </w:rPr>
                        </w:pPr>
                        <w:r>
                          <w:rPr>
                            <w:sz w:val="16"/>
                          </w:rPr>
                          <w:t>(-)</w:t>
                        </w:r>
                      </w:p>
                    </w:tc>
                    <w:tc>
                      <w:tcPr>
                        <w:tcW w:w="436" w:type="dxa"/>
                        <w:tcBorders>
                          <w:left w:val="nil"/>
                          <w:right w:val="nil"/>
                        </w:tcBorders>
                        <w:shd w:val="clear" w:color="auto" w:fill="DDD9C3"/>
                      </w:tcPr>
                      <w:p>
                        <w:pPr>
                          <w:pStyle w:val="TableParagraph"/>
                          <w:spacing w:before="104"/>
                          <w:ind w:left="0" w:right="132"/>
                          <w:jc w:val="right"/>
                          <w:rPr>
                            <w:sz w:val="16"/>
                          </w:rPr>
                        </w:pPr>
                        <w:r>
                          <w:rPr>
                            <w:sz w:val="16"/>
                          </w:rPr>
                          <w:t>(-)</w:t>
                        </w:r>
                      </w:p>
                    </w:tc>
                    <w:tc>
                      <w:tcPr>
                        <w:tcW w:w="399" w:type="dxa"/>
                        <w:tcBorders>
                          <w:left w:val="nil"/>
                          <w:right w:val="nil"/>
                        </w:tcBorders>
                        <w:shd w:val="clear" w:color="auto" w:fill="DDD9C3"/>
                      </w:tcPr>
                      <w:p>
                        <w:pPr>
                          <w:pStyle w:val="TableParagraph"/>
                          <w:spacing w:before="104"/>
                          <w:ind w:left="0" w:right="142"/>
                          <w:jc w:val="right"/>
                          <w:rPr>
                            <w:sz w:val="16"/>
                          </w:rPr>
                        </w:pPr>
                        <w:r>
                          <w:rPr>
                            <w:sz w:val="16"/>
                          </w:rPr>
                          <w:t>(-)</w:t>
                        </w:r>
                      </w:p>
                    </w:tc>
                    <w:tc>
                      <w:tcPr>
                        <w:tcW w:w="422" w:type="dxa"/>
                        <w:tcBorders>
                          <w:left w:val="nil"/>
                          <w:right w:val="nil"/>
                        </w:tcBorders>
                        <w:shd w:val="clear" w:color="auto" w:fill="DDD9C3"/>
                      </w:tcPr>
                      <w:p>
                        <w:pPr>
                          <w:pStyle w:val="TableParagraph"/>
                          <w:spacing w:before="104"/>
                          <w:ind w:left="125" w:right="111"/>
                          <w:jc w:val="center"/>
                          <w:rPr>
                            <w:sz w:val="16"/>
                          </w:rPr>
                        </w:pPr>
                        <w:r>
                          <w:rPr>
                            <w:sz w:val="16"/>
                          </w:rPr>
                          <w:t>(-)</w:t>
                        </w:r>
                      </w:p>
                    </w:tc>
                    <w:tc>
                      <w:tcPr>
                        <w:tcW w:w="426" w:type="dxa"/>
                        <w:tcBorders>
                          <w:left w:val="nil"/>
                          <w:right w:val="nil"/>
                        </w:tcBorders>
                        <w:shd w:val="clear" w:color="auto" w:fill="DDD9C3"/>
                      </w:tcPr>
                      <w:p>
                        <w:pPr>
                          <w:pStyle w:val="TableParagraph"/>
                          <w:spacing w:before="104"/>
                          <w:ind w:left="130"/>
                          <w:rPr>
                            <w:sz w:val="16"/>
                          </w:rPr>
                        </w:pPr>
                        <w:r>
                          <w:rPr>
                            <w:sz w:val="16"/>
                          </w:rPr>
                          <w:t>(-)</w:t>
                        </w:r>
                      </w:p>
                    </w:tc>
                    <w:tc>
                      <w:tcPr>
                        <w:tcW w:w="436" w:type="dxa"/>
                        <w:tcBorders>
                          <w:left w:val="nil"/>
                          <w:right w:val="nil"/>
                        </w:tcBorders>
                        <w:shd w:val="clear" w:color="auto" w:fill="DDD9C3"/>
                      </w:tcPr>
                      <w:p>
                        <w:pPr>
                          <w:pStyle w:val="TableParagraph"/>
                          <w:spacing w:before="104"/>
                          <w:ind w:left="120"/>
                          <w:rPr>
                            <w:sz w:val="16"/>
                          </w:rPr>
                        </w:pPr>
                        <w:r>
                          <w:rPr>
                            <w:sz w:val="16"/>
                          </w:rPr>
                          <w:t>(-)</w:t>
                        </w:r>
                      </w:p>
                    </w:tc>
                    <w:tc>
                      <w:tcPr>
                        <w:tcW w:w="432" w:type="dxa"/>
                        <w:tcBorders>
                          <w:left w:val="nil"/>
                          <w:right w:val="nil"/>
                        </w:tcBorders>
                        <w:shd w:val="clear" w:color="auto" w:fill="DDD9C3"/>
                      </w:tcPr>
                      <w:p>
                        <w:pPr>
                          <w:pStyle w:val="TableParagraph"/>
                          <w:spacing w:before="104"/>
                          <w:ind w:left="82" w:right="30"/>
                          <w:jc w:val="center"/>
                          <w:rPr>
                            <w:sz w:val="16"/>
                          </w:rPr>
                        </w:pPr>
                        <w:r>
                          <w:rPr>
                            <w:sz w:val="16"/>
                          </w:rPr>
                          <w:t>(-)</w:t>
                        </w:r>
                      </w:p>
                    </w:tc>
                    <w:tc>
                      <w:tcPr>
                        <w:tcW w:w="410" w:type="dxa"/>
                        <w:tcBorders>
                          <w:left w:val="nil"/>
                          <w:right w:val="nil"/>
                        </w:tcBorders>
                        <w:shd w:val="clear" w:color="auto" w:fill="DDD9C3"/>
                      </w:tcPr>
                      <w:p>
                        <w:pPr>
                          <w:pStyle w:val="TableParagraph"/>
                          <w:spacing w:before="104"/>
                          <w:ind w:left="96" w:right="96"/>
                          <w:jc w:val="center"/>
                          <w:rPr>
                            <w:sz w:val="16"/>
                          </w:rPr>
                        </w:pPr>
                        <w:r>
                          <w:rPr>
                            <w:sz w:val="16"/>
                          </w:rPr>
                          <w:t>(+)</w:t>
                        </w:r>
                      </w:p>
                    </w:tc>
                    <w:tc>
                      <w:tcPr>
                        <w:tcW w:w="387" w:type="dxa"/>
                        <w:tcBorders>
                          <w:left w:val="nil"/>
                          <w:right w:val="nil"/>
                        </w:tcBorders>
                        <w:shd w:val="clear" w:color="auto" w:fill="DDD9C3"/>
                      </w:tcPr>
                      <w:p>
                        <w:pPr>
                          <w:pStyle w:val="TableParagraph"/>
                          <w:spacing w:before="104"/>
                          <w:ind w:left="100" w:right="100"/>
                          <w:jc w:val="center"/>
                          <w:rPr>
                            <w:sz w:val="16"/>
                          </w:rPr>
                        </w:pPr>
                        <w:r>
                          <w:rPr>
                            <w:sz w:val="16"/>
                          </w:rPr>
                          <w:t>(-)</w:t>
                        </w:r>
                      </w:p>
                    </w:tc>
                    <w:tc>
                      <w:tcPr>
                        <w:tcW w:w="348" w:type="dxa"/>
                        <w:tcBorders>
                          <w:left w:val="nil"/>
                          <w:right w:val="nil"/>
                        </w:tcBorders>
                        <w:shd w:val="clear" w:color="auto" w:fill="DDD9C3"/>
                      </w:tcPr>
                      <w:p>
                        <w:pPr>
                          <w:pStyle w:val="TableParagraph"/>
                          <w:spacing w:before="104"/>
                          <w:ind w:left="101" w:right="61"/>
                          <w:jc w:val="center"/>
                          <w:rPr>
                            <w:sz w:val="16"/>
                          </w:rPr>
                        </w:pPr>
                        <w:r>
                          <w:rPr>
                            <w:sz w:val="16"/>
                          </w:rPr>
                          <w:t>(-)</w:t>
                        </w:r>
                      </w:p>
                    </w:tc>
                    <w:tc>
                      <w:tcPr>
                        <w:tcW w:w="375" w:type="dxa"/>
                        <w:tcBorders>
                          <w:left w:val="nil"/>
                          <w:right w:val="nil"/>
                        </w:tcBorders>
                        <w:shd w:val="clear" w:color="auto" w:fill="DDD9C3"/>
                      </w:tcPr>
                      <w:p>
                        <w:pPr>
                          <w:pStyle w:val="TableParagraph"/>
                          <w:spacing w:before="104"/>
                          <w:ind w:left="80"/>
                          <w:rPr>
                            <w:sz w:val="16"/>
                          </w:rPr>
                        </w:pPr>
                        <w:r>
                          <w:rPr>
                            <w:sz w:val="16"/>
                          </w:rPr>
                          <w:t>(+)</w:t>
                        </w:r>
                      </w:p>
                    </w:tc>
                    <w:tc>
                      <w:tcPr>
                        <w:tcW w:w="389" w:type="dxa"/>
                        <w:tcBorders>
                          <w:left w:val="nil"/>
                          <w:right w:val="nil"/>
                        </w:tcBorders>
                        <w:shd w:val="clear" w:color="auto" w:fill="DDD9C3"/>
                      </w:tcPr>
                      <w:p>
                        <w:pPr>
                          <w:pStyle w:val="TableParagraph"/>
                          <w:spacing w:before="104"/>
                          <w:ind w:left="119"/>
                          <w:rPr>
                            <w:sz w:val="16"/>
                          </w:rPr>
                        </w:pPr>
                        <w:r>
                          <w:rPr>
                            <w:sz w:val="16"/>
                          </w:rPr>
                          <w:t>(+)</w:t>
                        </w:r>
                      </w:p>
                    </w:tc>
                    <w:tc>
                      <w:tcPr>
                        <w:tcW w:w="357" w:type="dxa"/>
                        <w:tcBorders>
                          <w:left w:val="nil"/>
                          <w:right w:val="nil"/>
                        </w:tcBorders>
                        <w:shd w:val="clear" w:color="auto" w:fill="DDD9C3"/>
                      </w:tcPr>
                      <w:p>
                        <w:pPr>
                          <w:pStyle w:val="TableParagraph"/>
                          <w:spacing w:before="104"/>
                          <w:ind w:left="75" w:right="95"/>
                          <w:jc w:val="center"/>
                          <w:rPr>
                            <w:sz w:val="16"/>
                          </w:rPr>
                        </w:pPr>
                        <w:r>
                          <w:rPr>
                            <w:sz w:val="16"/>
                          </w:rPr>
                          <w:t>(-)</w:t>
                        </w:r>
                      </w:p>
                    </w:tc>
                    <w:tc>
                      <w:tcPr>
                        <w:tcW w:w="446" w:type="dxa"/>
                        <w:tcBorders>
                          <w:left w:val="nil"/>
                          <w:right w:val="nil"/>
                        </w:tcBorders>
                        <w:shd w:val="clear" w:color="auto" w:fill="DDD9C3"/>
                      </w:tcPr>
                      <w:p>
                        <w:pPr>
                          <w:pStyle w:val="TableParagraph"/>
                          <w:spacing w:before="104"/>
                          <w:ind w:left="17" w:right="81"/>
                          <w:jc w:val="center"/>
                          <w:rPr>
                            <w:sz w:val="16"/>
                          </w:rPr>
                        </w:pPr>
                        <w:r>
                          <w:rPr>
                            <w:sz w:val="16"/>
                          </w:rPr>
                          <w:t>(-)</w:t>
                        </w:r>
                      </w:p>
                    </w:tc>
                    <w:tc>
                      <w:tcPr>
                        <w:tcW w:w="464" w:type="dxa"/>
                        <w:tcBorders>
                          <w:left w:val="nil"/>
                          <w:right w:val="nil"/>
                        </w:tcBorders>
                        <w:shd w:val="clear" w:color="auto" w:fill="DDD9C3"/>
                      </w:tcPr>
                      <w:p>
                        <w:pPr>
                          <w:pStyle w:val="TableParagraph"/>
                          <w:spacing w:before="104"/>
                          <w:ind w:left="133" w:right="113"/>
                          <w:jc w:val="center"/>
                          <w:rPr>
                            <w:sz w:val="16"/>
                          </w:rPr>
                        </w:pPr>
                        <w:r>
                          <w:rPr>
                            <w:sz w:val="16"/>
                          </w:rPr>
                          <w:t>(+)</w:t>
                        </w:r>
                      </w:p>
                    </w:tc>
                    <w:tc>
                      <w:tcPr>
                        <w:tcW w:w="402" w:type="dxa"/>
                        <w:tcBorders>
                          <w:left w:val="nil"/>
                          <w:right w:val="nil"/>
                        </w:tcBorders>
                        <w:shd w:val="clear" w:color="auto" w:fill="DDD9C3"/>
                      </w:tcPr>
                      <w:p>
                        <w:pPr>
                          <w:pStyle w:val="TableParagraph"/>
                          <w:spacing w:before="104"/>
                          <w:ind w:left="134"/>
                          <w:rPr>
                            <w:sz w:val="16"/>
                          </w:rPr>
                        </w:pPr>
                        <w:r>
                          <w:rPr>
                            <w:sz w:val="16"/>
                          </w:rPr>
                          <w:t>(-)</w:t>
                        </w:r>
                      </w:p>
                    </w:tc>
                    <w:tc>
                      <w:tcPr>
                        <w:tcW w:w="408" w:type="dxa"/>
                        <w:tcBorders>
                          <w:left w:val="nil"/>
                          <w:right w:val="nil"/>
                        </w:tcBorders>
                        <w:shd w:val="clear" w:color="auto" w:fill="DDD9C3"/>
                      </w:tcPr>
                      <w:p>
                        <w:pPr>
                          <w:pStyle w:val="TableParagraph"/>
                          <w:spacing w:before="104"/>
                          <w:ind w:left="120"/>
                          <w:rPr>
                            <w:sz w:val="16"/>
                          </w:rPr>
                        </w:pPr>
                        <w:r>
                          <w:rPr>
                            <w:sz w:val="16"/>
                          </w:rPr>
                          <w:t>(-)</w:t>
                        </w:r>
                      </w:p>
                    </w:tc>
                    <w:tc>
                      <w:tcPr>
                        <w:tcW w:w="434" w:type="dxa"/>
                        <w:tcBorders>
                          <w:left w:val="nil"/>
                          <w:right w:val="nil"/>
                        </w:tcBorders>
                        <w:shd w:val="clear" w:color="auto" w:fill="DDD9C3"/>
                      </w:tcPr>
                      <w:p>
                        <w:pPr>
                          <w:pStyle w:val="TableParagraph"/>
                          <w:spacing w:before="104"/>
                          <w:ind w:left="111"/>
                          <w:rPr>
                            <w:sz w:val="16"/>
                          </w:rPr>
                        </w:pPr>
                        <w:r>
                          <w:rPr>
                            <w:sz w:val="16"/>
                          </w:rPr>
                          <w:t>(-)</w:t>
                        </w:r>
                      </w:p>
                    </w:tc>
                    <w:tc>
                      <w:tcPr>
                        <w:tcW w:w="463" w:type="dxa"/>
                        <w:tcBorders>
                          <w:left w:val="nil"/>
                          <w:right w:val="nil"/>
                        </w:tcBorders>
                        <w:shd w:val="clear" w:color="auto" w:fill="DDD9C3"/>
                      </w:tcPr>
                      <w:p>
                        <w:pPr>
                          <w:pStyle w:val="TableParagraph"/>
                          <w:spacing w:before="104"/>
                          <w:ind w:left="0" w:right="110"/>
                          <w:jc w:val="right"/>
                          <w:rPr>
                            <w:sz w:val="16"/>
                          </w:rPr>
                        </w:pPr>
                        <w:r>
                          <w:rPr>
                            <w:sz w:val="16"/>
                          </w:rPr>
                          <w:t>(+)</w:t>
                        </w:r>
                      </w:p>
                    </w:tc>
                    <w:tc>
                      <w:tcPr>
                        <w:tcW w:w="533" w:type="dxa"/>
                        <w:tcBorders>
                          <w:left w:val="nil"/>
                          <w:right w:val="nil"/>
                        </w:tcBorders>
                        <w:shd w:val="clear" w:color="auto" w:fill="DDD9C3"/>
                      </w:tcPr>
                      <w:p>
                        <w:pPr>
                          <w:pStyle w:val="TableParagraph"/>
                          <w:spacing w:before="51"/>
                          <w:ind w:left="112"/>
                          <w:rPr>
                            <w:b/>
                            <w:sz w:val="16"/>
                          </w:rPr>
                        </w:pPr>
                        <w:r>
                          <w:rPr>
                            <w:b/>
                            <w:w w:val="100"/>
                            <w:sz w:val="16"/>
                          </w:rPr>
                          <w:t>2</w:t>
                        </w:r>
                      </w:p>
                    </w:tc>
                    <w:tc>
                      <w:tcPr>
                        <w:tcW w:w="614" w:type="dxa"/>
                        <w:tcBorders>
                          <w:left w:val="nil"/>
                          <w:right w:val="nil"/>
                        </w:tcBorders>
                        <w:shd w:val="clear" w:color="auto" w:fill="DDD9C3"/>
                      </w:tcPr>
                      <w:p>
                        <w:pPr>
                          <w:pStyle w:val="TableParagraph"/>
                          <w:spacing w:before="51"/>
                          <w:ind w:left="256"/>
                          <w:rPr>
                            <w:b/>
                            <w:sz w:val="16"/>
                          </w:rPr>
                        </w:pPr>
                        <w:r>
                          <w:rPr>
                            <w:b/>
                            <w:sz w:val="16"/>
                          </w:rPr>
                          <w:t>2.9</w:t>
                        </w:r>
                      </w:p>
                    </w:tc>
                  </w:tr>
                </w:tbl>
                <w:p>
                  <w:pPr>
                    <w:pStyle w:val="BodyText"/>
                  </w:pPr>
                </w:p>
              </w:txbxContent>
            </v:textbox>
            <w10:wrap type="none"/>
          </v:shape>
        </w:pict>
      </w:r>
      <w:r>
        <w:rPr>
          <w:rFonts w:ascii="Calibri"/>
          <w:b/>
          <w:sz w:val="16"/>
        </w:rPr>
        <w:t>No de aislados   </w:t>
      </w:r>
      <w:r>
        <w:rPr>
          <w:rFonts w:ascii="Calibri"/>
          <w:b/>
          <w:position w:val="10"/>
          <w:sz w:val="16"/>
        </w:rPr>
        <w:t>%</w:t>
      </w:r>
    </w:p>
    <w:p>
      <w:pPr>
        <w:spacing w:after="0" w:line="115" w:lineRule="auto"/>
        <w:jc w:val="left"/>
        <w:rPr>
          <w:rFonts w:ascii="Calibri"/>
          <w:sz w:val="16"/>
        </w:rPr>
        <w:sectPr>
          <w:type w:val="continuous"/>
          <w:pgSz w:w="12240" w:h="15840"/>
          <w:pgMar w:top="1500" w:bottom="280" w:left="1320" w:right="980"/>
          <w:cols w:num="6" w:equalWidth="0">
            <w:col w:w="2087" w:space="40"/>
            <w:col w:w="367" w:space="40"/>
            <w:col w:w="374" w:space="40"/>
            <w:col w:w="407" w:space="40"/>
            <w:col w:w="5259" w:space="40"/>
            <w:col w:w="1246"/>
          </w:cols>
        </w:sectPr>
      </w:pPr>
    </w:p>
    <w:p>
      <w:pPr>
        <w:pStyle w:val="BodyText"/>
        <w:rPr>
          <w:rFonts w:ascii="Calibri"/>
          <w:b/>
          <w:sz w:val="20"/>
        </w:rPr>
      </w:pPr>
      <w:r>
        <w:rPr/>
        <w:pict>
          <v:shape style="position:absolute;margin-left:71.663979pt;margin-top:593.259949pt;width:486.1pt;height:31.2pt;mso-position-horizontal-relative:page;mso-position-vertical-relative:page;z-index:1384"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
                    <w:gridCol w:w="377"/>
                    <w:gridCol w:w="420"/>
                    <w:gridCol w:w="463"/>
                    <w:gridCol w:w="372"/>
                    <w:gridCol w:w="422"/>
                    <w:gridCol w:w="453"/>
                    <w:gridCol w:w="409"/>
                    <w:gridCol w:w="473"/>
                    <w:gridCol w:w="437"/>
                    <w:gridCol w:w="319"/>
                    <w:gridCol w:w="348"/>
                    <w:gridCol w:w="402"/>
                    <w:gridCol w:w="389"/>
                    <w:gridCol w:w="330"/>
                    <w:gridCol w:w="473"/>
                    <w:gridCol w:w="464"/>
                    <w:gridCol w:w="376"/>
                    <w:gridCol w:w="434"/>
                    <w:gridCol w:w="407"/>
                    <w:gridCol w:w="539"/>
                    <w:gridCol w:w="490"/>
                    <w:gridCol w:w="614"/>
                  </w:tblGrid>
                  <w:tr>
                    <w:trPr>
                      <w:trHeight w:val="310" w:hRule="exact"/>
                    </w:trPr>
                    <w:tc>
                      <w:tcPr>
                        <w:tcW w:w="295" w:type="dxa"/>
                        <w:tcBorders>
                          <w:left w:val="nil"/>
                          <w:right w:val="nil"/>
                        </w:tcBorders>
                        <w:shd w:val="clear" w:color="auto" w:fill="D99694"/>
                      </w:tcPr>
                      <w:p>
                        <w:pPr>
                          <w:pStyle w:val="TableParagraph"/>
                          <w:spacing w:before="104"/>
                          <w:ind w:left="69"/>
                          <w:rPr>
                            <w:sz w:val="16"/>
                          </w:rPr>
                        </w:pPr>
                        <w:r>
                          <w:rPr>
                            <w:w w:val="100"/>
                            <w:sz w:val="16"/>
                          </w:rPr>
                          <w:t>1</w:t>
                        </w:r>
                      </w:p>
                    </w:tc>
                    <w:tc>
                      <w:tcPr>
                        <w:tcW w:w="377" w:type="dxa"/>
                        <w:tcBorders>
                          <w:left w:val="nil"/>
                          <w:right w:val="nil"/>
                        </w:tcBorders>
                        <w:shd w:val="clear" w:color="auto" w:fill="D99694"/>
                      </w:tcPr>
                      <w:p>
                        <w:pPr>
                          <w:pStyle w:val="TableParagraph"/>
                          <w:spacing w:before="104"/>
                          <w:ind w:left="0" w:right="5"/>
                          <w:jc w:val="center"/>
                          <w:rPr>
                            <w:sz w:val="16"/>
                          </w:rPr>
                        </w:pPr>
                        <w:r>
                          <w:rPr>
                            <w:w w:val="100"/>
                            <w:sz w:val="16"/>
                          </w:rPr>
                          <w:t>3</w:t>
                        </w:r>
                      </w:p>
                    </w:tc>
                    <w:tc>
                      <w:tcPr>
                        <w:tcW w:w="420" w:type="dxa"/>
                        <w:tcBorders>
                          <w:left w:val="nil"/>
                          <w:right w:val="nil"/>
                        </w:tcBorders>
                        <w:shd w:val="clear" w:color="auto" w:fill="D99694"/>
                      </w:tcPr>
                      <w:p>
                        <w:pPr>
                          <w:pStyle w:val="TableParagraph"/>
                          <w:spacing w:before="104"/>
                          <w:ind w:left="0" w:right="34"/>
                          <w:jc w:val="center"/>
                          <w:rPr>
                            <w:sz w:val="16"/>
                          </w:rPr>
                        </w:pPr>
                        <w:r>
                          <w:rPr>
                            <w:w w:val="100"/>
                            <w:sz w:val="16"/>
                          </w:rPr>
                          <w:t>0</w:t>
                        </w:r>
                      </w:p>
                    </w:tc>
                    <w:tc>
                      <w:tcPr>
                        <w:tcW w:w="463" w:type="dxa"/>
                        <w:tcBorders>
                          <w:left w:val="nil"/>
                          <w:right w:val="nil"/>
                        </w:tcBorders>
                        <w:shd w:val="clear" w:color="auto" w:fill="D99694"/>
                      </w:tcPr>
                      <w:p>
                        <w:pPr>
                          <w:pStyle w:val="TableParagraph"/>
                          <w:spacing w:before="104"/>
                          <w:ind w:left="187"/>
                          <w:rPr>
                            <w:sz w:val="16"/>
                          </w:rPr>
                        </w:pPr>
                        <w:r>
                          <w:rPr>
                            <w:sz w:val="16"/>
                          </w:rPr>
                          <w:t>52</w:t>
                        </w:r>
                      </w:p>
                    </w:tc>
                    <w:tc>
                      <w:tcPr>
                        <w:tcW w:w="372" w:type="dxa"/>
                        <w:tcBorders>
                          <w:left w:val="nil"/>
                          <w:right w:val="nil"/>
                        </w:tcBorders>
                        <w:shd w:val="clear" w:color="auto" w:fill="D99694"/>
                      </w:tcPr>
                      <w:p>
                        <w:pPr>
                          <w:pStyle w:val="TableParagraph"/>
                          <w:spacing w:before="104"/>
                          <w:ind w:left="112"/>
                          <w:rPr>
                            <w:sz w:val="16"/>
                          </w:rPr>
                        </w:pPr>
                        <w:r>
                          <w:rPr>
                            <w:w w:val="100"/>
                            <w:sz w:val="16"/>
                          </w:rPr>
                          <w:t>1</w:t>
                        </w:r>
                      </w:p>
                    </w:tc>
                    <w:tc>
                      <w:tcPr>
                        <w:tcW w:w="422" w:type="dxa"/>
                        <w:tcBorders>
                          <w:left w:val="nil"/>
                          <w:right w:val="nil"/>
                        </w:tcBorders>
                        <w:shd w:val="clear" w:color="auto" w:fill="D99694"/>
                      </w:tcPr>
                      <w:p>
                        <w:pPr>
                          <w:pStyle w:val="TableParagraph"/>
                          <w:spacing w:before="104"/>
                          <w:ind w:left="14"/>
                          <w:jc w:val="center"/>
                          <w:rPr>
                            <w:sz w:val="16"/>
                          </w:rPr>
                        </w:pPr>
                        <w:r>
                          <w:rPr>
                            <w:w w:val="100"/>
                            <w:sz w:val="16"/>
                          </w:rPr>
                          <w:t>1</w:t>
                        </w:r>
                      </w:p>
                    </w:tc>
                    <w:tc>
                      <w:tcPr>
                        <w:tcW w:w="453" w:type="dxa"/>
                        <w:tcBorders>
                          <w:left w:val="nil"/>
                          <w:right w:val="nil"/>
                        </w:tcBorders>
                        <w:shd w:val="clear" w:color="auto" w:fill="D99694"/>
                      </w:tcPr>
                      <w:p>
                        <w:pPr>
                          <w:pStyle w:val="TableParagraph"/>
                          <w:spacing w:before="104"/>
                          <w:ind w:left="163"/>
                          <w:rPr>
                            <w:sz w:val="16"/>
                          </w:rPr>
                        </w:pPr>
                        <w:r>
                          <w:rPr>
                            <w:sz w:val="16"/>
                          </w:rPr>
                          <w:t>84</w:t>
                        </w:r>
                      </w:p>
                    </w:tc>
                    <w:tc>
                      <w:tcPr>
                        <w:tcW w:w="409" w:type="dxa"/>
                        <w:tcBorders>
                          <w:left w:val="nil"/>
                          <w:right w:val="nil"/>
                        </w:tcBorders>
                        <w:shd w:val="clear" w:color="auto" w:fill="D99694"/>
                      </w:tcPr>
                      <w:p>
                        <w:pPr>
                          <w:pStyle w:val="TableParagraph"/>
                          <w:spacing w:before="104"/>
                          <w:ind w:left="126"/>
                          <w:rPr>
                            <w:sz w:val="16"/>
                          </w:rPr>
                        </w:pPr>
                        <w:r>
                          <w:rPr>
                            <w:w w:val="100"/>
                            <w:sz w:val="16"/>
                          </w:rPr>
                          <w:t>0</w:t>
                        </w:r>
                      </w:p>
                    </w:tc>
                    <w:tc>
                      <w:tcPr>
                        <w:tcW w:w="473" w:type="dxa"/>
                        <w:tcBorders>
                          <w:left w:val="nil"/>
                          <w:right w:val="nil"/>
                        </w:tcBorders>
                        <w:shd w:val="clear" w:color="auto" w:fill="D99694"/>
                      </w:tcPr>
                      <w:p>
                        <w:pPr>
                          <w:pStyle w:val="TableParagraph"/>
                          <w:spacing w:before="104"/>
                          <w:ind w:left="201"/>
                          <w:rPr>
                            <w:sz w:val="16"/>
                          </w:rPr>
                        </w:pPr>
                        <w:r>
                          <w:rPr>
                            <w:sz w:val="16"/>
                          </w:rPr>
                          <w:t>10</w:t>
                        </w:r>
                      </w:p>
                    </w:tc>
                    <w:tc>
                      <w:tcPr>
                        <w:tcW w:w="437" w:type="dxa"/>
                        <w:tcBorders>
                          <w:left w:val="nil"/>
                          <w:right w:val="nil"/>
                        </w:tcBorders>
                        <w:shd w:val="clear" w:color="auto" w:fill="D99694"/>
                      </w:tcPr>
                      <w:p>
                        <w:pPr>
                          <w:pStyle w:val="TableParagraph"/>
                          <w:spacing w:before="104"/>
                          <w:ind w:left="107"/>
                          <w:rPr>
                            <w:sz w:val="16"/>
                          </w:rPr>
                        </w:pPr>
                        <w:r>
                          <w:rPr>
                            <w:sz w:val="16"/>
                          </w:rPr>
                          <w:t>100</w:t>
                        </w:r>
                      </w:p>
                    </w:tc>
                    <w:tc>
                      <w:tcPr>
                        <w:tcW w:w="319" w:type="dxa"/>
                        <w:tcBorders>
                          <w:left w:val="nil"/>
                          <w:right w:val="nil"/>
                        </w:tcBorders>
                        <w:shd w:val="clear" w:color="auto" w:fill="D99694"/>
                      </w:tcPr>
                      <w:p>
                        <w:pPr>
                          <w:pStyle w:val="TableParagraph"/>
                          <w:spacing w:before="104"/>
                          <w:ind w:left="83"/>
                          <w:rPr>
                            <w:sz w:val="16"/>
                          </w:rPr>
                        </w:pPr>
                        <w:r>
                          <w:rPr>
                            <w:w w:val="100"/>
                            <w:sz w:val="16"/>
                          </w:rPr>
                          <w:t>7</w:t>
                        </w:r>
                      </w:p>
                    </w:tc>
                    <w:tc>
                      <w:tcPr>
                        <w:tcW w:w="348" w:type="dxa"/>
                        <w:tcBorders>
                          <w:left w:val="nil"/>
                          <w:right w:val="nil"/>
                        </w:tcBorders>
                        <w:shd w:val="clear" w:color="auto" w:fill="D99694"/>
                      </w:tcPr>
                      <w:p>
                        <w:pPr>
                          <w:pStyle w:val="TableParagraph"/>
                          <w:spacing w:before="104"/>
                          <w:ind w:left="153"/>
                          <w:rPr>
                            <w:sz w:val="16"/>
                          </w:rPr>
                        </w:pPr>
                        <w:r>
                          <w:rPr>
                            <w:w w:val="100"/>
                            <w:sz w:val="16"/>
                          </w:rPr>
                          <w:t>0</w:t>
                        </w:r>
                      </w:p>
                    </w:tc>
                    <w:tc>
                      <w:tcPr>
                        <w:tcW w:w="402" w:type="dxa"/>
                        <w:tcBorders>
                          <w:left w:val="nil"/>
                          <w:right w:val="nil"/>
                        </w:tcBorders>
                        <w:shd w:val="clear" w:color="auto" w:fill="D99694"/>
                      </w:tcPr>
                      <w:p>
                        <w:pPr>
                          <w:pStyle w:val="TableParagraph"/>
                          <w:spacing w:before="104"/>
                          <w:ind w:left="112"/>
                          <w:rPr>
                            <w:sz w:val="16"/>
                          </w:rPr>
                        </w:pPr>
                        <w:r>
                          <w:rPr>
                            <w:sz w:val="16"/>
                          </w:rPr>
                          <w:t>99</w:t>
                        </w:r>
                      </w:p>
                    </w:tc>
                    <w:tc>
                      <w:tcPr>
                        <w:tcW w:w="389" w:type="dxa"/>
                        <w:tcBorders>
                          <w:left w:val="nil"/>
                          <w:right w:val="nil"/>
                        </w:tcBorders>
                        <w:shd w:val="clear" w:color="auto" w:fill="D99694"/>
                      </w:tcPr>
                      <w:p>
                        <w:pPr>
                          <w:pStyle w:val="TableParagraph"/>
                          <w:spacing w:before="104"/>
                          <w:ind w:left="125"/>
                          <w:rPr>
                            <w:sz w:val="16"/>
                          </w:rPr>
                        </w:pPr>
                        <w:r>
                          <w:rPr>
                            <w:sz w:val="16"/>
                          </w:rPr>
                          <w:t>97</w:t>
                        </w:r>
                      </w:p>
                    </w:tc>
                    <w:tc>
                      <w:tcPr>
                        <w:tcW w:w="330" w:type="dxa"/>
                        <w:tcBorders>
                          <w:left w:val="nil"/>
                          <w:right w:val="nil"/>
                        </w:tcBorders>
                        <w:shd w:val="clear" w:color="auto" w:fill="D99694"/>
                      </w:tcPr>
                      <w:p>
                        <w:pPr>
                          <w:pStyle w:val="TableParagraph"/>
                          <w:spacing w:before="104"/>
                          <w:ind w:left="99"/>
                          <w:rPr>
                            <w:sz w:val="16"/>
                          </w:rPr>
                        </w:pPr>
                        <w:r>
                          <w:rPr>
                            <w:w w:val="100"/>
                            <w:sz w:val="16"/>
                          </w:rPr>
                          <w:t>6</w:t>
                        </w:r>
                      </w:p>
                    </w:tc>
                    <w:tc>
                      <w:tcPr>
                        <w:tcW w:w="473" w:type="dxa"/>
                        <w:tcBorders>
                          <w:left w:val="nil"/>
                          <w:right w:val="nil"/>
                        </w:tcBorders>
                        <w:shd w:val="clear" w:color="auto" w:fill="D99694"/>
                      </w:tcPr>
                      <w:p>
                        <w:pPr>
                          <w:pStyle w:val="TableParagraph"/>
                          <w:spacing w:before="104"/>
                          <w:ind w:left="148"/>
                          <w:rPr>
                            <w:sz w:val="16"/>
                          </w:rPr>
                        </w:pPr>
                        <w:r>
                          <w:rPr>
                            <w:sz w:val="16"/>
                          </w:rPr>
                          <w:t>23</w:t>
                        </w:r>
                      </w:p>
                    </w:tc>
                    <w:tc>
                      <w:tcPr>
                        <w:tcW w:w="464" w:type="dxa"/>
                        <w:tcBorders>
                          <w:left w:val="nil"/>
                          <w:right w:val="nil"/>
                        </w:tcBorders>
                        <w:shd w:val="clear" w:color="auto" w:fill="D99694"/>
                      </w:tcPr>
                      <w:p>
                        <w:pPr>
                          <w:pStyle w:val="TableParagraph"/>
                          <w:spacing w:before="104"/>
                          <w:ind w:left="160"/>
                          <w:rPr>
                            <w:sz w:val="16"/>
                          </w:rPr>
                        </w:pPr>
                        <w:r>
                          <w:rPr>
                            <w:sz w:val="16"/>
                          </w:rPr>
                          <w:t>55</w:t>
                        </w:r>
                      </w:p>
                    </w:tc>
                    <w:tc>
                      <w:tcPr>
                        <w:tcW w:w="376" w:type="dxa"/>
                        <w:tcBorders>
                          <w:left w:val="nil"/>
                          <w:right w:val="nil"/>
                        </w:tcBorders>
                        <w:shd w:val="clear" w:color="auto" w:fill="D99694"/>
                      </w:tcPr>
                      <w:p>
                        <w:pPr>
                          <w:pStyle w:val="TableParagraph"/>
                          <w:spacing w:before="104"/>
                          <w:ind w:left="0" w:right="11"/>
                          <w:jc w:val="center"/>
                          <w:rPr>
                            <w:sz w:val="16"/>
                          </w:rPr>
                        </w:pPr>
                        <w:r>
                          <w:rPr>
                            <w:w w:val="100"/>
                            <w:sz w:val="16"/>
                          </w:rPr>
                          <w:t>1</w:t>
                        </w:r>
                      </w:p>
                    </w:tc>
                    <w:tc>
                      <w:tcPr>
                        <w:tcW w:w="434" w:type="dxa"/>
                        <w:tcBorders>
                          <w:left w:val="nil"/>
                          <w:right w:val="nil"/>
                        </w:tcBorders>
                        <w:shd w:val="clear" w:color="auto" w:fill="D99694"/>
                      </w:tcPr>
                      <w:p>
                        <w:pPr>
                          <w:pStyle w:val="TableParagraph"/>
                          <w:spacing w:before="104"/>
                          <w:ind w:left="153"/>
                          <w:rPr>
                            <w:sz w:val="16"/>
                          </w:rPr>
                        </w:pPr>
                        <w:r>
                          <w:rPr>
                            <w:sz w:val="16"/>
                          </w:rPr>
                          <w:t>16</w:t>
                        </w:r>
                      </w:p>
                    </w:tc>
                    <w:tc>
                      <w:tcPr>
                        <w:tcW w:w="407" w:type="dxa"/>
                        <w:tcBorders>
                          <w:left w:val="nil"/>
                          <w:right w:val="nil"/>
                        </w:tcBorders>
                        <w:shd w:val="clear" w:color="auto" w:fill="D99694"/>
                      </w:tcPr>
                      <w:p>
                        <w:pPr>
                          <w:pStyle w:val="TableParagraph"/>
                          <w:spacing w:before="104"/>
                          <w:ind w:left="117"/>
                          <w:rPr>
                            <w:sz w:val="16"/>
                          </w:rPr>
                        </w:pPr>
                        <w:r>
                          <w:rPr>
                            <w:w w:val="100"/>
                            <w:sz w:val="16"/>
                          </w:rPr>
                          <w:t>1</w:t>
                        </w:r>
                      </w:p>
                    </w:tc>
                    <w:tc>
                      <w:tcPr>
                        <w:tcW w:w="539" w:type="dxa"/>
                        <w:tcBorders>
                          <w:left w:val="nil"/>
                          <w:right w:val="nil"/>
                        </w:tcBorders>
                        <w:shd w:val="clear" w:color="auto" w:fill="D99694"/>
                      </w:tcPr>
                      <w:p>
                        <w:pPr>
                          <w:pStyle w:val="TableParagraph"/>
                          <w:spacing w:before="104"/>
                          <w:ind w:left="207"/>
                          <w:rPr>
                            <w:sz w:val="16"/>
                          </w:rPr>
                        </w:pPr>
                        <w:r>
                          <w:rPr>
                            <w:sz w:val="16"/>
                          </w:rPr>
                          <w:t>100</w:t>
                        </w:r>
                      </w:p>
                    </w:tc>
                    <w:tc>
                      <w:tcPr>
                        <w:tcW w:w="490" w:type="dxa"/>
                        <w:tcBorders>
                          <w:top w:val="nil"/>
                          <w:left w:val="nil"/>
                          <w:bottom w:val="nil"/>
                          <w:right w:val="nil"/>
                        </w:tcBorders>
                        <w:shd w:val="clear" w:color="auto" w:fill="17375D"/>
                      </w:tcPr>
                      <w:p>
                        <w:pPr>
                          <w:pStyle w:val="TableParagraph"/>
                          <w:spacing w:before="109"/>
                          <w:ind w:left="69"/>
                          <w:rPr>
                            <w:b/>
                            <w:sz w:val="16"/>
                          </w:rPr>
                        </w:pPr>
                        <w:r>
                          <w:rPr>
                            <w:b/>
                            <w:color w:val="FFFFFF"/>
                            <w:sz w:val="16"/>
                          </w:rPr>
                          <w:t>69</w:t>
                        </w:r>
                      </w:p>
                    </w:tc>
                    <w:tc>
                      <w:tcPr>
                        <w:tcW w:w="614" w:type="dxa"/>
                        <w:tcBorders>
                          <w:top w:val="nil"/>
                          <w:left w:val="nil"/>
                          <w:bottom w:val="nil"/>
                          <w:right w:val="nil"/>
                        </w:tcBorders>
                        <w:shd w:val="clear" w:color="auto" w:fill="17375D"/>
                      </w:tcPr>
                      <w:p>
                        <w:pPr>
                          <w:pStyle w:val="TableParagraph"/>
                          <w:spacing w:before="109"/>
                          <w:ind w:left="256"/>
                          <w:rPr>
                            <w:b/>
                            <w:sz w:val="16"/>
                          </w:rPr>
                        </w:pPr>
                        <w:r>
                          <w:rPr>
                            <w:b/>
                            <w:color w:val="FFFFFF"/>
                            <w:sz w:val="16"/>
                          </w:rPr>
                          <w:t>100</w:t>
                        </w:r>
                      </w:p>
                    </w:tc>
                  </w:tr>
                  <w:tr>
                    <w:trPr>
                      <w:trHeight w:val="305" w:hRule="exact"/>
                    </w:trPr>
                    <w:tc>
                      <w:tcPr>
                        <w:tcW w:w="8603" w:type="dxa"/>
                        <w:gridSpan w:val="21"/>
                        <w:tcBorders>
                          <w:left w:val="nil"/>
                          <w:bottom w:val="nil"/>
                          <w:right w:val="nil"/>
                        </w:tcBorders>
                        <w:shd w:val="clear" w:color="auto" w:fill="D99694"/>
                      </w:tcPr>
                      <w:p>
                        <w:pPr>
                          <w:pStyle w:val="TableParagraph"/>
                          <w:spacing w:before="104"/>
                          <w:ind w:left="69"/>
                          <w:rPr>
                            <w:b/>
                            <w:sz w:val="16"/>
                          </w:rPr>
                        </w:pPr>
                        <w:r>
                          <w:rPr>
                            <w:b/>
                            <w:sz w:val="16"/>
                          </w:rPr>
                          <w:t>Porcentaje de positividad</w:t>
                        </w:r>
                      </w:p>
                    </w:tc>
                    <w:tc>
                      <w:tcPr>
                        <w:tcW w:w="1104" w:type="dxa"/>
                        <w:gridSpan w:val="2"/>
                        <w:tcBorders>
                          <w:top w:val="nil"/>
                          <w:left w:val="nil"/>
                          <w:bottom w:val="nil"/>
                          <w:right w:val="nil"/>
                        </w:tcBorders>
                      </w:tcPr>
                      <w:p>
                        <w:pPr/>
                      </w:p>
                    </w:tc>
                  </w:tr>
                </w:tbl>
                <w:p>
                  <w:pPr>
                    <w:pStyle w:val="BodyText"/>
                  </w:pPr>
                </w:p>
              </w:txbxContent>
            </v:textbox>
            <w10:wrap type="none"/>
          </v:shape>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after="1"/>
        <w:rPr>
          <w:rFonts w:ascii="Calibri"/>
          <w:b/>
          <w:sz w:val="14"/>
        </w:rPr>
      </w:pPr>
    </w:p>
    <w:tbl>
      <w:tblPr>
        <w:tblW w:w="0" w:type="auto"/>
        <w:jc w:val="left"/>
        <w:tblInd w:w="12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0"/>
        <w:gridCol w:w="377"/>
        <w:gridCol w:w="406"/>
        <w:gridCol w:w="436"/>
        <w:gridCol w:w="413"/>
        <w:gridCol w:w="422"/>
        <w:gridCol w:w="412"/>
        <w:gridCol w:w="436"/>
        <w:gridCol w:w="446"/>
        <w:gridCol w:w="396"/>
        <w:gridCol w:w="401"/>
        <w:gridCol w:w="334"/>
        <w:gridCol w:w="375"/>
        <w:gridCol w:w="389"/>
        <w:gridCol w:w="371"/>
        <w:gridCol w:w="432"/>
        <w:gridCol w:w="464"/>
        <w:gridCol w:w="416"/>
        <w:gridCol w:w="394"/>
        <w:gridCol w:w="448"/>
        <w:gridCol w:w="449"/>
        <w:gridCol w:w="492"/>
        <w:gridCol w:w="655"/>
      </w:tblGrid>
      <w:tr>
        <w:trPr>
          <w:trHeight w:val="321" w:hRule="exact"/>
        </w:trPr>
        <w:tc>
          <w:tcPr>
            <w:tcW w:w="340" w:type="dxa"/>
            <w:tcBorders>
              <w:bottom w:val="single" w:sz="4" w:space="0" w:color="000000"/>
            </w:tcBorders>
          </w:tcPr>
          <w:p>
            <w:pPr>
              <w:pStyle w:val="TableParagraph"/>
              <w:spacing w:before="121"/>
              <w:ind w:left="18" w:right="74"/>
              <w:jc w:val="center"/>
              <w:rPr>
                <w:sz w:val="16"/>
              </w:rPr>
            </w:pPr>
            <w:r>
              <w:rPr>
                <w:sz w:val="16"/>
              </w:rPr>
              <w:t>(-)</w:t>
            </w:r>
          </w:p>
        </w:tc>
        <w:tc>
          <w:tcPr>
            <w:tcW w:w="377" w:type="dxa"/>
            <w:tcBorders>
              <w:bottom w:val="single" w:sz="4" w:space="0" w:color="000000"/>
            </w:tcBorders>
          </w:tcPr>
          <w:p>
            <w:pPr>
              <w:pStyle w:val="TableParagraph"/>
              <w:spacing w:before="121"/>
              <w:ind w:left="97"/>
              <w:rPr>
                <w:sz w:val="16"/>
              </w:rPr>
            </w:pPr>
            <w:r>
              <w:rPr>
                <w:sz w:val="16"/>
              </w:rPr>
              <w:t>(-)</w:t>
            </w:r>
          </w:p>
        </w:tc>
        <w:tc>
          <w:tcPr>
            <w:tcW w:w="406" w:type="dxa"/>
            <w:tcBorders>
              <w:bottom w:val="single" w:sz="4" w:space="0" w:color="000000"/>
            </w:tcBorders>
          </w:tcPr>
          <w:p>
            <w:pPr>
              <w:pStyle w:val="TableParagraph"/>
              <w:spacing w:before="121"/>
              <w:ind w:left="104"/>
              <w:rPr>
                <w:sz w:val="16"/>
              </w:rPr>
            </w:pPr>
            <w:r>
              <w:rPr>
                <w:sz w:val="16"/>
              </w:rPr>
              <w:t>(-)</w:t>
            </w:r>
          </w:p>
        </w:tc>
        <w:tc>
          <w:tcPr>
            <w:tcW w:w="436" w:type="dxa"/>
            <w:tcBorders>
              <w:bottom w:val="single" w:sz="4" w:space="0" w:color="000000"/>
            </w:tcBorders>
          </w:tcPr>
          <w:p>
            <w:pPr>
              <w:pStyle w:val="TableParagraph"/>
              <w:spacing w:before="121"/>
              <w:ind w:left="0" w:right="104"/>
              <w:jc w:val="right"/>
              <w:rPr>
                <w:sz w:val="16"/>
              </w:rPr>
            </w:pPr>
            <w:r>
              <w:rPr>
                <w:sz w:val="16"/>
              </w:rPr>
              <w:t>(+)</w:t>
            </w:r>
          </w:p>
        </w:tc>
        <w:tc>
          <w:tcPr>
            <w:tcW w:w="413" w:type="dxa"/>
            <w:tcBorders>
              <w:bottom w:val="single" w:sz="4" w:space="0" w:color="000000"/>
            </w:tcBorders>
          </w:tcPr>
          <w:p>
            <w:pPr>
              <w:pStyle w:val="TableParagraph"/>
              <w:spacing w:before="121"/>
              <w:ind w:left="87" w:right="109"/>
              <w:jc w:val="center"/>
              <w:rPr>
                <w:sz w:val="16"/>
              </w:rPr>
            </w:pPr>
            <w:r>
              <w:rPr>
                <w:sz w:val="16"/>
              </w:rPr>
              <w:t>(+)</w:t>
            </w:r>
          </w:p>
        </w:tc>
        <w:tc>
          <w:tcPr>
            <w:tcW w:w="422" w:type="dxa"/>
            <w:tcBorders>
              <w:bottom w:val="single" w:sz="4" w:space="0" w:color="000000"/>
            </w:tcBorders>
          </w:tcPr>
          <w:p>
            <w:pPr>
              <w:pStyle w:val="TableParagraph"/>
              <w:spacing w:before="121"/>
              <w:ind w:left="130"/>
              <w:rPr>
                <w:sz w:val="16"/>
              </w:rPr>
            </w:pPr>
            <w:r>
              <w:rPr>
                <w:sz w:val="16"/>
              </w:rPr>
              <w:t>(-)</w:t>
            </w:r>
          </w:p>
        </w:tc>
        <w:tc>
          <w:tcPr>
            <w:tcW w:w="412" w:type="dxa"/>
            <w:tcBorders>
              <w:bottom w:val="single" w:sz="4" w:space="0" w:color="000000"/>
            </w:tcBorders>
          </w:tcPr>
          <w:p>
            <w:pPr>
              <w:pStyle w:val="TableParagraph"/>
              <w:spacing w:before="121"/>
              <w:ind w:left="116"/>
              <w:rPr>
                <w:sz w:val="16"/>
              </w:rPr>
            </w:pPr>
            <w:r>
              <w:rPr>
                <w:sz w:val="16"/>
              </w:rPr>
              <w:t>(-)</w:t>
            </w:r>
          </w:p>
        </w:tc>
        <w:tc>
          <w:tcPr>
            <w:tcW w:w="436" w:type="dxa"/>
            <w:tcBorders>
              <w:bottom w:val="single" w:sz="4" w:space="0" w:color="000000"/>
            </w:tcBorders>
          </w:tcPr>
          <w:p>
            <w:pPr>
              <w:pStyle w:val="TableParagraph"/>
              <w:spacing w:before="121"/>
              <w:ind w:left="120"/>
              <w:rPr>
                <w:sz w:val="16"/>
              </w:rPr>
            </w:pPr>
            <w:r>
              <w:rPr>
                <w:sz w:val="16"/>
              </w:rPr>
              <w:t>(-)</w:t>
            </w:r>
          </w:p>
        </w:tc>
        <w:tc>
          <w:tcPr>
            <w:tcW w:w="446" w:type="dxa"/>
            <w:tcBorders>
              <w:bottom w:val="single" w:sz="4" w:space="0" w:color="000000"/>
            </w:tcBorders>
          </w:tcPr>
          <w:p>
            <w:pPr>
              <w:pStyle w:val="TableParagraph"/>
              <w:spacing w:before="121"/>
              <w:ind w:left="96" w:right="30"/>
              <w:jc w:val="center"/>
              <w:rPr>
                <w:sz w:val="16"/>
              </w:rPr>
            </w:pPr>
            <w:r>
              <w:rPr>
                <w:sz w:val="16"/>
              </w:rPr>
              <w:t>(+)</w:t>
            </w:r>
          </w:p>
        </w:tc>
        <w:tc>
          <w:tcPr>
            <w:tcW w:w="396" w:type="dxa"/>
            <w:tcBorders>
              <w:bottom w:val="single" w:sz="4" w:space="0" w:color="000000"/>
            </w:tcBorders>
          </w:tcPr>
          <w:p>
            <w:pPr>
              <w:pStyle w:val="TableParagraph"/>
              <w:spacing w:before="121"/>
              <w:ind w:left="82" w:right="96"/>
              <w:jc w:val="center"/>
              <w:rPr>
                <w:sz w:val="16"/>
              </w:rPr>
            </w:pPr>
            <w:r>
              <w:rPr>
                <w:sz w:val="16"/>
              </w:rPr>
              <w:t>(+)</w:t>
            </w:r>
          </w:p>
        </w:tc>
        <w:tc>
          <w:tcPr>
            <w:tcW w:w="401" w:type="dxa"/>
            <w:tcBorders>
              <w:bottom w:val="single" w:sz="4" w:space="0" w:color="000000"/>
            </w:tcBorders>
          </w:tcPr>
          <w:p>
            <w:pPr>
              <w:pStyle w:val="TableParagraph"/>
              <w:spacing w:before="121"/>
              <w:ind w:left="72" w:right="86"/>
              <w:jc w:val="center"/>
              <w:rPr>
                <w:sz w:val="16"/>
              </w:rPr>
            </w:pPr>
            <w:r>
              <w:rPr>
                <w:sz w:val="16"/>
              </w:rPr>
              <w:t>(-)</w:t>
            </w:r>
          </w:p>
        </w:tc>
        <w:tc>
          <w:tcPr>
            <w:tcW w:w="334" w:type="dxa"/>
            <w:tcBorders>
              <w:bottom w:val="single" w:sz="4" w:space="0" w:color="000000"/>
            </w:tcBorders>
          </w:tcPr>
          <w:p>
            <w:pPr>
              <w:pStyle w:val="TableParagraph"/>
              <w:spacing w:before="121"/>
              <w:ind w:left="86" w:right="60"/>
              <w:jc w:val="center"/>
              <w:rPr>
                <w:sz w:val="16"/>
              </w:rPr>
            </w:pPr>
            <w:r>
              <w:rPr>
                <w:sz w:val="16"/>
              </w:rPr>
              <w:t>(-)</w:t>
            </w:r>
          </w:p>
        </w:tc>
        <w:tc>
          <w:tcPr>
            <w:tcW w:w="375" w:type="dxa"/>
            <w:tcBorders>
              <w:bottom w:val="single" w:sz="4" w:space="0" w:color="000000"/>
            </w:tcBorders>
          </w:tcPr>
          <w:p>
            <w:pPr>
              <w:pStyle w:val="TableParagraph"/>
              <w:spacing w:before="121"/>
              <w:ind w:left="80"/>
              <w:rPr>
                <w:sz w:val="16"/>
              </w:rPr>
            </w:pPr>
            <w:r>
              <w:rPr>
                <w:sz w:val="16"/>
              </w:rPr>
              <w:t>(+)</w:t>
            </w:r>
          </w:p>
        </w:tc>
        <w:tc>
          <w:tcPr>
            <w:tcW w:w="389" w:type="dxa"/>
            <w:tcBorders>
              <w:bottom w:val="single" w:sz="4" w:space="0" w:color="000000"/>
            </w:tcBorders>
          </w:tcPr>
          <w:p>
            <w:pPr>
              <w:pStyle w:val="TableParagraph"/>
              <w:spacing w:before="121"/>
              <w:ind w:left="119"/>
              <w:rPr>
                <w:sz w:val="16"/>
              </w:rPr>
            </w:pPr>
            <w:r>
              <w:rPr>
                <w:sz w:val="16"/>
              </w:rPr>
              <w:t>(+)</w:t>
            </w:r>
          </w:p>
        </w:tc>
        <w:tc>
          <w:tcPr>
            <w:tcW w:w="371" w:type="dxa"/>
            <w:tcBorders>
              <w:bottom w:val="single" w:sz="4" w:space="0" w:color="000000"/>
            </w:tcBorders>
          </w:tcPr>
          <w:p>
            <w:pPr>
              <w:pStyle w:val="TableParagraph"/>
              <w:spacing w:before="121"/>
              <w:ind w:left="46" w:right="80"/>
              <w:jc w:val="center"/>
              <w:rPr>
                <w:sz w:val="16"/>
              </w:rPr>
            </w:pPr>
            <w:r>
              <w:rPr>
                <w:sz w:val="16"/>
              </w:rPr>
              <w:t>(-)</w:t>
            </w:r>
          </w:p>
        </w:tc>
        <w:tc>
          <w:tcPr>
            <w:tcW w:w="432" w:type="dxa"/>
            <w:tcBorders>
              <w:bottom w:val="single" w:sz="4" w:space="0" w:color="000000"/>
            </w:tcBorders>
          </w:tcPr>
          <w:p>
            <w:pPr>
              <w:pStyle w:val="TableParagraph"/>
              <w:spacing w:before="121"/>
              <w:ind w:left="47" w:right="97"/>
              <w:jc w:val="center"/>
              <w:rPr>
                <w:sz w:val="16"/>
              </w:rPr>
            </w:pPr>
            <w:r>
              <w:rPr>
                <w:sz w:val="16"/>
              </w:rPr>
              <w:t>(+)</w:t>
            </w:r>
          </w:p>
        </w:tc>
        <w:tc>
          <w:tcPr>
            <w:tcW w:w="464" w:type="dxa"/>
            <w:tcBorders>
              <w:bottom w:val="single" w:sz="4" w:space="0" w:color="000000"/>
            </w:tcBorders>
          </w:tcPr>
          <w:p>
            <w:pPr>
              <w:pStyle w:val="TableParagraph"/>
              <w:spacing w:before="121"/>
              <w:ind w:left="133" w:right="113"/>
              <w:jc w:val="center"/>
              <w:rPr>
                <w:sz w:val="16"/>
              </w:rPr>
            </w:pPr>
            <w:r>
              <w:rPr>
                <w:sz w:val="16"/>
              </w:rPr>
              <w:t>(+)</w:t>
            </w:r>
          </w:p>
        </w:tc>
        <w:tc>
          <w:tcPr>
            <w:tcW w:w="416" w:type="dxa"/>
            <w:tcBorders>
              <w:bottom w:val="single" w:sz="4" w:space="0" w:color="000000"/>
            </w:tcBorders>
          </w:tcPr>
          <w:p>
            <w:pPr>
              <w:pStyle w:val="TableParagraph"/>
              <w:spacing w:before="121"/>
              <w:ind w:left="134"/>
              <w:rPr>
                <w:sz w:val="16"/>
              </w:rPr>
            </w:pPr>
            <w:r>
              <w:rPr>
                <w:sz w:val="16"/>
              </w:rPr>
              <w:t>(-)</w:t>
            </w:r>
          </w:p>
        </w:tc>
        <w:tc>
          <w:tcPr>
            <w:tcW w:w="394" w:type="dxa"/>
            <w:tcBorders>
              <w:bottom w:val="single" w:sz="4" w:space="0" w:color="000000"/>
            </w:tcBorders>
          </w:tcPr>
          <w:p>
            <w:pPr>
              <w:pStyle w:val="TableParagraph"/>
              <w:spacing w:before="121"/>
              <w:ind w:left="106"/>
              <w:rPr>
                <w:sz w:val="16"/>
              </w:rPr>
            </w:pPr>
            <w:r>
              <w:rPr>
                <w:sz w:val="16"/>
              </w:rPr>
              <w:t>(-)</w:t>
            </w:r>
          </w:p>
        </w:tc>
        <w:tc>
          <w:tcPr>
            <w:tcW w:w="448" w:type="dxa"/>
            <w:tcBorders>
              <w:bottom w:val="single" w:sz="4" w:space="0" w:color="000000"/>
            </w:tcBorders>
          </w:tcPr>
          <w:p>
            <w:pPr>
              <w:pStyle w:val="TableParagraph"/>
              <w:spacing w:before="121"/>
              <w:ind w:left="111"/>
              <w:rPr>
                <w:sz w:val="16"/>
              </w:rPr>
            </w:pPr>
            <w:r>
              <w:rPr>
                <w:sz w:val="16"/>
              </w:rPr>
              <w:t>(-)</w:t>
            </w:r>
          </w:p>
        </w:tc>
        <w:tc>
          <w:tcPr>
            <w:tcW w:w="449" w:type="dxa"/>
            <w:tcBorders>
              <w:bottom w:val="single" w:sz="4" w:space="0" w:color="000000"/>
            </w:tcBorders>
          </w:tcPr>
          <w:p>
            <w:pPr>
              <w:pStyle w:val="TableParagraph"/>
              <w:spacing w:before="121"/>
              <w:ind w:left="0" w:right="110"/>
              <w:jc w:val="right"/>
              <w:rPr>
                <w:sz w:val="16"/>
              </w:rPr>
            </w:pPr>
            <w:r>
              <w:rPr>
                <w:sz w:val="16"/>
              </w:rPr>
              <w:t>(+)</w:t>
            </w:r>
          </w:p>
        </w:tc>
        <w:tc>
          <w:tcPr>
            <w:tcW w:w="492" w:type="dxa"/>
            <w:tcBorders>
              <w:bottom w:val="single" w:sz="4" w:space="0" w:color="000000"/>
            </w:tcBorders>
          </w:tcPr>
          <w:p>
            <w:pPr>
              <w:pStyle w:val="TableParagraph"/>
              <w:spacing w:before="68"/>
              <w:ind w:left="112"/>
              <w:rPr>
                <w:b/>
                <w:sz w:val="16"/>
              </w:rPr>
            </w:pPr>
            <w:r>
              <w:rPr>
                <w:b/>
                <w:w w:val="100"/>
                <w:sz w:val="16"/>
              </w:rPr>
              <w:t>1</w:t>
            </w:r>
          </w:p>
        </w:tc>
        <w:tc>
          <w:tcPr>
            <w:tcW w:w="655" w:type="dxa"/>
            <w:tcBorders>
              <w:bottom w:val="single" w:sz="4" w:space="0" w:color="000000"/>
            </w:tcBorders>
          </w:tcPr>
          <w:p>
            <w:pPr>
              <w:pStyle w:val="TableParagraph"/>
              <w:spacing w:before="68"/>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32"/>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08"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2"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32"/>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98"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08"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2"/>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2"/>
              <w:ind w:left="97"/>
              <w:rPr>
                <w:sz w:val="16"/>
              </w:rPr>
            </w:pPr>
            <w:r>
              <w:rPr>
                <w:sz w:val="16"/>
              </w:rPr>
              <w:t>(-)</w:t>
            </w:r>
          </w:p>
        </w:tc>
        <w:tc>
          <w:tcPr>
            <w:tcW w:w="406" w:type="dxa"/>
            <w:tcBorders>
              <w:top w:val="single" w:sz="4" w:space="0" w:color="000000"/>
              <w:bottom w:val="single" w:sz="4" w:space="0" w:color="000000"/>
            </w:tcBorders>
          </w:tcPr>
          <w:p>
            <w:pPr>
              <w:pStyle w:val="TableParagraph"/>
              <w:spacing w:before="102"/>
              <w:ind w:left="104"/>
              <w:rPr>
                <w:sz w:val="16"/>
              </w:rPr>
            </w:pPr>
            <w:r>
              <w:rPr>
                <w:sz w:val="16"/>
              </w:rPr>
              <w:t>(-)</w:t>
            </w:r>
          </w:p>
        </w:tc>
        <w:tc>
          <w:tcPr>
            <w:tcW w:w="436" w:type="dxa"/>
            <w:tcBorders>
              <w:top w:val="single" w:sz="4" w:space="0" w:color="000000"/>
              <w:bottom w:val="single" w:sz="4" w:space="0" w:color="000000"/>
            </w:tcBorders>
          </w:tcPr>
          <w:p>
            <w:pPr>
              <w:pStyle w:val="TableParagraph"/>
              <w:spacing w:before="102"/>
              <w:ind w:left="0" w:right="132"/>
              <w:jc w:val="right"/>
              <w:rPr>
                <w:sz w:val="16"/>
              </w:rPr>
            </w:pPr>
            <w:r>
              <w:rPr>
                <w:sz w:val="16"/>
              </w:rPr>
              <w:t>(-)</w:t>
            </w:r>
          </w:p>
        </w:tc>
        <w:tc>
          <w:tcPr>
            <w:tcW w:w="413" w:type="dxa"/>
            <w:tcBorders>
              <w:top w:val="single" w:sz="4" w:space="0" w:color="000000"/>
              <w:bottom w:val="single" w:sz="4" w:space="0" w:color="000000"/>
            </w:tcBorders>
          </w:tcPr>
          <w:p>
            <w:pPr>
              <w:pStyle w:val="TableParagraph"/>
              <w:spacing w:before="102"/>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2"/>
              <w:ind w:left="130"/>
              <w:rPr>
                <w:sz w:val="16"/>
              </w:rPr>
            </w:pPr>
            <w:r>
              <w:rPr>
                <w:sz w:val="16"/>
              </w:rPr>
              <w:t>(-)</w:t>
            </w:r>
          </w:p>
        </w:tc>
        <w:tc>
          <w:tcPr>
            <w:tcW w:w="412" w:type="dxa"/>
            <w:tcBorders>
              <w:top w:val="single" w:sz="4" w:space="0" w:color="000000"/>
              <w:bottom w:val="single" w:sz="4" w:space="0" w:color="000000"/>
            </w:tcBorders>
          </w:tcPr>
          <w:p>
            <w:pPr>
              <w:pStyle w:val="TableParagraph"/>
              <w:spacing w:before="102"/>
              <w:ind w:left="116"/>
              <w:rPr>
                <w:sz w:val="16"/>
              </w:rPr>
            </w:pPr>
            <w:r>
              <w:rPr>
                <w:sz w:val="16"/>
              </w:rPr>
              <w:t>(+)</w:t>
            </w:r>
          </w:p>
        </w:tc>
        <w:tc>
          <w:tcPr>
            <w:tcW w:w="436" w:type="dxa"/>
            <w:tcBorders>
              <w:top w:val="single" w:sz="4" w:space="0" w:color="000000"/>
              <w:bottom w:val="single" w:sz="4" w:space="0" w:color="000000"/>
            </w:tcBorders>
          </w:tcPr>
          <w:p>
            <w:pPr>
              <w:pStyle w:val="TableParagraph"/>
              <w:spacing w:before="102"/>
              <w:ind w:left="120"/>
              <w:rPr>
                <w:sz w:val="16"/>
              </w:rPr>
            </w:pPr>
            <w:r>
              <w:rPr>
                <w:sz w:val="16"/>
              </w:rPr>
              <w:t>(-)</w:t>
            </w:r>
          </w:p>
        </w:tc>
        <w:tc>
          <w:tcPr>
            <w:tcW w:w="446" w:type="dxa"/>
            <w:tcBorders>
              <w:top w:val="single" w:sz="4" w:space="0" w:color="000000"/>
              <w:bottom w:val="single" w:sz="4" w:space="0" w:color="000000"/>
            </w:tcBorders>
          </w:tcPr>
          <w:p>
            <w:pPr>
              <w:pStyle w:val="TableParagraph"/>
              <w:spacing w:before="102"/>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2"/>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2"/>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2"/>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2"/>
              <w:ind w:left="80"/>
              <w:rPr>
                <w:sz w:val="16"/>
              </w:rPr>
            </w:pPr>
            <w:r>
              <w:rPr>
                <w:sz w:val="16"/>
              </w:rPr>
              <w:t>(+)</w:t>
            </w:r>
          </w:p>
        </w:tc>
        <w:tc>
          <w:tcPr>
            <w:tcW w:w="389" w:type="dxa"/>
            <w:tcBorders>
              <w:top w:val="single" w:sz="4" w:space="0" w:color="000000"/>
              <w:bottom w:val="single" w:sz="4" w:space="0" w:color="000000"/>
            </w:tcBorders>
          </w:tcPr>
          <w:p>
            <w:pPr>
              <w:pStyle w:val="TableParagraph"/>
              <w:spacing w:before="102"/>
              <w:ind w:left="119"/>
              <w:rPr>
                <w:sz w:val="16"/>
              </w:rPr>
            </w:pPr>
            <w:r>
              <w:rPr>
                <w:sz w:val="16"/>
              </w:rPr>
              <w:t>(+)</w:t>
            </w:r>
          </w:p>
        </w:tc>
        <w:tc>
          <w:tcPr>
            <w:tcW w:w="371" w:type="dxa"/>
            <w:tcBorders>
              <w:top w:val="single" w:sz="4" w:space="0" w:color="000000"/>
              <w:bottom w:val="single" w:sz="4" w:space="0" w:color="000000"/>
            </w:tcBorders>
          </w:tcPr>
          <w:p>
            <w:pPr>
              <w:pStyle w:val="TableParagraph"/>
              <w:spacing w:before="102"/>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2"/>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2"/>
              <w:ind w:left="108"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2"/>
              <w:ind w:left="134"/>
              <w:rPr>
                <w:sz w:val="16"/>
              </w:rPr>
            </w:pPr>
            <w:r>
              <w:rPr>
                <w:sz w:val="16"/>
              </w:rPr>
              <w:t>(-)</w:t>
            </w:r>
          </w:p>
        </w:tc>
        <w:tc>
          <w:tcPr>
            <w:tcW w:w="394" w:type="dxa"/>
            <w:tcBorders>
              <w:top w:val="single" w:sz="4" w:space="0" w:color="000000"/>
              <w:bottom w:val="single" w:sz="4" w:space="0" w:color="000000"/>
            </w:tcBorders>
          </w:tcPr>
          <w:p>
            <w:pPr>
              <w:pStyle w:val="TableParagraph"/>
              <w:spacing w:before="102"/>
              <w:ind w:left="106"/>
              <w:rPr>
                <w:sz w:val="16"/>
              </w:rPr>
            </w:pPr>
            <w:r>
              <w:rPr>
                <w:sz w:val="16"/>
              </w:rPr>
              <w:t>(+)</w:t>
            </w:r>
          </w:p>
        </w:tc>
        <w:tc>
          <w:tcPr>
            <w:tcW w:w="448" w:type="dxa"/>
            <w:tcBorders>
              <w:top w:val="single" w:sz="4" w:space="0" w:color="000000"/>
              <w:bottom w:val="single" w:sz="4" w:space="0" w:color="000000"/>
            </w:tcBorders>
          </w:tcPr>
          <w:p>
            <w:pPr>
              <w:pStyle w:val="TableParagraph"/>
              <w:spacing w:before="102"/>
              <w:ind w:left="111"/>
              <w:rPr>
                <w:sz w:val="16"/>
              </w:rPr>
            </w:pPr>
            <w:r>
              <w:rPr>
                <w:sz w:val="16"/>
              </w:rPr>
              <w:t>(-)</w:t>
            </w:r>
          </w:p>
        </w:tc>
        <w:tc>
          <w:tcPr>
            <w:tcW w:w="449" w:type="dxa"/>
            <w:tcBorders>
              <w:top w:val="single" w:sz="4" w:space="0" w:color="000000"/>
              <w:bottom w:val="single" w:sz="4" w:space="0" w:color="000000"/>
            </w:tcBorders>
          </w:tcPr>
          <w:p>
            <w:pPr>
              <w:pStyle w:val="TableParagraph"/>
              <w:spacing w:before="102"/>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5"/>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5"/>
              <w:ind w:left="97"/>
              <w:rPr>
                <w:sz w:val="16"/>
              </w:rPr>
            </w:pPr>
            <w:r>
              <w:rPr>
                <w:sz w:val="16"/>
              </w:rPr>
              <w:t>(+)</w:t>
            </w:r>
          </w:p>
        </w:tc>
        <w:tc>
          <w:tcPr>
            <w:tcW w:w="406" w:type="dxa"/>
            <w:tcBorders>
              <w:top w:val="single" w:sz="4" w:space="0" w:color="000000"/>
              <w:bottom w:val="single" w:sz="4" w:space="0" w:color="000000"/>
            </w:tcBorders>
          </w:tcPr>
          <w:p>
            <w:pPr>
              <w:pStyle w:val="TableParagraph"/>
              <w:spacing w:before="105"/>
              <w:ind w:left="104"/>
              <w:rPr>
                <w:sz w:val="16"/>
              </w:rPr>
            </w:pPr>
            <w:r>
              <w:rPr>
                <w:sz w:val="16"/>
              </w:rPr>
              <w:t>(-)</w:t>
            </w:r>
          </w:p>
        </w:tc>
        <w:tc>
          <w:tcPr>
            <w:tcW w:w="436" w:type="dxa"/>
            <w:tcBorders>
              <w:top w:val="single" w:sz="4" w:space="0" w:color="000000"/>
              <w:bottom w:val="single" w:sz="4" w:space="0" w:color="000000"/>
            </w:tcBorders>
          </w:tcPr>
          <w:p>
            <w:pPr>
              <w:pStyle w:val="TableParagraph"/>
              <w:spacing w:before="105"/>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5"/>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5"/>
              <w:ind w:left="130"/>
              <w:rPr>
                <w:sz w:val="16"/>
              </w:rPr>
            </w:pPr>
            <w:r>
              <w:rPr>
                <w:sz w:val="16"/>
              </w:rPr>
              <w:t>(-)</w:t>
            </w:r>
          </w:p>
        </w:tc>
        <w:tc>
          <w:tcPr>
            <w:tcW w:w="412" w:type="dxa"/>
            <w:tcBorders>
              <w:top w:val="single" w:sz="4" w:space="0" w:color="000000"/>
              <w:bottom w:val="single" w:sz="4" w:space="0" w:color="000000"/>
            </w:tcBorders>
          </w:tcPr>
          <w:p>
            <w:pPr>
              <w:pStyle w:val="TableParagraph"/>
              <w:spacing w:before="105"/>
              <w:ind w:left="116"/>
              <w:rPr>
                <w:sz w:val="16"/>
              </w:rPr>
            </w:pPr>
            <w:r>
              <w:rPr>
                <w:sz w:val="16"/>
              </w:rPr>
              <w:t>(+)</w:t>
            </w:r>
          </w:p>
        </w:tc>
        <w:tc>
          <w:tcPr>
            <w:tcW w:w="436" w:type="dxa"/>
            <w:tcBorders>
              <w:top w:val="single" w:sz="4" w:space="0" w:color="000000"/>
              <w:bottom w:val="single" w:sz="4" w:space="0" w:color="000000"/>
            </w:tcBorders>
          </w:tcPr>
          <w:p>
            <w:pPr>
              <w:pStyle w:val="TableParagraph"/>
              <w:spacing w:before="105"/>
              <w:ind w:left="120"/>
              <w:rPr>
                <w:sz w:val="16"/>
              </w:rPr>
            </w:pPr>
            <w:r>
              <w:rPr>
                <w:sz w:val="16"/>
              </w:rPr>
              <w:t>(-)</w:t>
            </w:r>
          </w:p>
        </w:tc>
        <w:tc>
          <w:tcPr>
            <w:tcW w:w="446" w:type="dxa"/>
            <w:tcBorders>
              <w:top w:val="single" w:sz="4" w:space="0" w:color="000000"/>
              <w:bottom w:val="single" w:sz="4" w:space="0" w:color="000000"/>
            </w:tcBorders>
          </w:tcPr>
          <w:p>
            <w:pPr>
              <w:pStyle w:val="TableParagraph"/>
              <w:spacing w:before="105"/>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5"/>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5"/>
              <w:ind w:left="98"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5"/>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5"/>
              <w:ind w:left="80"/>
              <w:rPr>
                <w:sz w:val="16"/>
              </w:rPr>
            </w:pPr>
            <w:r>
              <w:rPr>
                <w:sz w:val="16"/>
              </w:rPr>
              <w:t>(+)</w:t>
            </w:r>
          </w:p>
        </w:tc>
        <w:tc>
          <w:tcPr>
            <w:tcW w:w="389" w:type="dxa"/>
            <w:tcBorders>
              <w:top w:val="single" w:sz="4" w:space="0" w:color="000000"/>
              <w:bottom w:val="single" w:sz="4" w:space="0" w:color="000000"/>
            </w:tcBorders>
          </w:tcPr>
          <w:p>
            <w:pPr>
              <w:pStyle w:val="TableParagraph"/>
              <w:spacing w:before="105"/>
              <w:ind w:left="119"/>
              <w:rPr>
                <w:sz w:val="16"/>
              </w:rPr>
            </w:pPr>
            <w:r>
              <w:rPr>
                <w:sz w:val="16"/>
              </w:rPr>
              <w:t>(+)</w:t>
            </w:r>
          </w:p>
        </w:tc>
        <w:tc>
          <w:tcPr>
            <w:tcW w:w="371" w:type="dxa"/>
            <w:tcBorders>
              <w:top w:val="single" w:sz="4" w:space="0" w:color="000000"/>
              <w:bottom w:val="single" w:sz="4" w:space="0" w:color="000000"/>
            </w:tcBorders>
          </w:tcPr>
          <w:p>
            <w:pPr>
              <w:pStyle w:val="TableParagraph"/>
              <w:spacing w:before="105"/>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5"/>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5"/>
              <w:ind w:left="108"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5"/>
              <w:ind w:left="134"/>
              <w:rPr>
                <w:sz w:val="16"/>
              </w:rPr>
            </w:pPr>
            <w:r>
              <w:rPr>
                <w:sz w:val="16"/>
              </w:rPr>
              <w:t>(-)</w:t>
            </w:r>
          </w:p>
        </w:tc>
        <w:tc>
          <w:tcPr>
            <w:tcW w:w="394" w:type="dxa"/>
            <w:tcBorders>
              <w:top w:val="single" w:sz="4" w:space="0" w:color="000000"/>
              <w:bottom w:val="single" w:sz="4" w:space="0" w:color="000000"/>
            </w:tcBorders>
          </w:tcPr>
          <w:p>
            <w:pPr>
              <w:pStyle w:val="TableParagraph"/>
              <w:spacing w:before="105"/>
              <w:ind w:left="106"/>
              <w:rPr>
                <w:sz w:val="16"/>
              </w:rPr>
            </w:pPr>
            <w:r>
              <w:rPr>
                <w:sz w:val="16"/>
              </w:rPr>
              <w:t>(+)</w:t>
            </w:r>
          </w:p>
        </w:tc>
        <w:tc>
          <w:tcPr>
            <w:tcW w:w="448" w:type="dxa"/>
            <w:tcBorders>
              <w:top w:val="single" w:sz="4" w:space="0" w:color="000000"/>
              <w:bottom w:val="single" w:sz="4" w:space="0" w:color="000000"/>
            </w:tcBorders>
          </w:tcPr>
          <w:p>
            <w:pPr>
              <w:pStyle w:val="TableParagraph"/>
              <w:spacing w:before="105"/>
              <w:ind w:left="111"/>
              <w:rPr>
                <w:sz w:val="16"/>
              </w:rPr>
            </w:pPr>
            <w:r>
              <w:rPr>
                <w:sz w:val="16"/>
              </w:rPr>
              <w:t>(-)</w:t>
            </w:r>
          </w:p>
        </w:tc>
        <w:tc>
          <w:tcPr>
            <w:tcW w:w="449" w:type="dxa"/>
            <w:tcBorders>
              <w:top w:val="single" w:sz="4" w:space="0" w:color="000000"/>
              <w:bottom w:val="single" w:sz="4" w:space="0" w:color="000000"/>
            </w:tcBorders>
          </w:tcPr>
          <w:p>
            <w:pPr>
              <w:pStyle w:val="TableParagraph"/>
              <w:spacing w:before="105"/>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2"/>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2"/>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47"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74"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98"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74"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2"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32"/>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2"/>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2"/>
              <w:ind w:left="97"/>
              <w:rPr>
                <w:sz w:val="16"/>
              </w:rPr>
            </w:pPr>
            <w:r>
              <w:rPr>
                <w:sz w:val="16"/>
              </w:rPr>
              <w:t>(-)</w:t>
            </w:r>
          </w:p>
        </w:tc>
        <w:tc>
          <w:tcPr>
            <w:tcW w:w="406" w:type="dxa"/>
            <w:tcBorders>
              <w:top w:val="single" w:sz="4" w:space="0" w:color="000000"/>
              <w:bottom w:val="single" w:sz="4" w:space="0" w:color="000000"/>
            </w:tcBorders>
          </w:tcPr>
          <w:p>
            <w:pPr>
              <w:pStyle w:val="TableParagraph"/>
              <w:spacing w:before="102"/>
              <w:ind w:left="104"/>
              <w:rPr>
                <w:sz w:val="16"/>
              </w:rPr>
            </w:pPr>
            <w:r>
              <w:rPr>
                <w:sz w:val="16"/>
              </w:rPr>
              <w:t>(-)</w:t>
            </w:r>
          </w:p>
        </w:tc>
        <w:tc>
          <w:tcPr>
            <w:tcW w:w="436" w:type="dxa"/>
            <w:tcBorders>
              <w:top w:val="single" w:sz="4" w:space="0" w:color="000000"/>
              <w:bottom w:val="single" w:sz="4" w:space="0" w:color="000000"/>
            </w:tcBorders>
          </w:tcPr>
          <w:p>
            <w:pPr>
              <w:pStyle w:val="TableParagraph"/>
              <w:spacing w:before="102"/>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2"/>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2"/>
              <w:ind w:left="130"/>
              <w:rPr>
                <w:sz w:val="16"/>
              </w:rPr>
            </w:pPr>
            <w:r>
              <w:rPr>
                <w:sz w:val="16"/>
              </w:rPr>
              <w:t>(-)</w:t>
            </w:r>
          </w:p>
        </w:tc>
        <w:tc>
          <w:tcPr>
            <w:tcW w:w="412" w:type="dxa"/>
            <w:tcBorders>
              <w:top w:val="single" w:sz="4" w:space="0" w:color="000000"/>
              <w:bottom w:val="single" w:sz="4" w:space="0" w:color="000000"/>
            </w:tcBorders>
          </w:tcPr>
          <w:p>
            <w:pPr>
              <w:pStyle w:val="TableParagraph"/>
              <w:spacing w:before="102"/>
              <w:ind w:left="116"/>
              <w:rPr>
                <w:sz w:val="16"/>
              </w:rPr>
            </w:pPr>
            <w:r>
              <w:rPr>
                <w:sz w:val="16"/>
              </w:rPr>
              <w:t>(+)</w:t>
            </w:r>
          </w:p>
        </w:tc>
        <w:tc>
          <w:tcPr>
            <w:tcW w:w="436" w:type="dxa"/>
            <w:tcBorders>
              <w:top w:val="single" w:sz="4" w:space="0" w:color="000000"/>
              <w:bottom w:val="single" w:sz="4" w:space="0" w:color="000000"/>
            </w:tcBorders>
          </w:tcPr>
          <w:p>
            <w:pPr>
              <w:pStyle w:val="TableParagraph"/>
              <w:spacing w:before="102"/>
              <w:ind w:left="120"/>
              <w:rPr>
                <w:sz w:val="16"/>
              </w:rPr>
            </w:pPr>
            <w:r>
              <w:rPr>
                <w:sz w:val="16"/>
              </w:rPr>
              <w:t>(-)</w:t>
            </w:r>
          </w:p>
        </w:tc>
        <w:tc>
          <w:tcPr>
            <w:tcW w:w="446" w:type="dxa"/>
            <w:tcBorders>
              <w:top w:val="single" w:sz="4" w:space="0" w:color="000000"/>
              <w:bottom w:val="single" w:sz="4" w:space="0" w:color="000000"/>
            </w:tcBorders>
          </w:tcPr>
          <w:p>
            <w:pPr>
              <w:pStyle w:val="TableParagraph"/>
              <w:spacing w:before="102"/>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2"/>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2"/>
              <w:ind w:left="98"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2"/>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2"/>
              <w:ind w:left="80"/>
              <w:rPr>
                <w:sz w:val="16"/>
              </w:rPr>
            </w:pPr>
            <w:r>
              <w:rPr>
                <w:sz w:val="16"/>
              </w:rPr>
              <w:t>(+)</w:t>
            </w:r>
          </w:p>
        </w:tc>
        <w:tc>
          <w:tcPr>
            <w:tcW w:w="389" w:type="dxa"/>
            <w:tcBorders>
              <w:top w:val="single" w:sz="4" w:space="0" w:color="000000"/>
              <w:bottom w:val="single" w:sz="4" w:space="0" w:color="000000"/>
            </w:tcBorders>
          </w:tcPr>
          <w:p>
            <w:pPr>
              <w:pStyle w:val="TableParagraph"/>
              <w:spacing w:before="102"/>
              <w:ind w:left="119"/>
              <w:rPr>
                <w:sz w:val="16"/>
              </w:rPr>
            </w:pPr>
            <w:r>
              <w:rPr>
                <w:sz w:val="16"/>
              </w:rPr>
              <w:t>(+)</w:t>
            </w:r>
          </w:p>
        </w:tc>
        <w:tc>
          <w:tcPr>
            <w:tcW w:w="371" w:type="dxa"/>
            <w:tcBorders>
              <w:top w:val="single" w:sz="4" w:space="0" w:color="000000"/>
              <w:bottom w:val="single" w:sz="4" w:space="0" w:color="000000"/>
            </w:tcBorders>
          </w:tcPr>
          <w:p>
            <w:pPr>
              <w:pStyle w:val="TableParagraph"/>
              <w:spacing w:before="102"/>
              <w:ind w:left="74"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2"/>
              <w:ind w:left="47"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2"/>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2"/>
              <w:ind w:left="134"/>
              <w:rPr>
                <w:sz w:val="16"/>
              </w:rPr>
            </w:pPr>
            <w:r>
              <w:rPr>
                <w:sz w:val="16"/>
              </w:rPr>
              <w:t>(-)</w:t>
            </w:r>
          </w:p>
        </w:tc>
        <w:tc>
          <w:tcPr>
            <w:tcW w:w="394" w:type="dxa"/>
            <w:tcBorders>
              <w:top w:val="single" w:sz="4" w:space="0" w:color="000000"/>
              <w:bottom w:val="single" w:sz="4" w:space="0" w:color="000000"/>
            </w:tcBorders>
          </w:tcPr>
          <w:p>
            <w:pPr>
              <w:pStyle w:val="TableParagraph"/>
              <w:spacing w:before="102"/>
              <w:ind w:left="106"/>
              <w:rPr>
                <w:sz w:val="16"/>
              </w:rPr>
            </w:pPr>
            <w:r>
              <w:rPr>
                <w:sz w:val="16"/>
              </w:rPr>
              <w:t>(+)</w:t>
            </w:r>
          </w:p>
        </w:tc>
        <w:tc>
          <w:tcPr>
            <w:tcW w:w="448" w:type="dxa"/>
            <w:tcBorders>
              <w:top w:val="single" w:sz="4" w:space="0" w:color="000000"/>
              <w:bottom w:val="single" w:sz="4" w:space="0" w:color="000000"/>
            </w:tcBorders>
          </w:tcPr>
          <w:p>
            <w:pPr>
              <w:pStyle w:val="TableParagraph"/>
              <w:spacing w:before="102"/>
              <w:ind w:left="111"/>
              <w:rPr>
                <w:sz w:val="16"/>
              </w:rPr>
            </w:pPr>
            <w:r>
              <w:rPr>
                <w:sz w:val="16"/>
              </w:rPr>
              <w:t>(+)</w:t>
            </w:r>
          </w:p>
        </w:tc>
        <w:tc>
          <w:tcPr>
            <w:tcW w:w="449" w:type="dxa"/>
            <w:tcBorders>
              <w:top w:val="single" w:sz="4" w:space="0" w:color="000000"/>
              <w:bottom w:val="single" w:sz="4" w:space="0" w:color="000000"/>
            </w:tcBorders>
          </w:tcPr>
          <w:p>
            <w:pPr>
              <w:pStyle w:val="TableParagraph"/>
              <w:spacing w:before="102"/>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30"/>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98"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4"/>
              <w:ind w:left="97"/>
              <w:rPr>
                <w:sz w:val="16"/>
              </w:rPr>
            </w:pPr>
            <w:r>
              <w:rPr>
                <w:sz w:val="16"/>
              </w:rPr>
              <w:t>(-)</w:t>
            </w:r>
          </w:p>
        </w:tc>
        <w:tc>
          <w:tcPr>
            <w:tcW w:w="406" w:type="dxa"/>
            <w:tcBorders>
              <w:top w:val="single" w:sz="4" w:space="0" w:color="000000"/>
              <w:bottom w:val="single" w:sz="4" w:space="0" w:color="000000"/>
            </w:tcBorders>
          </w:tcPr>
          <w:p>
            <w:pPr>
              <w:pStyle w:val="TableParagraph"/>
              <w:spacing w:before="104"/>
              <w:ind w:left="104"/>
              <w:rPr>
                <w:sz w:val="16"/>
              </w:rPr>
            </w:pPr>
            <w:r>
              <w:rPr>
                <w:sz w:val="16"/>
              </w:rPr>
              <w:t>(-)</w:t>
            </w:r>
          </w:p>
        </w:tc>
        <w:tc>
          <w:tcPr>
            <w:tcW w:w="436" w:type="dxa"/>
            <w:tcBorders>
              <w:top w:val="single" w:sz="4" w:space="0" w:color="000000"/>
              <w:bottom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4"/>
              <w:ind w:left="130"/>
              <w:rPr>
                <w:sz w:val="16"/>
              </w:rPr>
            </w:pPr>
            <w:r>
              <w:rPr>
                <w:sz w:val="16"/>
              </w:rPr>
              <w:t>(-)</w:t>
            </w:r>
          </w:p>
        </w:tc>
        <w:tc>
          <w:tcPr>
            <w:tcW w:w="412" w:type="dxa"/>
            <w:tcBorders>
              <w:top w:val="single" w:sz="4" w:space="0" w:color="000000"/>
              <w:bottom w:val="single" w:sz="4" w:space="0" w:color="000000"/>
            </w:tcBorders>
          </w:tcPr>
          <w:p>
            <w:pPr>
              <w:pStyle w:val="TableParagraph"/>
              <w:spacing w:before="104"/>
              <w:ind w:left="116"/>
              <w:rPr>
                <w:sz w:val="16"/>
              </w:rPr>
            </w:pPr>
            <w:r>
              <w:rPr>
                <w:sz w:val="16"/>
              </w:rPr>
              <w:t>(+)</w:t>
            </w:r>
          </w:p>
        </w:tc>
        <w:tc>
          <w:tcPr>
            <w:tcW w:w="436" w:type="dxa"/>
            <w:tcBorders>
              <w:top w:val="single" w:sz="4" w:space="0" w:color="000000"/>
              <w:bottom w:val="single" w:sz="4" w:space="0" w:color="000000"/>
            </w:tcBorders>
          </w:tcPr>
          <w:p>
            <w:pPr>
              <w:pStyle w:val="TableParagraph"/>
              <w:spacing w:before="104"/>
              <w:ind w:left="120"/>
              <w:rPr>
                <w:sz w:val="16"/>
              </w:rPr>
            </w:pPr>
            <w:r>
              <w:rPr>
                <w:sz w:val="16"/>
              </w:rPr>
              <w:t>(-)</w:t>
            </w:r>
          </w:p>
        </w:tc>
        <w:tc>
          <w:tcPr>
            <w:tcW w:w="446" w:type="dxa"/>
            <w:tcBorders>
              <w:top w:val="single" w:sz="4" w:space="0" w:color="000000"/>
              <w:bottom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4"/>
              <w:ind w:left="80"/>
              <w:rPr>
                <w:sz w:val="16"/>
              </w:rPr>
            </w:pPr>
            <w:r>
              <w:rPr>
                <w:sz w:val="16"/>
              </w:rPr>
              <w:t>(+)</w:t>
            </w:r>
          </w:p>
        </w:tc>
        <w:tc>
          <w:tcPr>
            <w:tcW w:w="389" w:type="dxa"/>
            <w:tcBorders>
              <w:top w:val="single" w:sz="4" w:space="0" w:color="000000"/>
              <w:bottom w:val="single" w:sz="4" w:space="0" w:color="000000"/>
            </w:tcBorders>
          </w:tcPr>
          <w:p>
            <w:pPr>
              <w:pStyle w:val="TableParagraph"/>
              <w:spacing w:before="104"/>
              <w:ind w:left="119"/>
              <w:rPr>
                <w:sz w:val="16"/>
              </w:rPr>
            </w:pPr>
            <w:r>
              <w:rPr>
                <w:sz w:val="16"/>
              </w:rPr>
              <w:t>(+)</w:t>
            </w:r>
          </w:p>
        </w:tc>
        <w:tc>
          <w:tcPr>
            <w:tcW w:w="371" w:type="dxa"/>
            <w:tcBorders>
              <w:top w:val="single" w:sz="4" w:space="0" w:color="000000"/>
              <w:bottom w:val="single" w:sz="4" w:space="0" w:color="000000"/>
            </w:tcBorders>
          </w:tcPr>
          <w:p>
            <w:pPr>
              <w:pStyle w:val="TableParagraph"/>
              <w:spacing w:before="104"/>
              <w:ind w:left="74"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4"/>
              <w:ind w:left="134"/>
              <w:rPr>
                <w:sz w:val="16"/>
              </w:rPr>
            </w:pPr>
            <w:r>
              <w:rPr>
                <w:sz w:val="16"/>
              </w:rPr>
              <w:t>(-)</w:t>
            </w:r>
          </w:p>
        </w:tc>
        <w:tc>
          <w:tcPr>
            <w:tcW w:w="394" w:type="dxa"/>
            <w:tcBorders>
              <w:top w:val="single" w:sz="4" w:space="0" w:color="000000"/>
              <w:bottom w:val="single" w:sz="4" w:space="0" w:color="000000"/>
            </w:tcBorders>
          </w:tcPr>
          <w:p>
            <w:pPr>
              <w:pStyle w:val="TableParagraph"/>
              <w:spacing w:before="104"/>
              <w:ind w:left="106"/>
              <w:rPr>
                <w:sz w:val="16"/>
              </w:rPr>
            </w:pPr>
            <w:r>
              <w:rPr>
                <w:sz w:val="16"/>
              </w:rPr>
              <w:t>(-)</w:t>
            </w:r>
          </w:p>
        </w:tc>
        <w:tc>
          <w:tcPr>
            <w:tcW w:w="448" w:type="dxa"/>
            <w:tcBorders>
              <w:top w:val="single" w:sz="4" w:space="0" w:color="000000"/>
              <w:bottom w:val="single" w:sz="4" w:space="0" w:color="000000"/>
            </w:tcBorders>
          </w:tcPr>
          <w:p>
            <w:pPr>
              <w:pStyle w:val="TableParagraph"/>
              <w:spacing w:before="104"/>
              <w:ind w:left="111"/>
              <w:rPr>
                <w:sz w:val="16"/>
              </w:rPr>
            </w:pPr>
            <w:r>
              <w:rPr>
                <w:sz w:val="16"/>
              </w:rPr>
              <w:t>(-)</w:t>
            </w:r>
          </w:p>
        </w:tc>
        <w:tc>
          <w:tcPr>
            <w:tcW w:w="449" w:type="dxa"/>
            <w:tcBorders>
              <w:top w:val="single" w:sz="4" w:space="0" w:color="000000"/>
              <w:bottom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3" w:hRule="exact"/>
        </w:trPr>
        <w:tc>
          <w:tcPr>
            <w:tcW w:w="340" w:type="dxa"/>
            <w:tcBorders>
              <w:top w:val="single" w:sz="4" w:space="0" w:color="000000"/>
              <w:bottom w:val="single" w:sz="4" w:space="0" w:color="000000"/>
            </w:tcBorders>
          </w:tcPr>
          <w:p>
            <w:pPr>
              <w:pStyle w:val="TableParagraph"/>
              <w:spacing w:before="105"/>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5"/>
              <w:ind w:left="97"/>
              <w:rPr>
                <w:sz w:val="16"/>
              </w:rPr>
            </w:pPr>
            <w:r>
              <w:rPr>
                <w:sz w:val="16"/>
              </w:rPr>
              <w:t>(-)</w:t>
            </w:r>
          </w:p>
        </w:tc>
        <w:tc>
          <w:tcPr>
            <w:tcW w:w="406" w:type="dxa"/>
            <w:tcBorders>
              <w:top w:val="single" w:sz="4" w:space="0" w:color="000000"/>
              <w:bottom w:val="single" w:sz="4" w:space="0" w:color="000000"/>
            </w:tcBorders>
          </w:tcPr>
          <w:p>
            <w:pPr>
              <w:pStyle w:val="TableParagraph"/>
              <w:spacing w:before="105"/>
              <w:ind w:left="104"/>
              <w:rPr>
                <w:sz w:val="16"/>
              </w:rPr>
            </w:pPr>
            <w:r>
              <w:rPr>
                <w:sz w:val="16"/>
              </w:rPr>
              <w:t>(-)</w:t>
            </w:r>
          </w:p>
        </w:tc>
        <w:tc>
          <w:tcPr>
            <w:tcW w:w="436" w:type="dxa"/>
            <w:tcBorders>
              <w:top w:val="single" w:sz="4" w:space="0" w:color="000000"/>
              <w:bottom w:val="single" w:sz="4" w:space="0" w:color="000000"/>
            </w:tcBorders>
          </w:tcPr>
          <w:p>
            <w:pPr>
              <w:pStyle w:val="TableParagraph"/>
              <w:spacing w:before="105"/>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5"/>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5"/>
              <w:ind w:left="130"/>
              <w:rPr>
                <w:sz w:val="16"/>
              </w:rPr>
            </w:pPr>
            <w:r>
              <w:rPr>
                <w:sz w:val="16"/>
              </w:rPr>
              <w:t>(-)</w:t>
            </w:r>
          </w:p>
        </w:tc>
        <w:tc>
          <w:tcPr>
            <w:tcW w:w="412" w:type="dxa"/>
            <w:tcBorders>
              <w:top w:val="single" w:sz="4" w:space="0" w:color="000000"/>
              <w:bottom w:val="single" w:sz="4" w:space="0" w:color="000000"/>
            </w:tcBorders>
          </w:tcPr>
          <w:p>
            <w:pPr>
              <w:pStyle w:val="TableParagraph"/>
              <w:spacing w:before="105"/>
              <w:ind w:left="116"/>
              <w:rPr>
                <w:sz w:val="16"/>
              </w:rPr>
            </w:pPr>
            <w:r>
              <w:rPr>
                <w:sz w:val="16"/>
              </w:rPr>
              <w:t>(+)</w:t>
            </w:r>
          </w:p>
        </w:tc>
        <w:tc>
          <w:tcPr>
            <w:tcW w:w="436" w:type="dxa"/>
            <w:tcBorders>
              <w:top w:val="single" w:sz="4" w:space="0" w:color="000000"/>
              <w:bottom w:val="single" w:sz="4" w:space="0" w:color="000000"/>
            </w:tcBorders>
          </w:tcPr>
          <w:p>
            <w:pPr>
              <w:pStyle w:val="TableParagraph"/>
              <w:spacing w:before="105"/>
              <w:ind w:left="120"/>
              <w:rPr>
                <w:sz w:val="16"/>
              </w:rPr>
            </w:pPr>
            <w:r>
              <w:rPr>
                <w:sz w:val="16"/>
              </w:rPr>
              <w:t>(-)</w:t>
            </w:r>
          </w:p>
        </w:tc>
        <w:tc>
          <w:tcPr>
            <w:tcW w:w="446" w:type="dxa"/>
            <w:tcBorders>
              <w:top w:val="single" w:sz="4" w:space="0" w:color="000000"/>
              <w:bottom w:val="single" w:sz="4" w:space="0" w:color="000000"/>
            </w:tcBorders>
          </w:tcPr>
          <w:p>
            <w:pPr>
              <w:pStyle w:val="TableParagraph"/>
              <w:spacing w:before="105"/>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5"/>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5"/>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5"/>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5"/>
              <w:ind w:left="80"/>
              <w:rPr>
                <w:sz w:val="16"/>
              </w:rPr>
            </w:pPr>
            <w:r>
              <w:rPr>
                <w:sz w:val="16"/>
              </w:rPr>
              <w:t>(+)</w:t>
            </w:r>
          </w:p>
        </w:tc>
        <w:tc>
          <w:tcPr>
            <w:tcW w:w="389" w:type="dxa"/>
            <w:tcBorders>
              <w:top w:val="single" w:sz="4" w:space="0" w:color="000000"/>
              <w:bottom w:val="single" w:sz="4" w:space="0" w:color="000000"/>
            </w:tcBorders>
          </w:tcPr>
          <w:p>
            <w:pPr>
              <w:pStyle w:val="TableParagraph"/>
              <w:spacing w:before="105"/>
              <w:ind w:left="119"/>
              <w:rPr>
                <w:sz w:val="16"/>
              </w:rPr>
            </w:pPr>
            <w:r>
              <w:rPr>
                <w:sz w:val="16"/>
              </w:rPr>
              <w:t>(-)</w:t>
            </w:r>
          </w:p>
        </w:tc>
        <w:tc>
          <w:tcPr>
            <w:tcW w:w="371" w:type="dxa"/>
            <w:tcBorders>
              <w:top w:val="single" w:sz="4" w:space="0" w:color="000000"/>
              <w:bottom w:val="single" w:sz="4" w:space="0" w:color="000000"/>
            </w:tcBorders>
          </w:tcPr>
          <w:p>
            <w:pPr>
              <w:pStyle w:val="TableParagraph"/>
              <w:spacing w:before="105"/>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5"/>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5"/>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5"/>
              <w:ind w:left="134"/>
              <w:rPr>
                <w:sz w:val="16"/>
              </w:rPr>
            </w:pPr>
            <w:r>
              <w:rPr>
                <w:sz w:val="16"/>
              </w:rPr>
              <w:t>(-)</w:t>
            </w:r>
          </w:p>
        </w:tc>
        <w:tc>
          <w:tcPr>
            <w:tcW w:w="394" w:type="dxa"/>
            <w:tcBorders>
              <w:top w:val="single" w:sz="4" w:space="0" w:color="000000"/>
              <w:bottom w:val="single" w:sz="4" w:space="0" w:color="000000"/>
            </w:tcBorders>
          </w:tcPr>
          <w:p>
            <w:pPr>
              <w:pStyle w:val="TableParagraph"/>
              <w:spacing w:before="105"/>
              <w:ind w:left="106"/>
              <w:rPr>
                <w:sz w:val="16"/>
              </w:rPr>
            </w:pPr>
            <w:r>
              <w:rPr>
                <w:sz w:val="16"/>
              </w:rPr>
              <w:t>(-)</w:t>
            </w:r>
          </w:p>
        </w:tc>
        <w:tc>
          <w:tcPr>
            <w:tcW w:w="448" w:type="dxa"/>
            <w:tcBorders>
              <w:top w:val="single" w:sz="4" w:space="0" w:color="000000"/>
              <w:bottom w:val="single" w:sz="4" w:space="0" w:color="000000"/>
            </w:tcBorders>
          </w:tcPr>
          <w:p>
            <w:pPr>
              <w:pStyle w:val="TableParagraph"/>
              <w:spacing w:before="105"/>
              <w:ind w:left="111"/>
              <w:rPr>
                <w:sz w:val="16"/>
              </w:rPr>
            </w:pPr>
            <w:r>
              <w:rPr>
                <w:sz w:val="16"/>
              </w:rPr>
              <w:t>(-)</w:t>
            </w:r>
          </w:p>
        </w:tc>
        <w:tc>
          <w:tcPr>
            <w:tcW w:w="449" w:type="dxa"/>
            <w:tcBorders>
              <w:top w:val="single" w:sz="4" w:space="0" w:color="000000"/>
              <w:bottom w:val="single" w:sz="4" w:space="0" w:color="000000"/>
            </w:tcBorders>
          </w:tcPr>
          <w:p>
            <w:pPr>
              <w:pStyle w:val="TableParagraph"/>
              <w:spacing w:before="105"/>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310" w:hRule="exact"/>
        </w:trPr>
        <w:tc>
          <w:tcPr>
            <w:tcW w:w="340" w:type="dxa"/>
            <w:tcBorders>
              <w:top w:val="single" w:sz="4" w:space="0" w:color="000000"/>
              <w:bottom w:val="single" w:sz="4" w:space="0" w:color="000000"/>
            </w:tcBorders>
          </w:tcPr>
          <w:p>
            <w:pPr>
              <w:pStyle w:val="TableParagraph"/>
              <w:spacing w:before="102"/>
              <w:ind w:left="18" w:right="74"/>
              <w:jc w:val="center"/>
              <w:rPr>
                <w:sz w:val="16"/>
              </w:rPr>
            </w:pPr>
            <w:r>
              <w:rPr>
                <w:sz w:val="16"/>
              </w:rPr>
              <w:t>(-)</w:t>
            </w:r>
          </w:p>
        </w:tc>
        <w:tc>
          <w:tcPr>
            <w:tcW w:w="377" w:type="dxa"/>
            <w:tcBorders>
              <w:top w:val="single" w:sz="4" w:space="0" w:color="000000"/>
              <w:bottom w:val="single" w:sz="4" w:space="0" w:color="000000"/>
            </w:tcBorders>
          </w:tcPr>
          <w:p>
            <w:pPr>
              <w:pStyle w:val="TableParagraph"/>
              <w:spacing w:before="102"/>
              <w:ind w:left="97"/>
              <w:rPr>
                <w:sz w:val="16"/>
              </w:rPr>
            </w:pPr>
            <w:r>
              <w:rPr>
                <w:sz w:val="16"/>
              </w:rPr>
              <w:t>(-)</w:t>
            </w:r>
          </w:p>
        </w:tc>
        <w:tc>
          <w:tcPr>
            <w:tcW w:w="406" w:type="dxa"/>
            <w:tcBorders>
              <w:top w:val="single" w:sz="4" w:space="0" w:color="000000"/>
              <w:bottom w:val="single" w:sz="4" w:space="0" w:color="000000"/>
            </w:tcBorders>
          </w:tcPr>
          <w:p>
            <w:pPr>
              <w:pStyle w:val="TableParagraph"/>
              <w:spacing w:before="102"/>
              <w:ind w:left="104"/>
              <w:rPr>
                <w:sz w:val="16"/>
              </w:rPr>
            </w:pPr>
            <w:r>
              <w:rPr>
                <w:sz w:val="16"/>
              </w:rPr>
              <w:t>(-)</w:t>
            </w:r>
          </w:p>
        </w:tc>
        <w:tc>
          <w:tcPr>
            <w:tcW w:w="436" w:type="dxa"/>
            <w:tcBorders>
              <w:top w:val="single" w:sz="4" w:space="0" w:color="000000"/>
              <w:bottom w:val="single" w:sz="4" w:space="0" w:color="000000"/>
            </w:tcBorders>
          </w:tcPr>
          <w:p>
            <w:pPr>
              <w:pStyle w:val="TableParagraph"/>
              <w:spacing w:before="102"/>
              <w:ind w:left="0" w:right="104"/>
              <w:jc w:val="right"/>
              <w:rPr>
                <w:sz w:val="16"/>
              </w:rPr>
            </w:pPr>
            <w:r>
              <w:rPr>
                <w:sz w:val="16"/>
              </w:rPr>
              <w:t>(+)</w:t>
            </w:r>
          </w:p>
        </w:tc>
        <w:tc>
          <w:tcPr>
            <w:tcW w:w="413" w:type="dxa"/>
            <w:tcBorders>
              <w:top w:val="single" w:sz="4" w:space="0" w:color="000000"/>
              <w:bottom w:val="single" w:sz="4" w:space="0" w:color="000000"/>
            </w:tcBorders>
          </w:tcPr>
          <w:p>
            <w:pPr>
              <w:pStyle w:val="TableParagraph"/>
              <w:spacing w:before="102"/>
              <w:ind w:left="59" w:right="109"/>
              <w:jc w:val="center"/>
              <w:rPr>
                <w:sz w:val="16"/>
              </w:rPr>
            </w:pPr>
            <w:r>
              <w:rPr>
                <w:sz w:val="16"/>
              </w:rPr>
              <w:t>(-)</w:t>
            </w:r>
          </w:p>
        </w:tc>
        <w:tc>
          <w:tcPr>
            <w:tcW w:w="422" w:type="dxa"/>
            <w:tcBorders>
              <w:top w:val="single" w:sz="4" w:space="0" w:color="000000"/>
              <w:bottom w:val="single" w:sz="4" w:space="0" w:color="000000"/>
            </w:tcBorders>
          </w:tcPr>
          <w:p>
            <w:pPr>
              <w:pStyle w:val="TableParagraph"/>
              <w:spacing w:before="102"/>
              <w:ind w:left="130"/>
              <w:rPr>
                <w:sz w:val="16"/>
              </w:rPr>
            </w:pPr>
            <w:r>
              <w:rPr>
                <w:sz w:val="16"/>
              </w:rPr>
              <w:t>(-)</w:t>
            </w:r>
          </w:p>
        </w:tc>
        <w:tc>
          <w:tcPr>
            <w:tcW w:w="412" w:type="dxa"/>
            <w:tcBorders>
              <w:top w:val="single" w:sz="4" w:space="0" w:color="000000"/>
              <w:bottom w:val="single" w:sz="4" w:space="0" w:color="000000"/>
            </w:tcBorders>
          </w:tcPr>
          <w:p>
            <w:pPr>
              <w:pStyle w:val="TableParagraph"/>
              <w:spacing w:before="102"/>
              <w:ind w:left="116"/>
              <w:rPr>
                <w:sz w:val="16"/>
              </w:rPr>
            </w:pPr>
            <w:r>
              <w:rPr>
                <w:sz w:val="16"/>
              </w:rPr>
              <w:t>(+)</w:t>
            </w:r>
          </w:p>
        </w:tc>
        <w:tc>
          <w:tcPr>
            <w:tcW w:w="436" w:type="dxa"/>
            <w:tcBorders>
              <w:top w:val="single" w:sz="4" w:space="0" w:color="000000"/>
              <w:bottom w:val="single" w:sz="4" w:space="0" w:color="000000"/>
            </w:tcBorders>
          </w:tcPr>
          <w:p>
            <w:pPr>
              <w:pStyle w:val="TableParagraph"/>
              <w:spacing w:before="102"/>
              <w:ind w:left="120"/>
              <w:rPr>
                <w:sz w:val="16"/>
              </w:rPr>
            </w:pPr>
            <w:r>
              <w:rPr>
                <w:sz w:val="16"/>
              </w:rPr>
              <w:t>(-)</w:t>
            </w:r>
          </w:p>
        </w:tc>
        <w:tc>
          <w:tcPr>
            <w:tcW w:w="446" w:type="dxa"/>
            <w:tcBorders>
              <w:top w:val="single" w:sz="4" w:space="0" w:color="000000"/>
              <w:bottom w:val="single" w:sz="4" w:space="0" w:color="000000"/>
            </w:tcBorders>
          </w:tcPr>
          <w:p>
            <w:pPr>
              <w:pStyle w:val="TableParagraph"/>
              <w:spacing w:before="102"/>
              <w:ind w:left="96" w:right="58"/>
              <w:jc w:val="center"/>
              <w:rPr>
                <w:sz w:val="16"/>
              </w:rPr>
            </w:pPr>
            <w:r>
              <w:rPr>
                <w:sz w:val="16"/>
              </w:rPr>
              <w:t>(-)</w:t>
            </w:r>
          </w:p>
        </w:tc>
        <w:tc>
          <w:tcPr>
            <w:tcW w:w="396" w:type="dxa"/>
            <w:tcBorders>
              <w:top w:val="single" w:sz="4" w:space="0" w:color="000000"/>
              <w:bottom w:val="single" w:sz="4" w:space="0" w:color="000000"/>
            </w:tcBorders>
          </w:tcPr>
          <w:p>
            <w:pPr>
              <w:pStyle w:val="TableParagraph"/>
              <w:spacing w:before="102"/>
              <w:ind w:left="82" w:right="96"/>
              <w:jc w:val="center"/>
              <w:rPr>
                <w:sz w:val="16"/>
              </w:rPr>
            </w:pPr>
            <w:r>
              <w:rPr>
                <w:sz w:val="16"/>
              </w:rPr>
              <w:t>(+)</w:t>
            </w:r>
          </w:p>
        </w:tc>
        <w:tc>
          <w:tcPr>
            <w:tcW w:w="401" w:type="dxa"/>
            <w:tcBorders>
              <w:top w:val="single" w:sz="4" w:space="0" w:color="000000"/>
              <w:bottom w:val="single" w:sz="4" w:space="0" w:color="000000"/>
            </w:tcBorders>
          </w:tcPr>
          <w:p>
            <w:pPr>
              <w:pStyle w:val="TableParagraph"/>
              <w:spacing w:before="102"/>
              <w:ind w:left="72" w:right="86"/>
              <w:jc w:val="center"/>
              <w:rPr>
                <w:sz w:val="16"/>
              </w:rPr>
            </w:pPr>
            <w:r>
              <w:rPr>
                <w:sz w:val="16"/>
              </w:rPr>
              <w:t>(-)</w:t>
            </w:r>
          </w:p>
        </w:tc>
        <w:tc>
          <w:tcPr>
            <w:tcW w:w="334" w:type="dxa"/>
            <w:tcBorders>
              <w:top w:val="single" w:sz="4" w:space="0" w:color="000000"/>
              <w:bottom w:val="single" w:sz="4" w:space="0" w:color="000000"/>
            </w:tcBorders>
          </w:tcPr>
          <w:p>
            <w:pPr>
              <w:pStyle w:val="TableParagraph"/>
              <w:spacing w:before="102"/>
              <w:ind w:left="86" w:right="60"/>
              <w:jc w:val="center"/>
              <w:rPr>
                <w:sz w:val="16"/>
              </w:rPr>
            </w:pPr>
            <w:r>
              <w:rPr>
                <w:sz w:val="16"/>
              </w:rPr>
              <w:t>(-)</w:t>
            </w:r>
          </w:p>
        </w:tc>
        <w:tc>
          <w:tcPr>
            <w:tcW w:w="375" w:type="dxa"/>
            <w:tcBorders>
              <w:top w:val="single" w:sz="4" w:space="0" w:color="000000"/>
              <w:bottom w:val="single" w:sz="4" w:space="0" w:color="000000"/>
            </w:tcBorders>
          </w:tcPr>
          <w:p>
            <w:pPr>
              <w:pStyle w:val="TableParagraph"/>
              <w:spacing w:before="102"/>
              <w:ind w:left="80"/>
              <w:rPr>
                <w:sz w:val="16"/>
              </w:rPr>
            </w:pPr>
            <w:r>
              <w:rPr>
                <w:sz w:val="16"/>
              </w:rPr>
              <w:t>(-)</w:t>
            </w:r>
          </w:p>
        </w:tc>
        <w:tc>
          <w:tcPr>
            <w:tcW w:w="389" w:type="dxa"/>
            <w:tcBorders>
              <w:top w:val="single" w:sz="4" w:space="0" w:color="000000"/>
              <w:bottom w:val="single" w:sz="4" w:space="0" w:color="000000"/>
            </w:tcBorders>
          </w:tcPr>
          <w:p>
            <w:pPr>
              <w:pStyle w:val="TableParagraph"/>
              <w:spacing w:before="102"/>
              <w:ind w:left="119"/>
              <w:rPr>
                <w:sz w:val="16"/>
              </w:rPr>
            </w:pPr>
            <w:r>
              <w:rPr>
                <w:sz w:val="16"/>
              </w:rPr>
              <w:t>(+)</w:t>
            </w:r>
          </w:p>
        </w:tc>
        <w:tc>
          <w:tcPr>
            <w:tcW w:w="371" w:type="dxa"/>
            <w:tcBorders>
              <w:top w:val="single" w:sz="4" w:space="0" w:color="000000"/>
              <w:bottom w:val="single" w:sz="4" w:space="0" w:color="000000"/>
            </w:tcBorders>
          </w:tcPr>
          <w:p>
            <w:pPr>
              <w:pStyle w:val="TableParagraph"/>
              <w:spacing w:before="102"/>
              <w:ind w:left="46" w:right="80"/>
              <w:jc w:val="center"/>
              <w:rPr>
                <w:sz w:val="16"/>
              </w:rPr>
            </w:pPr>
            <w:r>
              <w:rPr>
                <w:sz w:val="16"/>
              </w:rPr>
              <w:t>(-)</w:t>
            </w:r>
          </w:p>
        </w:tc>
        <w:tc>
          <w:tcPr>
            <w:tcW w:w="432" w:type="dxa"/>
            <w:tcBorders>
              <w:top w:val="single" w:sz="4" w:space="0" w:color="000000"/>
              <w:bottom w:val="single" w:sz="4" w:space="0" w:color="000000"/>
            </w:tcBorders>
          </w:tcPr>
          <w:p>
            <w:pPr>
              <w:pStyle w:val="TableParagraph"/>
              <w:spacing w:before="102"/>
              <w:ind w:left="19" w:right="97"/>
              <w:jc w:val="center"/>
              <w:rPr>
                <w:sz w:val="16"/>
              </w:rPr>
            </w:pPr>
            <w:r>
              <w:rPr>
                <w:sz w:val="16"/>
              </w:rPr>
              <w:t>(-)</w:t>
            </w:r>
          </w:p>
        </w:tc>
        <w:tc>
          <w:tcPr>
            <w:tcW w:w="464" w:type="dxa"/>
            <w:tcBorders>
              <w:top w:val="single" w:sz="4" w:space="0" w:color="000000"/>
              <w:bottom w:val="single" w:sz="4" w:space="0" w:color="000000"/>
            </w:tcBorders>
          </w:tcPr>
          <w:p>
            <w:pPr>
              <w:pStyle w:val="TableParagraph"/>
              <w:spacing w:before="102"/>
              <w:ind w:left="133" w:right="113"/>
              <w:jc w:val="center"/>
              <w:rPr>
                <w:sz w:val="16"/>
              </w:rPr>
            </w:pPr>
            <w:r>
              <w:rPr>
                <w:sz w:val="16"/>
              </w:rPr>
              <w:t>(+)</w:t>
            </w:r>
          </w:p>
        </w:tc>
        <w:tc>
          <w:tcPr>
            <w:tcW w:w="416" w:type="dxa"/>
            <w:tcBorders>
              <w:top w:val="single" w:sz="4" w:space="0" w:color="000000"/>
              <w:bottom w:val="single" w:sz="4" w:space="0" w:color="000000"/>
            </w:tcBorders>
          </w:tcPr>
          <w:p>
            <w:pPr>
              <w:pStyle w:val="TableParagraph"/>
              <w:spacing w:before="102"/>
              <w:ind w:left="134"/>
              <w:rPr>
                <w:sz w:val="16"/>
              </w:rPr>
            </w:pPr>
            <w:r>
              <w:rPr>
                <w:sz w:val="16"/>
              </w:rPr>
              <w:t>(-)</w:t>
            </w:r>
          </w:p>
        </w:tc>
        <w:tc>
          <w:tcPr>
            <w:tcW w:w="394" w:type="dxa"/>
            <w:tcBorders>
              <w:top w:val="single" w:sz="4" w:space="0" w:color="000000"/>
              <w:bottom w:val="single" w:sz="4" w:space="0" w:color="000000"/>
            </w:tcBorders>
          </w:tcPr>
          <w:p>
            <w:pPr>
              <w:pStyle w:val="TableParagraph"/>
              <w:spacing w:before="102"/>
              <w:ind w:left="106"/>
              <w:rPr>
                <w:sz w:val="16"/>
              </w:rPr>
            </w:pPr>
            <w:r>
              <w:rPr>
                <w:sz w:val="16"/>
              </w:rPr>
              <w:t>(-)</w:t>
            </w:r>
          </w:p>
        </w:tc>
        <w:tc>
          <w:tcPr>
            <w:tcW w:w="448" w:type="dxa"/>
            <w:tcBorders>
              <w:top w:val="single" w:sz="4" w:space="0" w:color="000000"/>
              <w:bottom w:val="single" w:sz="4" w:space="0" w:color="000000"/>
            </w:tcBorders>
          </w:tcPr>
          <w:p>
            <w:pPr>
              <w:pStyle w:val="TableParagraph"/>
              <w:spacing w:before="102"/>
              <w:ind w:left="111"/>
              <w:rPr>
                <w:sz w:val="16"/>
              </w:rPr>
            </w:pPr>
            <w:r>
              <w:rPr>
                <w:sz w:val="16"/>
              </w:rPr>
              <w:t>(-)</w:t>
            </w:r>
          </w:p>
        </w:tc>
        <w:tc>
          <w:tcPr>
            <w:tcW w:w="449" w:type="dxa"/>
            <w:tcBorders>
              <w:top w:val="single" w:sz="4" w:space="0" w:color="000000"/>
              <w:bottom w:val="single" w:sz="4" w:space="0" w:color="000000"/>
            </w:tcBorders>
          </w:tcPr>
          <w:p>
            <w:pPr>
              <w:pStyle w:val="TableParagraph"/>
              <w:spacing w:before="102"/>
              <w:ind w:left="0" w:right="110"/>
              <w:jc w:val="right"/>
              <w:rPr>
                <w:sz w:val="16"/>
              </w:rPr>
            </w:pPr>
            <w:r>
              <w:rPr>
                <w:sz w:val="16"/>
              </w:rPr>
              <w:t>(+)</w:t>
            </w:r>
          </w:p>
        </w:tc>
        <w:tc>
          <w:tcPr>
            <w:tcW w:w="492" w:type="dxa"/>
            <w:tcBorders>
              <w:top w:val="single" w:sz="4" w:space="0" w:color="000000"/>
              <w:bottom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bottom w:val="single" w:sz="4" w:space="0" w:color="000000"/>
            </w:tcBorders>
          </w:tcPr>
          <w:p>
            <w:pPr>
              <w:pStyle w:val="TableParagraph"/>
              <w:spacing w:before="51"/>
              <w:ind w:left="0" w:right="149"/>
              <w:jc w:val="right"/>
              <w:rPr>
                <w:b/>
                <w:sz w:val="16"/>
              </w:rPr>
            </w:pPr>
            <w:r>
              <w:rPr>
                <w:b/>
                <w:sz w:val="16"/>
              </w:rPr>
              <w:t>1.4</w:t>
            </w:r>
          </w:p>
        </w:tc>
      </w:tr>
      <w:tr>
        <w:trPr>
          <w:trHeight w:val="402" w:hRule="exact"/>
        </w:trPr>
        <w:tc>
          <w:tcPr>
            <w:tcW w:w="340" w:type="dxa"/>
            <w:tcBorders>
              <w:top w:val="single" w:sz="4" w:space="0" w:color="000000"/>
            </w:tcBorders>
          </w:tcPr>
          <w:p>
            <w:pPr>
              <w:pStyle w:val="TableParagraph"/>
              <w:spacing w:before="104"/>
              <w:ind w:left="18" w:right="74"/>
              <w:jc w:val="center"/>
              <w:rPr>
                <w:sz w:val="16"/>
              </w:rPr>
            </w:pPr>
            <w:r>
              <w:rPr>
                <w:sz w:val="16"/>
              </w:rPr>
              <w:t>(-)</w:t>
            </w:r>
          </w:p>
        </w:tc>
        <w:tc>
          <w:tcPr>
            <w:tcW w:w="377" w:type="dxa"/>
            <w:tcBorders>
              <w:top w:val="single" w:sz="4" w:space="0" w:color="000000"/>
            </w:tcBorders>
          </w:tcPr>
          <w:p>
            <w:pPr>
              <w:pStyle w:val="TableParagraph"/>
              <w:spacing w:before="104"/>
              <w:ind w:left="97"/>
              <w:rPr>
                <w:sz w:val="16"/>
              </w:rPr>
            </w:pPr>
            <w:r>
              <w:rPr>
                <w:sz w:val="16"/>
              </w:rPr>
              <w:t>(-)</w:t>
            </w:r>
          </w:p>
        </w:tc>
        <w:tc>
          <w:tcPr>
            <w:tcW w:w="406" w:type="dxa"/>
            <w:tcBorders>
              <w:top w:val="single" w:sz="4" w:space="0" w:color="000000"/>
            </w:tcBorders>
          </w:tcPr>
          <w:p>
            <w:pPr>
              <w:pStyle w:val="TableParagraph"/>
              <w:spacing w:before="104"/>
              <w:ind w:left="104"/>
              <w:rPr>
                <w:sz w:val="16"/>
              </w:rPr>
            </w:pPr>
            <w:r>
              <w:rPr>
                <w:sz w:val="16"/>
              </w:rPr>
              <w:t>(-)</w:t>
            </w:r>
          </w:p>
        </w:tc>
        <w:tc>
          <w:tcPr>
            <w:tcW w:w="436" w:type="dxa"/>
            <w:tcBorders>
              <w:top w:val="single" w:sz="4" w:space="0" w:color="000000"/>
            </w:tcBorders>
          </w:tcPr>
          <w:p>
            <w:pPr>
              <w:pStyle w:val="TableParagraph"/>
              <w:spacing w:before="104"/>
              <w:ind w:left="0" w:right="104"/>
              <w:jc w:val="right"/>
              <w:rPr>
                <w:sz w:val="16"/>
              </w:rPr>
            </w:pPr>
            <w:r>
              <w:rPr>
                <w:sz w:val="16"/>
              </w:rPr>
              <w:t>(+)</w:t>
            </w:r>
          </w:p>
        </w:tc>
        <w:tc>
          <w:tcPr>
            <w:tcW w:w="413" w:type="dxa"/>
            <w:tcBorders>
              <w:top w:val="single" w:sz="4" w:space="0" w:color="000000"/>
            </w:tcBorders>
          </w:tcPr>
          <w:p>
            <w:pPr>
              <w:pStyle w:val="TableParagraph"/>
              <w:spacing w:before="104"/>
              <w:ind w:left="59" w:right="109"/>
              <w:jc w:val="center"/>
              <w:rPr>
                <w:sz w:val="16"/>
              </w:rPr>
            </w:pPr>
            <w:r>
              <w:rPr>
                <w:sz w:val="16"/>
              </w:rPr>
              <w:t>(-)</w:t>
            </w:r>
          </w:p>
        </w:tc>
        <w:tc>
          <w:tcPr>
            <w:tcW w:w="422" w:type="dxa"/>
            <w:tcBorders>
              <w:top w:val="single" w:sz="4" w:space="0" w:color="000000"/>
            </w:tcBorders>
          </w:tcPr>
          <w:p>
            <w:pPr>
              <w:pStyle w:val="TableParagraph"/>
              <w:spacing w:before="104"/>
              <w:ind w:left="130"/>
              <w:rPr>
                <w:sz w:val="16"/>
              </w:rPr>
            </w:pPr>
            <w:r>
              <w:rPr>
                <w:sz w:val="16"/>
              </w:rPr>
              <w:t>(-)</w:t>
            </w:r>
          </w:p>
        </w:tc>
        <w:tc>
          <w:tcPr>
            <w:tcW w:w="412" w:type="dxa"/>
            <w:tcBorders>
              <w:top w:val="single" w:sz="4" w:space="0" w:color="000000"/>
            </w:tcBorders>
          </w:tcPr>
          <w:p>
            <w:pPr>
              <w:pStyle w:val="TableParagraph"/>
              <w:spacing w:before="104"/>
              <w:ind w:left="116"/>
              <w:rPr>
                <w:sz w:val="16"/>
              </w:rPr>
            </w:pPr>
            <w:r>
              <w:rPr>
                <w:sz w:val="16"/>
              </w:rPr>
              <w:t>(-)</w:t>
            </w:r>
          </w:p>
        </w:tc>
        <w:tc>
          <w:tcPr>
            <w:tcW w:w="436" w:type="dxa"/>
            <w:tcBorders>
              <w:top w:val="single" w:sz="4" w:space="0" w:color="000000"/>
            </w:tcBorders>
          </w:tcPr>
          <w:p>
            <w:pPr>
              <w:pStyle w:val="TableParagraph"/>
              <w:spacing w:before="104"/>
              <w:ind w:left="120"/>
              <w:rPr>
                <w:sz w:val="16"/>
              </w:rPr>
            </w:pPr>
            <w:r>
              <w:rPr>
                <w:sz w:val="16"/>
              </w:rPr>
              <w:t>(-)</w:t>
            </w:r>
          </w:p>
        </w:tc>
        <w:tc>
          <w:tcPr>
            <w:tcW w:w="446" w:type="dxa"/>
            <w:tcBorders>
              <w:top w:val="single" w:sz="4" w:space="0" w:color="000000"/>
            </w:tcBorders>
          </w:tcPr>
          <w:p>
            <w:pPr>
              <w:pStyle w:val="TableParagraph"/>
              <w:spacing w:before="104"/>
              <w:ind w:left="96" w:right="58"/>
              <w:jc w:val="center"/>
              <w:rPr>
                <w:sz w:val="16"/>
              </w:rPr>
            </w:pPr>
            <w:r>
              <w:rPr>
                <w:sz w:val="16"/>
              </w:rPr>
              <w:t>(-)</w:t>
            </w:r>
          </w:p>
        </w:tc>
        <w:tc>
          <w:tcPr>
            <w:tcW w:w="396" w:type="dxa"/>
            <w:tcBorders>
              <w:top w:val="single" w:sz="4" w:space="0" w:color="000000"/>
            </w:tcBorders>
          </w:tcPr>
          <w:p>
            <w:pPr>
              <w:pStyle w:val="TableParagraph"/>
              <w:spacing w:before="104"/>
              <w:ind w:left="82" w:right="96"/>
              <w:jc w:val="center"/>
              <w:rPr>
                <w:sz w:val="16"/>
              </w:rPr>
            </w:pPr>
            <w:r>
              <w:rPr>
                <w:sz w:val="16"/>
              </w:rPr>
              <w:t>(+)</w:t>
            </w:r>
          </w:p>
        </w:tc>
        <w:tc>
          <w:tcPr>
            <w:tcW w:w="401" w:type="dxa"/>
            <w:tcBorders>
              <w:top w:val="single" w:sz="4" w:space="0" w:color="000000"/>
            </w:tcBorders>
          </w:tcPr>
          <w:p>
            <w:pPr>
              <w:pStyle w:val="TableParagraph"/>
              <w:spacing w:before="104"/>
              <w:ind w:left="72" w:right="86"/>
              <w:jc w:val="center"/>
              <w:rPr>
                <w:sz w:val="16"/>
              </w:rPr>
            </w:pPr>
            <w:r>
              <w:rPr>
                <w:sz w:val="16"/>
              </w:rPr>
              <w:t>(-)</w:t>
            </w:r>
          </w:p>
        </w:tc>
        <w:tc>
          <w:tcPr>
            <w:tcW w:w="334" w:type="dxa"/>
            <w:tcBorders>
              <w:top w:val="single" w:sz="4" w:space="0" w:color="000000"/>
            </w:tcBorders>
          </w:tcPr>
          <w:p>
            <w:pPr>
              <w:pStyle w:val="TableParagraph"/>
              <w:spacing w:before="104"/>
              <w:ind w:left="86" w:right="60"/>
              <w:jc w:val="center"/>
              <w:rPr>
                <w:sz w:val="16"/>
              </w:rPr>
            </w:pPr>
            <w:r>
              <w:rPr>
                <w:sz w:val="16"/>
              </w:rPr>
              <w:t>(-)</w:t>
            </w:r>
          </w:p>
        </w:tc>
        <w:tc>
          <w:tcPr>
            <w:tcW w:w="375" w:type="dxa"/>
            <w:tcBorders>
              <w:top w:val="single" w:sz="4" w:space="0" w:color="000000"/>
            </w:tcBorders>
          </w:tcPr>
          <w:p>
            <w:pPr>
              <w:pStyle w:val="TableParagraph"/>
              <w:spacing w:before="104"/>
              <w:ind w:left="80"/>
              <w:rPr>
                <w:sz w:val="16"/>
              </w:rPr>
            </w:pPr>
            <w:r>
              <w:rPr>
                <w:sz w:val="16"/>
              </w:rPr>
              <w:t>(+)</w:t>
            </w:r>
          </w:p>
        </w:tc>
        <w:tc>
          <w:tcPr>
            <w:tcW w:w="389" w:type="dxa"/>
            <w:tcBorders>
              <w:top w:val="single" w:sz="4" w:space="0" w:color="000000"/>
            </w:tcBorders>
          </w:tcPr>
          <w:p>
            <w:pPr>
              <w:pStyle w:val="TableParagraph"/>
              <w:spacing w:before="104"/>
              <w:ind w:left="119"/>
              <w:rPr>
                <w:sz w:val="16"/>
              </w:rPr>
            </w:pPr>
            <w:r>
              <w:rPr>
                <w:sz w:val="16"/>
              </w:rPr>
              <w:t>(+)</w:t>
            </w:r>
          </w:p>
        </w:tc>
        <w:tc>
          <w:tcPr>
            <w:tcW w:w="371" w:type="dxa"/>
            <w:tcBorders>
              <w:top w:val="single" w:sz="4" w:space="0" w:color="000000"/>
            </w:tcBorders>
          </w:tcPr>
          <w:p>
            <w:pPr>
              <w:pStyle w:val="TableParagraph"/>
              <w:spacing w:before="104"/>
              <w:ind w:left="46" w:right="80"/>
              <w:jc w:val="center"/>
              <w:rPr>
                <w:sz w:val="16"/>
              </w:rPr>
            </w:pPr>
            <w:r>
              <w:rPr>
                <w:sz w:val="16"/>
              </w:rPr>
              <w:t>(-)</w:t>
            </w:r>
          </w:p>
        </w:tc>
        <w:tc>
          <w:tcPr>
            <w:tcW w:w="432" w:type="dxa"/>
            <w:tcBorders>
              <w:top w:val="single" w:sz="4" w:space="0" w:color="000000"/>
            </w:tcBorders>
          </w:tcPr>
          <w:p>
            <w:pPr>
              <w:pStyle w:val="TableParagraph"/>
              <w:spacing w:before="104"/>
              <w:ind w:left="19" w:right="97"/>
              <w:jc w:val="center"/>
              <w:rPr>
                <w:sz w:val="16"/>
              </w:rPr>
            </w:pPr>
            <w:r>
              <w:rPr>
                <w:sz w:val="16"/>
              </w:rPr>
              <w:t>(-)</w:t>
            </w:r>
          </w:p>
        </w:tc>
        <w:tc>
          <w:tcPr>
            <w:tcW w:w="464" w:type="dxa"/>
            <w:tcBorders>
              <w:top w:val="single" w:sz="4" w:space="0" w:color="000000"/>
            </w:tcBorders>
          </w:tcPr>
          <w:p>
            <w:pPr>
              <w:pStyle w:val="TableParagraph"/>
              <w:spacing w:before="104"/>
              <w:ind w:left="133" w:right="113"/>
              <w:jc w:val="center"/>
              <w:rPr>
                <w:sz w:val="16"/>
              </w:rPr>
            </w:pPr>
            <w:r>
              <w:rPr>
                <w:sz w:val="16"/>
              </w:rPr>
              <w:t>(+)</w:t>
            </w:r>
          </w:p>
        </w:tc>
        <w:tc>
          <w:tcPr>
            <w:tcW w:w="416" w:type="dxa"/>
            <w:tcBorders>
              <w:top w:val="single" w:sz="4" w:space="0" w:color="000000"/>
            </w:tcBorders>
          </w:tcPr>
          <w:p>
            <w:pPr>
              <w:pStyle w:val="TableParagraph"/>
              <w:spacing w:before="104"/>
              <w:ind w:left="134"/>
              <w:rPr>
                <w:sz w:val="16"/>
              </w:rPr>
            </w:pPr>
            <w:r>
              <w:rPr>
                <w:sz w:val="16"/>
              </w:rPr>
              <w:t>(-)</w:t>
            </w:r>
          </w:p>
        </w:tc>
        <w:tc>
          <w:tcPr>
            <w:tcW w:w="394" w:type="dxa"/>
            <w:tcBorders>
              <w:top w:val="single" w:sz="4" w:space="0" w:color="000000"/>
            </w:tcBorders>
          </w:tcPr>
          <w:p>
            <w:pPr>
              <w:pStyle w:val="TableParagraph"/>
              <w:spacing w:before="104"/>
              <w:ind w:left="106"/>
              <w:rPr>
                <w:sz w:val="16"/>
              </w:rPr>
            </w:pPr>
            <w:r>
              <w:rPr>
                <w:sz w:val="16"/>
              </w:rPr>
              <w:t>(-)</w:t>
            </w:r>
          </w:p>
        </w:tc>
        <w:tc>
          <w:tcPr>
            <w:tcW w:w="448" w:type="dxa"/>
            <w:tcBorders>
              <w:top w:val="single" w:sz="4" w:space="0" w:color="000000"/>
            </w:tcBorders>
          </w:tcPr>
          <w:p>
            <w:pPr>
              <w:pStyle w:val="TableParagraph"/>
              <w:spacing w:before="104"/>
              <w:ind w:left="111"/>
              <w:rPr>
                <w:sz w:val="16"/>
              </w:rPr>
            </w:pPr>
            <w:r>
              <w:rPr>
                <w:sz w:val="16"/>
              </w:rPr>
              <w:t>(-)</w:t>
            </w:r>
          </w:p>
        </w:tc>
        <w:tc>
          <w:tcPr>
            <w:tcW w:w="449" w:type="dxa"/>
            <w:tcBorders>
              <w:top w:val="single" w:sz="4" w:space="0" w:color="000000"/>
            </w:tcBorders>
          </w:tcPr>
          <w:p>
            <w:pPr>
              <w:pStyle w:val="TableParagraph"/>
              <w:spacing w:before="104"/>
              <w:ind w:left="0" w:right="110"/>
              <w:jc w:val="right"/>
              <w:rPr>
                <w:sz w:val="16"/>
              </w:rPr>
            </w:pPr>
            <w:r>
              <w:rPr>
                <w:sz w:val="16"/>
              </w:rPr>
              <w:t>(+)</w:t>
            </w:r>
          </w:p>
        </w:tc>
        <w:tc>
          <w:tcPr>
            <w:tcW w:w="492" w:type="dxa"/>
            <w:tcBorders>
              <w:top w:val="single" w:sz="4" w:space="0" w:color="000000"/>
            </w:tcBorders>
          </w:tcPr>
          <w:p>
            <w:pPr>
              <w:pStyle w:val="TableParagraph"/>
              <w:spacing w:before="51"/>
              <w:ind w:left="112"/>
              <w:rPr>
                <w:b/>
                <w:sz w:val="16"/>
              </w:rPr>
            </w:pPr>
            <w:r>
              <w:rPr>
                <w:b/>
                <w:w w:val="100"/>
                <w:sz w:val="16"/>
              </w:rPr>
              <w:t>1</w:t>
            </w:r>
          </w:p>
        </w:tc>
        <w:tc>
          <w:tcPr>
            <w:tcW w:w="655" w:type="dxa"/>
            <w:tcBorders>
              <w:top w:val="single" w:sz="4" w:space="0" w:color="000000"/>
            </w:tcBorders>
          </w:tcPr>
          <w:p>
            <w:pPr>
              <w:pStyle w:val="TableParagraph"/>
              <w:spacing w:before="51"/>
              <w:ind w:left="0" w:right="149"/>
              <w:jc w:val="right"/>
              <w:rPr>
                <w:b/>
                <w:sz w:val="16"/>
              </w:rPr>
            </w:pPr>
            <w:r>
              <w:rPr>
                <w:b/>
                <w:sz w:val="16"/>
              </w:rPr>
              <w:t>1.4</w:t>
            </w:r>
          </w:p>
        </w:tc>
      </w:tr>
    </w:tbl>
    <w:p>
      <w:pPr>
        <w:spacing w:after="0"/>
        <w:jc w:val="right"/>
        <w:rPr>
          <w:sz w:val="16"/>
        </w:rPr>
        <w:sectPr>
          <w:type w:val="continuous"/>
          <w:pgSz w:w="12240" w:h="15840"/>
          <w:pgMar w:top="1500" w:bottom="280" w:left="1320" w:right="980"/>
        </w:sectPr>
      </w:pPr>
    </w:p>
    <w:p>
      <w:pPr>
        <w:pStyle w:val="BodyText"/>
        <w:spacing w:before="11"/>
        <w:rPr>
          <w:rFonts w:ascii="Calibri"/>
          <w:b/>
          <w:sz w:val="19"/>
        </w:rPr>
      </w:pPr>
    </w:p>
    <w:p>
      <w:pPr>
        <w:pStyle w:val="BodyText"/>
        <w:spacing w:line="360" w:lineRule="auto" w:before="70"/>
        <w:ind w:left="212"/>
      </w:pPr>
      <w:r>
        <w:rPr/>
        <w:t>En el sistema API Coryne se obtuvieron variaciones en la reducción de nitrato en comparación con la prueba tradicional en tubo como se muestra en el cuadro 8.</w:t>
      </w:r>
    </w:p>
    <w:p>
      <w:pPr>
        <w:pStyle w:val="Heading3"/>
        <w:spacing w:before="204"/>
        <w:ind w:left="2776"/>
        <w:jc w:val="left"/>
      </w:pPr>
      <w:bookmarkStart w:name="_bookmark37" w:id="38"/>
      <w:bookmarkEnd w:id="38"/>
      <w:r>
        <w:rPr>
          <w:b w:val="0"/>
        </w:rPr>
      </w:r>
      <w:r>
        <w:rPr/>
        <w:t>Cuadro 8 Variaciones en Nitrato.</w:t>
      </w:r>
    </w:p>
    <w:p>
      <w:pPr>
        <w:pStyle w:val="BodyText"/>
        <w:spacing w:before="5"/>
        <w:rPr>
          <w:b/>
          <w:sz w:val="17"/>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6"/>
        <w:gridCol w:w="1991"/>
        <w:gridCol w:w="2799"/>
        <w:gridCol w:w="2420"/>
      </w:tblGrid>
      <w:tr>
        <w:trPr>
          <w:trHeight w:val="547" w:hRule="exact"/>
        </w:trPr>
        <w:tc>
          <w:tcPr>
            <w:tcW w:w="1846" w:type="dxa"/>
            <w:tcBorders>
              <w:left w:val="nil"/>
              <w:right w:val="nil"/>
            </w:tcBorders>
          </w:tcPr>
          <w:p>
            <w:pPr>
              <w:pStyle w:val="TableParagraph"/>
              <w:spacing w:line="268" w:lineRule="exact" w:before="0"/>
              <w:ind w:left="107"/>
              <w:rPr>
                <w:sz w:val="22"/>
              </w:rPr>
            </w:pPr>
            <w:r>
              <w:rPr>
                <w:sz w:val="22"/>
              </w:rPr>
              <w:t>Identificación</w:t>
            </w:r>
          </w:p>
        </w:tc>
        <w:tc>
          <w:tcPr>
            <w:tcW w:w="1991" w:type="dxa"/>
            <w:tcBorders>
              <w:left w:val="nil"/>
              <w:right w:val="nil"/>
            </w:tcBorders>
          </w:tcPr>
          <w:p>
            <w:pPr>
              <w:pStyle w:val="TableParagraph"/>
              <w:spacing w:line="268" w:lineRule="exact" w:before="0"/>
              <w:ind w:left="523"/>
              <w:rPr>
                <w:sz w:val="22"/>
              </w:rPr>
            </w:pPr>
            <w:r>
              <w:rPr>
                <w:sz w:val="22"/>
              </w:rPr>
              <w:t>Especie</w:t>
            </w:r>
          </w:p>
        </w:tc>
        <w:tc>
          <w:tcPr>
            <w:tcW w:w="2799" w:type="dxa"/>
            <w:tcBorders>
              <w:left w:val="nil"/>
              <w:right w:val="nil"/>
            </w:tcBorders>
          </w:tcPr>
          <w:p>
            <w:pPr>
              <w:pStyle w:val="TableParagraph"/>
              <w:spacing w:before="0"/>
              <w:ind w:left="794" w:right="243"/>
              <w:rPr>
                <w:sz w:val="22"/>
              </w:rPr>
            </w:pPr>
            <w:r>
              <w:rPr>
                <w:sz w:val="22"/>
              </w:rPr>
              <w:t>Química tradicional (Nitrato)</w:t>
            </w:r>
          </w:p>
        </w:tc>
        <w:tc>
          <w:tcPr>
            <w:tcW w:w="2420" w:type="dxa"/>
            <w:tcBorders>
              <w:left w:val="nil"/>
              <w:right w:val="nil"/>
            </w:tcBorders>
          </w:tcPr>
          <w:p>
            <w:pPr>
              <w:pStyle w:val="TableParagraph"/>
              <w:spacing w:before="0"/>
              <w:ind w:left="261" w:right="1207"/>
              <w:rPr>
                <w:sz w:val="22"/>
              </w:rPr>
            </w:pPr>
            <w:r>
              <w:rPr>
                <w:sz w:val="22"/>
              </w:rPr>
              <w:t>API Corine (Nitrato)</w:t>
            </w:r>
          </w:p>
        </w:tc>
      </w:tr>
      <w:tr>
        <w:trPr>
          <w:trHeight w:val="350" w:hRule="exact"/>
        </w:trPr>
        <w:tc>
          <w:tcPr>
            <w:tcW w:w="1846" w:type="dxa"/>
            <w:tcBorders>
              <w:left w:val="nil"/>
              <w:bottom w:val="nil"/>
              <w:right w:val="nil"/>
            </w:tcBorders>
          </w:tcPr>
          <w:p>
            <w:pPr>
              <w:pStyle w:val="TableParagraph"/>
              <w:spacing w:line="268" w:lineRule="exact" w:before="0"/>
              <w:ind w:left="107"/>
              <w:rPr>
                <w:sz w:val="22"/>
              </w:rPr>
            </w:pPr>
            <w:r>
              <w:rPr>
                <w:sz w:val="22"/>
              </w:rPr>
              <w:t>4-4</w:t>
            </w:r>
          </w:p>
        </w:tc>
        <w:tc>
          <w:tcPr>
            <w:tcW w:w="1991" w:type="dxa"/>
            <w:tcBorders>
              <w:left w:val="nil"/>
              <w:bottom w:val="nil"/>
              <w:right w:val="nil"/>
            </w:tcBorders>
          </w:tcPr>
          <w:p>
            <w:pPr>
              <w:pStyle w:val="TableParagraph"/>
              <w:spacing w:line="268" w:lineRule="exact" w:before="0"/>
              <w:ind w:left="523"/>
              <w:rPr>
                <w:sz w:val="22"/>
              </w:rPr>
            </w:pPr>
            <w:r>
              <w:rPr>
                <w:sz w:val="22"/>
              </w:rPr>
              <w:t>Ovino</w:t>
            </w:r>
          </w:p>
        </w:tc>
        <w:tc>
          <w:tcPr>
            <w:tcW w:w="2799" w:type="dxa"/>
            <w:tcBorders>
              <w:left w:val="nil"/>
              <w:bottom w:val="nil"/>
              <w:right w:val="nil"/>
            </w:tcBorders>
          </w:tcPr>
          <w:p>
            <w:pPr>
              <w:pStyle w:val="TableParagraph"/>
              <w:spacing w:line="268" w:lineRule="exact" w:before="0"/>
              <w:ind w:left="794"/>
              <w:rPr>
                <w:sz w:val="22"/>
              </w:rPr>
            </w:pPr>
            <w:r>
              <w:rPr>
                <w:w w:val="100"/>
                <w:sz w:val="22"/>
              </w:rPr>
              <w:t>+</w:t>
            </w:r>
          </w:p>
        </w:tc>
        <w:tc>
          <w:tcPr>
            <w:tcW w:w="2420" w:type="dxa"/>
            <w:tcBorders>
              <w:left w:val="nil"/>
              <w:bottom w:val="nil"/>
              <w:right w:val="nil"/>
            </w:tcBorders>
          </w:tcPr>
          <w:p>
            <w:pPr>
              <w:pStyle w:val="TableParagraph"/>
              <w:spacing w:line="268" w:lineRule="exact" w:before="0"/>
              <w:ind w:left="261"/>
              <w:rPr>
                <w:sz w:val="22"/>
              </w:rPr>
            </w:pPr>
            <w:r>
              <w:rPr>
                <w:w w:val="100"/>
                <w:sz w:val="22"/>
              </w:rPr>
              <w:t>-</w:t>
            </w:r>
          </w:p>
        </w:tc>
      </w:tr>
      <w:tr>
        <w:trPr>
          <w:trHeight w:val="386" w:hRule="exact"/>
        </w:trPr>
        <w:tc>
          <w:tcPr>
            <w:tcW w:w="1846" w:type="dxa"/>
            <w:tcBorders>
              <w:top w:val="nil"/>
              <w:left w:val="nil"/>
              <w:bottom w:val="nil"/>
              <w:right w:val="nil"/>
            </w:tcBorders>
          </w:tcPr>
          <w:p>
            <w:pPr>
              <w:pStyle w:val="TableParagraph"/>
              <w:spacing w:before="37"/>
              <w:ind w:left="107"/>
              <w:rPr>
                <w:sz w:val="22"/>
              </w:rPr>
            </w:pPr>
            <w:r>
              <w:rPr>
                <w:sz w:val="22"/>
              </w:rPr>
              <w:t>6-4</w:t>
            </w:r>
          </w:p>
        </w:tc>
        <w:tc>
          <w:tcPr>
            <w:tcW w:w="1991" w:type="dxa"/>
            <w:tcBorders>
              <w:top w:val="nil"/>
              <w:left w:val="nil"/>
              <w:bottom w:val="nil"/>
              <w:right w:val="nil"/>
            </w:tcBorders>
          </w:tcPr>
          <w:p>
            <w:pPr>
              <w:pStyle w:val="TableParagraph"/>
              <w:spacing w:before="37"/>
              <w:ind w:left="523"/>
              <w:rPr>
                <w:sz w:val="22"/>
              </w:rPr>
            </w:pPr>
            <w:r>
              <w:rPr>
                <w:sz w:val="22"/>
              </w:rPr>
              <w:t>Ovino</w:t>
            </w:r>
          </w:p>
        </w:tc>
        <w:tc>
          <w:tcPr>
            <w:tcW w:w="2799" w:type="dxa"/>
            <w:tcBorders>
              <w:top w:val="nil"/>
              <w:left w:val="nil"/>
              <w:bottom w:val="nil"/>
              <w:right w:val="nil"/>
            </w:tcBorders>
          </w:tcPr>
          <w:p>
            <w:pPr>
              <w:pStyle w:val="TableParagraph"/>
              <w:spacing w:before="37"/>
              <w:ind w:left="794"/>
              <w:rPr>
                <w:sz w:val="22"/>
              </w:rPr>
            </w:pPr>
            <w:r>
              <w:rPr>
                <w:w w:val="100"/>
                <w:sz w:val="22"/>
              </w:rPr>
              <w:t>+</w:t>
            </w:r>
          </w:p>
        </w:tc>
        <w:tc>
          <w:tcPr>
            <w:tcW w:w="2420" w:type="dxa"/>
            <w:tcBorders>
              <w:top w:val="nil"/>
              <w:left w:val="nil"/>
              <w:bottom w:val="nil"/>
              <w:right w:val="nil"/>
            </w:tcBorders>
          </w:tcPr>
          <w:p>
            <w:pPr>
              <w:pStyle w:val="TableParagraph"/>
              <w:spacing w:before="37"/>
              <w:ind w:left="261"/>
              <w:rPr>
                <w:sz w:val="22"/>
              </w:rPr>
            </w:pPr>
            <w:r>
              <w:rPr>
                <w:w w:val="100"/>
                <w:sz w:val="22"/>
              </w:rPr>
              <w:t>-</w:t>
            </w:r>
          </w:p>
        </w:tc>
      </w:tr>
      <w:tr>
        <w:trPr>
          <w:trHeight w:val="387" w:hRule="exact"/>
        </w:trPr>
        <w:tc>
          <w:tcPr>
            <w:tcW w:w="1846" w:type="dxa"/>
            <w:tcBorders>
              <w:top w:val="nil"/>
              <w:left w:val="nil"/>
              <w:bottom w:val="nil"/>
              <w:right w:val="nil"/>
            </w:tcBorders>
          </w:tcPr>
          <w:p>
            <w:pPr>
              <w:pStyle w:val="TableParagraph"/>
              <w:spacing w:before="39"/>
              <w:ind w:left="107"/>
              <w:rPr>
                <w:sz w:val="22"/>
              </w:rPr>
            </w:pPr>
            <w:r>
              <w:rPr>
                <w:sz w:val="22"/>
              </w:rPr>
              <w:t>728930</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386" w:hRule="exact"/>
        </w:trPr>
        <w:tc>
          <w:tcPr>
            <w:tcW w:w="1846" w:type="dxa"/>
            <w:tcBorders>
              <w:top w:val="nil"/>
              <w:left w:val="nil"/>
              <w:bottom w:val="nil"/>
              <w:right w:val="nil"/>
            </w:tcBorders>
          </w:tcPr>
          <w:p>
            <w:pPr>
              <w:pStyle w:val="TableParagraph"/>
              <w:spacing w:before="39"/>
              <w:ind w:left="107"/>
              <w:rPr>
                <w:sz w:val="22"/>
              </w:rPr>
            </w:pPr>
            <w:r>
              <w:rPr>
                <w:sz w:val="22"/>
              </w:rPr>
              <w:t>1322</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386" w:hRule="exact"/>
        </w:trPr>
        <w:tc>
          <w:tcPr>
            <w:tcW w:w="1846" w:type="dxa"/>
            <w:tcBorders>
              <w:top w:val="nil"/>
              <w:left w:val="nil"/>
              <w:bottom w:val="nil"/>
              <w:right w:val="nil"/>
            </w:tcBorders>
          </w:tcPr>
          <w:p>
            <w:pPr>
              <w:pStyle w:val="TableParagraph"/>
              <w:spacing w:before="39"/>
              <w:ind w:left="107"/>
              <w:rPr>
                <w:sz w:val="22"/>
              </w:rPr>
            </w:pPr>
            <w:r>
              <w:rPr>
                <w:sz w:val="22"/>
              </w:rPr>
              <w:t>028</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386" w:hRule="exact"/>
        </w:trPr>
        <w:tc>
          <w:tcPr>
            <w:tcW w:w="1846" w:type="dxa"/>
            <w:tcBorders>
              <w:top w:val="nil"/>
              <w:left w:val="nil"/>
              <w:bottom w:val="nil"/>
              <w:right w:val="nil"/>
            </w:tcBorders>
          </w:tcPr>
          <w:p>
            <w:pPr>
              <w:pStyle w:val="TableParagraph"/>
              <w:spacing w:before="39"/>
              <w:ind w:left="107"/>
              <w:rPr>
                <w:sz w:val="22"/>
              </w:rPr>
            </w:pPr>
            <w:r>
              <w:rPr>
                <w:sz w:val="22"/>
              </w:rPr>
              <w:t>632835</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385" w:hRule="exact"/>
        </w:trPr>
        <w:tc>
          <w:tcPr>
            <w:tcW w:w="1846" w:type="dxa"/>
            <w:tcBorders>
              <w:top w:val="nil"/>
              <w:left w:val="nil"/>
              <w:bottom w:val="nil"/>
              <w:right w:val="nil"/>
            </w:tcBorders>
          </w:tcPr>
          <w:p>
            <w:pPr>
              <w:pStyle w:val="TableParagraph"/>
              <w:spacing w:before="39"/>
              <w:ind w:left="107"/>
              <w:rPr>
                <w:sz w:val="22"/>
              </w:rPr>
            </w:pPr>
            <w:r>
              <w:rPr>
                <w:sz w:val="22"/>
              </w:rPr>
              <w:t>6-18</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385" w:hRule="exact"/>
        </w:trPr>
        <w:tc>
          <w:tcPr>
            <w:tcW w:w="1846" w:type="dxa"/>
            <w:tcBorders>
              <w:top w:val="nil"/>
              <w:left w:val="nil"/>
              <w:bottom w:val="nil"/>
              <w:right w:val="nil"/>
            </w:tcBorders>
          </w:tcPr>
          <w:p>
            <w:pPr>
              <w:pStyle w:val="TableParagraph"/>
              <w:spacing w:before="37"/>
              <w:ind w:left="107"/>
              <w:rPr>
                <w:sz w:val="22"/>
              </w:rPr>
            </w:pPr>
            <w:r>
              <w:rPr>
                <w:sz w:val="22"/>
              </w:rPr>
              <w:t>694977</w:t>
            </w:r>
          </w:p>
        </w:tc>
        <w:tc>
          <w:tcPr>
            <w:tcW w:w="1991" w:type="dxa"/>
            <w:tcBorders>
              <w:top w:val="nil"/>
              <w:left w:val="nil"/>
              <w:bottom w:val="nil"/>
              <w:right w:val="nil"/>
            </w:tcBorders>
          </w:tcPr>
          <w:p>
            <w:pPr>
              <w:pStyle w:val="TableParagraph"/>
              <w:spacing w:before="37"/>
              <w:ind w:left="523"/>
              <w:rPr>
                <w:sz w:val="22"/>
              </w:rPr>
            </w:pPr>
            <w:r>
              <w:rPr>
                <w:sz w:val="22"/>
              </w:rPr>
              <w:t>Ovino</w:t>
            </w:r>
          </w:p>
        </w:tc>
        <w:tc>
          <w:tcPr>
            <w:tcW w:w="2799" w:type="dxa"/>
            <w:tcBorders>
              <w:top w:val="nil"/>
              <w:left w:val="nil"/>
              <w:bottom w:val="nil"/>
              <w:right w:val="nil"/>
            </w:tcBorders>
          </w:tcPr>
          <w:p>
            <w:pPr>
              <w:pStyle w:val="TableParagraph"/>
              <w:spacing w:before="37"/>
              <w:ind w:left="794"/>
              <w:rPr>
                <w:sz w:val="22"/>
              </w:rPr>
            </w:pPr>
            <w:r>
              <w:rPr>
                <w:w w:val="100"/>
                <w:sz w:val="22"/>
              </w:rPr>
              <w:t>+</w:t>
            </w:r>
          </w:p>
        </w:tc>
        <w:tc>
          <w:tcPr>
            <w:tcW w:w="2420" w:type="dxa"/>
            <w:tcBorders>
              <w:top w:val="nil"/>
              <w:left w:val="nil"/>
              <w:bottom w:val="nil"/>
              <w:right w:val="nil"/>
            </w:tcBorders>
          </w:tcPr>
          <w:p>
            <w:pPr>
              <w:pStyle w:val="TableParagraph"/>
              <w:spacing w:before="37"/>
              <w:ind w:left="261"/>
              <w:rPr>
                <w:sz w:val="22"/>
              </w:rPr>
            </w:pPr>
            <w:r>
              <w:rPr>
                <w:w w:val="100"/>
                <w:sz w:val="22"/>
              </w:rPr>
              <w:t>-</w:t>
            </w:r>
          </w:p>
        </w:tc>
      </w:tr>
      <w:tr>
        <w:trPr>
          <w:trHeight w:val="386" w:hRule="exact"/>
        </w:trPr>
        <w:tc>
          <w:tcPr>
            <w:tcW w:w="1846" w:type="dxa"/>
            <w:tcBorders>
              <w:top w:val="nil"/>
              <w:left w:val="nil"/>
              <w:bottom w:val="nil"/>
              <w:right w:val="nil"/>
            </w:tcBorders>
          </w:tcPr>
          <w:p>
            <w:pPr>
              <w:pStyle w:val="TableParagraph"/>
              <w:spacing w:before="39"/>
              <w:ind w:left="107"/>
              <w:rPr>
                <w:sz w:val="22"/>
              </w:rPr>
            </w:pPr>
            <w:r>
              <w:rPr>
                <w:sz w:val="22"/>
              </w:rPr>
              <w:t>616126</w:t>
            </w:r>
          </w:p>
        </w:tc>
        <w:tc>
          <w:tcPr>
            <w:tcW w:w="1991" w:type="dxa"/>
            <w:tcBorders>
              <w:top w:val="nil"/>
              <w:left w:val="nil"/>
              <w:bottom w:val="nil"/>
              <w:right w:val="nil"/>
            </w:tcBorders>
          </w:tcPr>
          <w:p>
            <w:pPr>
              <w:pStyle w:val="TableParagraph"/>
              <w:spacing w:before="39"/>
              <w:ind w:left="523"/>
              <w:rPr>
                <w:sz w:val="22"/>
              </w:rPr>
            </w:pPr>
            <w:r>
              <w:rPr>
                <w:sz w:val="22"/>
              </w:rPr>
              <w:t>Ovino</w:t>
            </w:r>
          </w:p>
        </w:tc>
        <w:tc>
          <w:tcPr>
            <w:tcW w:w="2799" w:type="dxa"/>
            <w:tcBorders>
              <w:top w:val="nil"/>
              <w:left w:val="nil"/>
              <w:bottom w:val="nil"/>
              <w:right w:val="nil"/>
            </w:tcBorders>
          </w:tcPr>
          <w:p>
            <w:pPr>
              <w:pStyle w:val="TableParagraph"/>
              <w:spacing w:before="39"/>
              <w:ind w:left="794"/>
              <w:rPr>
                <w:sz w:val="22"/>
              </w:rPr>
            </w:pPr>
            <w:r>
              <w:rPr>
                <w:w w:val="100"/>
                <w:sz w:val="22"/>
              </w:rPr>
              <w:t>+</w:t>
            </w:r>
          </w:p>
        </w:tc>
        <w:tc>
          <w:tcPr>
            <w:tcW w:w="2420" w:type="dxa"/>
            <w:tcBorders>
              <w:top w:val="nil"/>
              <w:left w:val="nil"/>
              <w:bottom w:val="nil"/>
              <w:right w:val="nil"/>
            </w:tcBorders>
          </w:tcPr>
          <w:p>
            <w:pPr>
              <w:pStyle w:val="TableParagraph"/>
              <w:spacing w:before="39"/>
              <w:ind w:left="261"/>
              <w:rPr>
                <w:sz w:val="22"/>
              </w:rPr>
            </w:pPr>
            <w:r>
              <w:rPr>
                <w:w w:val="100"/>
                <w:sz w:val="22"/>
              </w:rPr>
              <w:t>-</w:t>
            </w:r>
          </w:p>
        </w:tc>
      </w:tr>
      <w:tr>
        <w:trPr>
          <w:trHeight w:val="433" w:hRule="exact"/>
        </w:trPr>
        <w:tc>
          <w:tcPr>
            <w:tcW w:w="1846" w:type="dxa"/>
            <w:tcBorders>
              <w:top w:val="nil"/>
              <w:left w:val="nil"/>
              <w:right w:val="nil"/>
            </w:tcBorders>
          </w:tcPr>
          <w:p>
            <w:pPr>
              <w:pStyle w:val="TableParagraph"/>
              <w:spacing w:before="39"/>
              <w:ind w:left="107"/>
              <w:rPr>
                <w:sz w:val="22"/>
              </w:rPr>
            </w:pPr>
            <w:r>
              <w:rPr>
                <w:sz w:val="22"/>
              </w:rPr>
              <w:t>694992</w:t>
            </w:r>
          </w:p>
        </w:tc>
        <w:tc>
          <w:tcPr>
            <w:tcW w:w="1991" w:type="dxa"/>
            <w:tcBorders>
              <w:top w:val="nil"/>
              <w:left w:val="nil"/>
              <w:right w:val="nil"/>
            </w:tcBorders>
          </w:tcPr>
          <w:p>
            <w:pPr>
              <w:pStyle w:val="TableParagraph"/>
              <w:spacing w:before="39"/>
              <w:ind w:left="523"/>
              <w:rPr>
                <w:sz w:val="22"/>
              </w:rPr>
            </w:pPr>
            <w:r>
              <w:rPr>
                <w:sz w:val="22"/>
              </w:rPr>
              <w:t>Ovino</w:t>
            </w:r>
          </w:p>
        </w:tc>
        <w:tc>
          <w:tcPr>
            <w:tcW w:w="2799" w:type="dxa"/>
            <w:tcBorders>
              <w:top w:val="nil"/>
              <w:left w:val="nil"/>
              <w:right w:val="nil"/>
            </w:tcBorders>
          </w:tcPr>
          <w:p>
            <w:pPr>
              <w:pStyle w:val="TableParagraph"/>
              <w:spacing w:before="39"/>
              <w:ind w:left="794"/>
              <w:rPr>
                <w:sz w:val="22"/>
              </w:rPr>
            </w:pPr>
            <w:r>
              <w:rPr>
                <w:w w:val="100"/>
                <w:sz w:val="22"/>
              </w:rPr>
              <w:t>+</w:t>
            </w:r>
          </w:p>
        </w:tc>
        <w:tc>
          <w:tcPr>
            <w:tcW w:w="2420" w:type="dxa"/>
            <w:tcBorders>
              <w:top w:val="nil"/>
              <w:left w:val="nil"/>
              <w:right w:val="nil"/>
            </w:tcBorders>
          </w:tcPr>
          <w:p>
            <w:pPr>
              <w:pStyle w:val="TableParagraph"/>
              <w:spacing w:before="39"/>
              <w:ind w:left="261"/>
              <w:rPr>
                <w:sz w:val="22"/>
              </w:rPr>
            </w:pPr>
            <w:r>
              <w:rPr>
                <w:w w:val="100"/>
                <w:sz w:val="22"/>
              </w:rPr>
              <w:t>+</w:t>
            </w:r>
          </w:p>
        </w:tc>
      </w:tr>
    </w:tbl>
    <w:p>
      <w:pPr>
        <w:pStyle w:val="BodyText"/>
        <w:rPr>
          <w:b/>
          <w:sz w:val="20"/>
        </w:rPr>
      </w:pPr>
    </w:p>
    <w:p>
      <w:pPr>
        <w:pStyle w:val="BodyText"/>
        <w:spacing w:before="3"/>
        <w:rPr>
          <w:b/>
          <w:sz w:val="27"/>
        </w:rPr>
      </w:pPr>
    </w:p>
    <w:p>
      <w:pPr>
        <w:pStyle w:val="BodyText"/>
        <w:spacing w:line="360" w:lineRule="auto" w:before="69"/>
        <w:ind w:left="212" w:right="233"/>
        <w:jc w:val="both"/>
      </w:pPr>
      <w:r>
        <w:rPr/>
        <w:t>A partir de las variaciones encontradas en los perfiles bioquímicos la hipótesis planteada perfilaba a ser aceptada.</w:t>
      </w:r>
    </w:p>
    <w:p>
      <w:pPr>
        <w:pStyle w:val="Heading3"/>
        <w:spacing w:before="204"/>
        <w:ind w:left="212"/>
      </w:pPr>
      <w:r>
        <w:rPr/>
        <w:t>Moleculares</w:t>
      </w:r>
    </w:p>
    <w:p>
      <w:pPr>
        <w:pStyle w:val="BodyText"/>
        <w:spacing w:before="4"/>
        <w:rPr>
          <w:b/>
          <w:sz w:val="29"/>
        </w:rPr>
      </w:pPr>
    </w:p>
    <w:p>
      <w:pPr>
        <w:pStyle w:val="BodyText"/>
        <w:spacing w:line="360" w:lineRule="auto" w:before="1"/>
        <w:ind w:left="212" w:right="227"/>
        <w:jc w:val="both"/>
      </w:pPr>
      <w:r>
        <w:rPr/>
        <w:t>Del total de los 69 aislamientos obtenidos por bacteriología y diagnosticados por pruebas bioquímicas y sistema comercial API Coryne, solo se logró caracterizar por PCR Multiplex (Pacheco </w:t>
      </w:r>
      <w:r>
        <w:rPr>
          <w:i/>
        </w:rPr>
        <w:t>et al., </w:t>
      </w:r>
      <w:r>
        <w:rPr/>
        <w:t>2007) un total de 60 muestras (86.95 %), la amplificación de tres genes: </w:t>
      </w:r>
      <w:r>
        <w:rPr>
          <w:i/>
        </w:rPr>
        <w:t>16s </w:t>
      </w:r>
      <w:r>
        <w:rPr/>
        <w:t>(816pb)</w:t>
      </w:r>
      <w:r>
        <w:rPr>
          <w:i/>
        </w:rPr>
        <w:t>, rpoB </w:t>
      </w:r>
      <w:r>
        <w:rPr/>
        <w:t>(416pb) y </w:t>
      </w:r>
      <w:r>
        <w:rPr>
          <w:i/>
        </w:rPr>
        <w:t>pld </w:t>
      </w:r>
      <w:r>
        <w:rPr/>
        <w:t>(203pb) determinaría la identificación de </w:t>
      </w:r>
      <w:r>
        <w:rPr>
          <w:i/>
        </w:rPr>
        <w:t>Corynebacterium pseudotuberculosis </w:t>
      </w:r>
      <w:r>
        <w:rPr/>
        <w:t>al ser oligos específicos de este </w:t>
      </w:r>
      <w:r>
        <w:rPr>
          <w:i/>
        </w:rPr>
        <w:t>género </w:t>
      </w:r>
      <w:r>
        <w:rPr/>
        <w:t>y </w:t>
      </w:r>
      <w:r>
        <w:rPr>
          <w:i/>
        </w:rPr>
        <w:t>especie</w:t>
      </w:r>
      <w:r>
        <w:rPr/>
        <w:t>. El perfil fue mostrado por la mayoría de los aislados </w:t>
      </w:r>
      <w:r>
        <w:rPr>
          <w:i/>
        </w:rPr>
        <w:t>(</w:t>
      </w:r>
      <w:r>
        <w:rPr/>
        <w:t>Figura 6). Sin embargo algunos aislados mostraron variación con perfiles diferentes en la amplificación del gen </w:t>
      </w:r>
      <w:r>
        <w:rPr>
          <w:i/>
        </w:rPr>
        <w:t>16S</w:t>
      </w:r>
      <w:r>
        <w:rPr/>
        <w:t>, línea 10. (Figura 7 y Figura 8). Un aislado en específico “colonia con crecimiento pardo amarillento” solo amplifico </w:t>
      </w:r>
      <w:r>
        <w:rPr>
          <w:spacing w:val="65"/>
        </w:rPr>
        <w:t> </w:t>
      </w:r>
      <w:r>
        <w:rPr/>
        <w:t>el</w:t>
      </w:r>
    </w:p>
    <w:p>
      <w:pPr>
        <w:spacing w:after="0" w:line="360" w:lineRule="auto"/>
        <w:jc w:val="both"/>
        <w:sectPr>
          <w:pgSz w:w="12240" w:h="15840"/>
          <w:pgMar w:header="0" w:footer="1386" w:top="1500" w:bottom="1580" w:left="1660" w:right="1300"/>
        </w:sectPr>
      </w:pPr>
    </w:p>
    <w:p>
      <w:pPr>
        <w:pStyle w:val="BodyText"/>
        <w:spacing w:before="11"/>
        <w:rPr>
          <w:sz w:val="20"/>
        </w:rPr>
      </w:pPr>
    </w:p>
    <w:p>
      <w:pPr>
        <w:pStyle w:val="BodyText"/>
        <w:spacing w:line="360" w:lineRule="auto" w:before="69"/>
        <w:ind w:left="152" w:right="112"/>
        <w:jc w:val="both"/>
      </w:pPr>
      <w:r>
        <w:rPr/>
        <w:t>gen </w:t>
      </w:r>
      <w:r>
        <w:rPr>
          <w:i/>
        </w:rPr>
        <w:t>rpoB </w:t>
      </w:r>
      <w:r>
        <w:rPr/>
        <w:t>(Figura 9). En el cuadro 9 se muestran los aislados con variaciones en la amplificación del gen </w:t>
      </w:r>
      <w:r>
        <w:rPr>
          <w:i/>
        </w:rPr>
        <w:t>16s, </w:t>
      </w:r>
      <w:r>
        <w:rPr/>
        <w:t>en dicho cuadro se muestra la identificación, la especie animal y los genes amplificados.</w:t>
      </w:r>
    </w:p>
    <w:p>
      <w:pPr>
        <w:pStyle w:val="BodyText"/>
        <w:spacing w:before="5"/>
        <w:rPr>
          <w:sz w:val="14"/>
        </w:rPr>
      </w:pPr>
      <w:r>
        <w:rPr/>
        <w:drawing>
          <wp:anchor distT="0" distB="0" distL="0" distR="0" allowOverlap="1" layoutInCell="1" locked="0" behindDoc="0" simplePos="0" relativeHeight="1408">
            <wp:simplePos x="0" y="0"/>
            <wp:positionH relativeFrom="page">
              <wp:posOffset>1336547</wp:posOffset>
            </wp:positionH>
            <wp:positionV relativeFrom="paragraph">
              <wp:posOffset>130732</wp:posOffset>
            </wp:positionV>
            <wp:extent cx="5271627" cy="2357723"/>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3" cstate="print"/>
                    <a:stretch>
                      <a:fillRect/>
                    </a:stretch>
                  </pic:blipFill>
                  <pic:spPr>
                    <a:xfrm>
                      <a:off x="0" y="0"/>
                      <a:ext cx="5271627" cy="2357723"/>
                    </a:xfrm>
                    <a:prstGeom prst="rect">
                      <a:avLst/>
                    </a:prstGeom>
                  </pic:spPr>
                </pic:pic>
              </a:graphicData>
            </a:graphic>
          </wp:anchor>
        </w:drawing>
      </w:r>
    </w:p>
    <w:p>
      <w:pPr>
        <w:pStyle w:val="Heading3"/>
        <w:spacing w:before="3"/>
        <w:ind w:left="180" w:right="139"/>
        <w:jc w:val="center"/>
      </w:pPr>
      <w:bookmarkStart w:name="_bookmark38" w:id="39"/>
      <w:bookmarkEnd w:id="39"/>
      <w:r>
        <w:rPr>
          <w:b w:val="0"/>
        </w:rPr>
      </w:r>
      <w:r>
        <w:rPr/>
        <w:t>Figura 5 PCR Multiplex</w:t>
      </w:r>
    </w:p>
    <w:p>
      <w:pPr>
        <w:pStyle w:val="BodyText"/>
        <w:ind w:left="179" w:right="139"/>
        <w:jc w:val="center"/>
      </w:pPr>
      <w:r>
        <w:rPr/>
        <w:t>Gel agarosa 1.5 %. </w:t>
      </w:r>
      <w:r>
        <w:rPr>
          <w:b/>
        </w:rPr>
        <w:t>(MW) </w:t>
      </w:r>
      <w:r>
        <w:rPr/>
        <w:t>Marcador de peso molecular 1 Kb Plus DNA Ladder™ (Invitrogen). </w:t>
      </w:r>
      <w:r>
        <w:rPr>
          <w:b/>
        </w:rPr>
        <w:t>(Línea 1) </w:t>
      </w:r>
      <w:r>
        <w:rPr/>
        <w:t>Control positivo ATCC 43924. (</w:t>
      </w:r>
      <w:r>
        <w:rPr>
          <w:b/>
        </w:rPr>
        <w:t>Línea 2) </w:t>
      </w:r>
      <w:r>
        <w:rPr/>
        <w:t>muestra blanco. </w:t>
      </w:r>
      <w:r>
        <w:rPr>
          <w:b/>
        </w:rPr>
        <w:t>(Líneas 3-9) </w:t>
      </w:r>
      <w:r>
        <w:rPr/>
        <w:t>aislados Corynebacterium pseudotuberculosis.</w:t>
      </w:r>
    </w:p>
    <w:p>
      <w:pPr>
        <w:pStyle w:val="BodyText"/>
      </w:pPr>
    </w:p>
    <w:p>
      <w:pPr>
        <w:pStyle w:val="BodyText"/>
      </w:pPr>
    </w:p>
    <w:p>
      <w:pPr>
        <w:pStyle w:val="Heading3"/>
        <w:tabs>
          <w:tab w:pos="3155" w:val="left" w:leader="none"/>
          <w:tab w:pos="3623" w:val="left" w:leader="none"/>
          <w:tab w:pos="4021" w:val="left" w:leader="none"/>
          <w:tab w:pos="4489" w:val="left" w:leader="none"/>
          <w:tab w:pos="4955" w:val="left" w:leader="none"/>
          <w:tab w:pos="5423" w:val="left" w:leader="none"/>
          <w:tab w:pos="5824" w:val="left" w:leader="none"/>
          <w:tab w:pos="6158" w:val="left" w:leader="none"/>
        </w:tabs>
        <w:spacing w:before="0"/>
        <w:ind w:left="2130"/>
        <w:jc w:val="left"/>
      </w:pPr>
      <w:r>
        <w:rPr/>
        <w:t>MW</w:t>
      </w:r>
      <w:r>
        <w:rPr>
          <w:spacing w:val="-1"/>
        </w:rPr>
        <w:t> </w:t>
      </w:r>
      <w:r>
        <w:rPr/>
        <w:t>1</w:t>
        <w:tab/>
        <w:t>2</w:t>
        <w:tab/>
        <w:t>3</w:t>
        <w:tab/>
        <w:t>4</w:t>
        <w:tab/>
        <w:t>5</w:t>
        <w:tab/>
        <w:t>6</w:t>
        <w:tab/>
        <w:t>7</w:t>
        <w:tab/>
        <w:t>8</w:t>
        <w:tab/>
        <w:t>9</w:t>
      </w:r>
      <w:r>
        <w:rPr>
          <w:spacing w:val="65"/>
        </w:rPr>
        <w:t> </w:t>
      </w:r>
      <w:r>
        <w:rPr/>
        <w:t>10</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15"/>
        </w:rPr>
      </w:pPr>
    </w:p>
    <w:p>
      <w:pPr>
        <w:spacing w:before="64"/>
        <w:ind w:left="181" w:right="7191" w:firstLine="0"/>
        <w:jc w:val="center"/>
        <w:rPr>
          <w:rFonts w:ascii="Calibri"/>
          <w:b/>
          <w:i/>
          <w:sz w:val="18"/>
        </w:rPr>
      </w:pPr>
      <w:r>
        <w:rPr/>
        <w:pict>
          <v:group style="position:absolute;margin-left:164.759995pt;margin-top:-54.90065pt;width:275.3pt;height:189.15pt;mso-position-horizontal-relative:page;mso-position-vertical-relative:paragraph;z-index:-175576" coordorigin="3295,-1098" coordsize="5506,3783">
            <v:shape style="position:absolute;left:3770;top:-1098;width:5030;height:3782" type="#_x0000_t75" stroked="false">
              <v:imagedata r:id="rId24" o:title=""/>
            </v:shape>
            <v:shape style="position:absolute;left:3295;top:109;width:494;height:1848" coordorigin="3295,109" coordsize="494,1848" path="m3779,978l3762,968,3640,897,3634,898,3628,908,3630,914,3722,968,3295,968,3295,988,3722,988,3630,1042,3628,1048,3634,1058,3640,1059,3762,988,3779,978m3784,1876l3767,1866,3644,1794,3638,1796,3633,1805,3634,1811,3727,1866,3300,1866,3300,1886,3727,1886,3634,1940,3633,1946,3638,1955,3644,1957,3767,1886,3784,1876m3789,191l3772,181,3649,109,3643,111,3638,121,3639,127,3732,181,3305,181,3305,201,3732,201,3639,255,3638,261,3643,271,3649,272,3772,201,3789,191e" filled="true" fillcolor="#ff0000" stroked="false">
              <v:path arrowok="t"/>
              <v:fill type="solid"/>
            </v:shape>
            <w10:wrap type="none"/>
          </v:group>
        </w:pict>
      </w:r>
      <w:r>
        <w:rPr>
          <w:rFonts w:ascii="Calibri"/>
          <w:b/>
          <w:i/>
          <w:sz w:val="18"/>
        </w:rPr>
        <w:t>16S</w:t>
      </w:r>
    </w:p>
    <w:p>
      <w:pPr>
        <w:spacing w:before="1"/>
        <w:ind w:left="181" w:right="7189" w:firstLine="0"/>
        <w:jc w:val="center"/>
        <w:rPr>
          <w:rFonts w:ascii="Calibri"/>
          <w:sz w:val="18"/>
        </w:rPr>
      </w:pPr>
      <w:r>
        <w:rPr>
          <w:rFonts w:ascii="Calibri"/>
          <w:sz w:val="18"/>
        </w:rPr>
        <w:t>816 pb</w:t>
      </w:r>
    </w:p>
    <w:p>
      <w:pPr>
        <w:pStyle w:val="BodyText"/>
        <w:spacing w:before="1"/>
        <w:rPr>
          <w:rFonts w:ascii="Calibri"/>
          <w:sz w:val="22"/>
        </w:rPr>
      </w:pPr>
    </w:p>
    <w:p>
      <w:pPr>
        <w:spacing w:before="0"/>
        <w:ind w:left="855" w:right="0" w:firstLine="0"/>
        <w:jc w:val="left"/>
        <w:rPr>
          <w:rFonts w:ascii="Calibri"/>
          <w:b/>
          <w:i/>
          <w:sz w:val="18"/>
        </w:rPr>
      </w:pPr>
      <w:r>
        <w:rPr>
          <w:rFonts w:ascii="Calibri"/>
          <w:b/>
          <w:i/>
          <w:sz w:val="18"/>
        </w:rPr>
        <w:t>rpoB</w:t>
      </w:r>
    </w:p>
    <w:p>
      <w:pPr>
        <w:spacing w:before="1"/>
        <w:ind w:left="181" w:right="7213" w:firstLine="0"/>
        <w:jc w:val="center"/>
        <w:rPr>
          <w:rFonts w:ascii="Calibri"/>
          <w:sz w:val="18"/>
        </w:rPr>
      </w:pPr>
      <w:r>
        <w:rPr>
          <w:rFonts w:ascii="Calibri"/>
          <w:sz w:val="18"/>
        </w:rPr>
        <w:t>416 pb</w:t>
      </w:r>
    </w:p>
    <w:p>
      <w:pPr>
        <w:pStyle w:val="BodyText"/>
        <w:rPr>
          <w:rFonts w:ascii="Calibri"/>
          <w:sz w:val="18"/>
        </w:rPr>
      </w:pPr>
    </w:p>
    <w:p>
      <w:pPr>
        <w:pStyle w:val="BodyText"/>
        <w:rPr>
          <w:rFonts w:ascii="Calibri"/>
          <w:sz w:val="18"/>
        </w:rPr>
      </w:pPr>
    </w:p>
    <w:p>
      <w:pPr>
        <w:spacing w:line="219" w:lineRule="exact" w:before="1"/>
        <w:ind w:left="181" w:right="7204" w:firstLine="0"/>
        <w:jc w:val="center"/>
        <w:rPr>
          <w:rFonts w:ascii="Calibri"/>
          <w:b/>
          <w:i/>
          <w:sz w:val="18"/>
        </w:rPr>
      </w:pPr>
      <w:r>
        <w:rPr>
          <w:rFonts w:ascii="Calibri"/>
          <w:b/>
          <w:i/>
          <w:sz w:val="18"/>
        </w:rPr>
        <w:t>pld</w:t>
      </w:r>
    </w:p>
    <w:p>
      <w:pPr>
        <w:spacing w:line="219" w:lineRule="exact" w:before="0"/>
        <w:ind w:left="181" w:right="7204" w:firstLine="0"/>
        <w:jc w:val="center"/>
        <w:rPr>
          <w:rFonts w:ascii="Calibri"/>
          <w:sz w:val="18"/>
        </w:rPr>
      </w:pPr>
      <w:r>
        <w:rPr>
          <w:rFonts w:ascii="Calibri"/>
          <w:sz w:val="18"/>
        </w:rPr>
        <w:t>203 pb</w:t>
      </w:r>
    </w:p>
    <w:p>
      <w:pPr>
        <w:pStyle w:val="BodyText"/>
        <w:rPr>
          <w:rFonts w:ascii="Calibri"/>
          <w:sz w:val="20"/>
        </w:rPr>
      </w:pPr>
    </w:p>
    <w:p>
      <w:pPr>
        <w:pStyle w:val="BodyText"/>
        <w:spacing w:before="6"/>
        <w:rPr>
          <w:rFonts w:ascii="Calibri"/>
          <w:sz w:val="22"/>
        </w:rPr>
      </w:pPr>
    </w:p>
    <w:p>
      <w:pPr>
        <w:spacing w:line="240" w:lineRule="auto" w:before="69"/>
        <w:ind w:left="152" w:right="403" w:firstLine="662"/>
        <w:jc w:val="left"/>
        <w:rPr>
          <w:i/>
          <w:sz w:val="24"/>
        </w:rPr>
      </w:pPr>
      <w:bookmarkStart w:name="_bookmark39" w:id="40"/>
      <w:bookmarkEnd w:id="40"/>
      <w:r>
        <w:rPr/>
      </w:r>
      <w:r>
        <w:rPr>
          <w:b/>
          <w:sz w:val="24"/>
        </w:rPr>
        <w:t>Figura 6 PCR Multiplex. Variación en la amplificación del gen 16S. </w:t>
      </w:r>
      <w:r>
        <w:rPr>
          <w:sz w:val="24"/>
        </w:rPr>
        <w:t>Gel agarosa 1.5 %. </w:t>
      </w:r>
      <w:r>
        <w:rPr>
          <w:b/>
          <w:sz w:val="24"/>
        </w:rPr>
        <w:t>(MW) </w:t>
      </w:r>
      <w:r>
        <w:rPr>
          <w:sz w:val="24"/>
        </w:rPr>
        <w:t>Marcador de peso molecular 1 Kb Plus DNA Ladder™ (Invitrogen). </w:t>
      </w:r>
      <w:r>
        <w:rPr>
          <w:b/>
          <w:sz w:val="24"/>
        </w:rPr>
        <w:t>(Línea 1) </w:t>
      </w:r>
      <w:r>
        <w:rPr>
          <w:sz w:val="24"/>
        </w:rPr>
        <w:t>Control positivo ATCC 43924. </w:t>
      </w:r>
      <w:r>
        <w:rPr>
          <w:b/>
          <w:sz w:val="24"/>
        </w:rPr>
        <w:t>(Línea 2) </w:t>
      </w:r>
      <w:r>
        <w:rPr>
          <w:sz w:val="24"/>
        </w:rPr>
        <w:t>muestra blanco. </w:t>
      </w:r>
      <w:r>
        <w:rPr>
          <w:b/>
          <w:sz w:val="24"/>
        </w:rPr>
        <w:t>(Líneas 3-10) a</w:t>
      </w:r>
      <w:r>
        <w:rPr>
          <w:sz w:val="24"/>
        </w:rPr>
        <w:t>islados </w:t>
      </w:r>
      <w:r>
        <w:rPr>
          <w:i/>
          <w:sz w:val="24"/>
        </w:rPr>
        <w:t>Corynebacterium pseudotuberculosis.</w:t>
      </w:r>
    </w:p>
    <w:p>
      <w:pPr>
        <w:spacing w:after="0" w:line="240" w:lineRule="auto"/>
        <w:jc w:val="left"/>
        <w:rPr>
          <w:sz w:val="24"/>
        </w:rPr>
        <w:sectPr>
          <w:pgSz w:w="12240" w:h="15840"/>
          <w:pgMar w:header="0" w:footer="1386" w:top="1500" w:bottom="1580" w:left="1720" w:right="1420"/>
        </w:sectPr>
      </w:pPr>
    </w:p>
    <w:p>
      <w:pPr>
        <w:pStyle w:val="BodyText"/>
        <w:spacing w:before="11"/>
        <w:rPr>
          <w:i/>
          <w:sz w:val="20"/>
        </w:rPr>
      </w:pPr>
    </w:p>
    <w:p>
      <w:pPr>
        <w:pStyle w:val="Heading3"/>
        <w:tabs>
          <w:tab w:pos="664" w:val="left" w:leader="none"/>
          <w:tab w:pos="1264" w:val="left" w:leader="none"/>
          <w:tab w:pos="1797" w:val="left" w:leader="none"/>
          <w:tab w:pos="2332" w:val="left" w:leader="none"/>
          <w:tab w:pos="2865" w:val="left" w:leader="none"/>
        </w:tabs>
        <w:ind w:left="38"/>
        <w:jc w:val="center"/>
      </w:pPr>
      <w:r>
        <w:rPr/>
        <w:t>MW</w:t>
        <w:tab/>
        <w:t>1</w:t>
        <w:tab/>
        <w:t>2</w:t>
        <w:tab/>
        <w:t>3</w:t>
        <w:tab/>
        <w:t>4</w:t>
        <w:tab/>
        <w:t>5</w:t>
      </w:r>
    </w:p>
    <w:p>
      <w:pPr>
        <w:pStyle w:val="BodyText"/>
        <w:rPr>
          <w:b/>
          <w:sz w:val="20"/>
        </w:rPr>
      </w:pPr>
    </w:p>
    <w:p>
      <w:pPr>
        <w:pStyle w:val="BodyText"/>
        <w:rPr>
          <w:b/>
          <w:sz w:val="20"/>
        </w:rPr>
      </w:pPr>
    </w:p>
    <w:p>
      <w:pPr>
        <w:pStyle w:val="BodyText"/>
        <w:spacing w:before="1"/>
        <w:rPr>
          <w:b/>
          <w:sz w:val="21"/>
        </w:rPr>
      </w:pPr>
    </w:p>
    <w:p>
      <w:pPr>
        <w:spacing w:before="64"/>
        <w:ind w:left="38" w:right="5300" w:firstLine="0"/>
        <w:jc w:val="center"/>
        <w:rPr>
          <w:rFonts w:ascii="Calibri"/>
          <w:b/>
          <w:i/>
          <w:sz w:val="18"/>
        </w:rPr>
      </w:pPr>
      <w:r>
        <w:rPr/>
        <w:pict>
          <v:group style="position:absolute;margin-left:207.720001pt;margin-top:-34.930634pt;width:188.9pt;height:163.2pt;mso-position-horizontal-relative:page;mso-position-vertical-relative:paragraph;z-index:1456" coordorigin="4154,-699" coordsize="3778,3264">
            <v:shape style="position:absolute;left:4649;top:-699;width:3283;height:3264" type="#_x0000_t75" stroked="false">
              <v:imagedata r:id="rId25" o:title=""/>
            </v:shape>
            <v:shape style="position:absolute;left:4154;top:235;width:494;height:1738" coordorigin="4154,235" coordsize="494,1738" path="m4638,317l4621,307,4499,235,4493,237,4487,246,4489,252,4582,307,4154,307,4154,327,4582,327,4599,317,4599,317,4489,381,4487,387,4493,396,4499,398,4621,327,4638,317m4643,1152l4626,1142,4504,1070,4498,1072,4492,1082,4494,1088,4586,1142,4159,1142,4159,1162,4587,1162,4604,1152,4604,1152,4494,1216,4492,1222,4498,1232,4504,1233,4626,1162,4643,1152m4648,1891l4631,1881,4508,1810,4502,1811,4497,1821,4498,1827,4591,1881,4164,1881,4164,1901,4591,1901,4498,1955,4497,1961,4502,1971,4508,1972,4631,1901,4648,1891e" filled="true" fillcolor="#ff0000" stroked="false">
              <v:path arrowok="t"/>
              <v:fill type="solid"/>
            </v:shape>
            <w10:wrap type="none"/>
          </v:group>
        </w:pict>
      </w:r>
      <w:r>
        <w:rPr>
          <w:rFonts w:ascii="Calibri"/>
          <w:b/>
          <w:i/>
          <w:sz w:val="18"/>
        </w:rPr>
        <w:t>16S</w:t>
      </w:r>
    </w:p>
    <w:p>
      <w:pPr>
        <w:spacing w:before="1"/>
        <w:ind w:left="38" w:right="5298" w:firstLine="0"/>
        <w:jc w:val="center"/>
        <w:rPr>
          <w:rFonts w:ascii="Calibri"/>
          <w:sz w:val="18"/>
        </w:rPr>
      </w:pPr>
      <w:r>
        <w:rPr>
          <w:rFonts w:ascii="Calibri"/>
          <w:sz w:val="18"/>
        </w:rPr>
        <w:t>816 pb</w:t>
      </w:r>
    </w:p>
    <w:p>
      <w:pPr>
        <w:pStyle w:val="BodyText"/>
        <w:rPr>
          <w:rFonts w:ascii="Calibri"/>
          <w:sz w:val="18"/>
        </w:rPr>
      </w:pPr>
    </w:p>
    <w:p>
      <w:pPr>
        <w:pStyle w:val="BodyText"/>
        <w:spacing w:before="6"/>
        <w:rPr>
          <w:rFonts w:ascii="Calibri"/>
          <w:sz w:val="15"/>
        </w:rPr>
      </w:pPr>
    </w:p>
    <w:p>
      <w:pPr>
        <w:spacing w:before="0"/>
        <w:ind w:left="1722" w:right="371" w:firstLine="0"/>
        <w:jc w:val="left"/>
        <w:rPr>
          <w:rFonts w:ascii="Calibri"/>
          <w:b/>
          <w:i/>
          <w:sz w:val="18"/>
        </w:rPr>
      </w:pPr>
      <w:r>
        <w:rPr>
          <w:rFonts w:ascii="Calibri"/>
          <w:b/>
          <w:i/>
          <w:sz w:val="18"/>
        </w:rPr>
        <w:t>rpoB</w:t>
      </w:r>
    </w:p>
    <w:p>
      <w:pPr>
        <w:spacing w:before="1"/>
        <w:ind w:left="38" w:right="5318" w:firstLine="0"/>
        <w:jc w:val="center"/>
        <w:rPr>
          <w:rFonts w:ascii="Calibri"/>
          <w:sz w:val="18"/>
        </w:rPr>
      </w:pPr>
      <w:r>
        <w:rPr>
          <w:rFonts w:ascii="Calibri"/>
          <w:sz w:val="18"/>
        </w:rPr>
        <w:t>416 pb</w:t>
      </w:r>
    </w:p>
    <w:p>
      <w:pPr>
        <w:pStyle w:val="BodyText"/>
        <w:spacing w:before="5"/>
        <w:rPr>
          <w:rFonts w:ascii="Calibri"/>
        </w:rPr>
      </w:pPr>
    </w:p>
    <w:p>
      <w:pPr>
        <w:spacing w:before="0"/>
        <w:ind w:left="38" w:right="5313" w:firstLine="0"/>
        <w:jc w:val="center"/>
        <w:rPr>
          <w:rFonts w:ascii="Calibri"/>
          <w:b/>
          <w:i/>
          <w:sz w:val="18"/>
        </w:rPr>
      </w:pPr>
      <w:r>
        <w:rPr>
          <w:rFonts w:ascii="Calibri"/>
          <w:b/>
          <w:i/>
          <w:sz w:val="18"/>
        </w:rPr>
        <w:t>pld</w:t>
      </w:r>
    </w:p>
    <w:p>
      <w:pPr>
        <w:spacing w:before="1"/>
        <w:ind w:left="38" w:right="5313" w:firstLine="0"/>
        <w:jc w:val="center"/>
        <w:rPr>
          <w:rFonts w:ascii="Calibri"/>
          <w:sz w:val="18"/>
        </w:rPr>
      </w:pPr>
      <w:r>
        <w:rPr>
          <w:rFonts w:ascii="Calibri"/>
          <w:sz w:val="18"/>
        </w:rPr>
        <w:t>203 pb</w:t>
      </w:r>
    </w:p>
    <w:p>
      <w:pPr>
        <w:pStyle w:val="BodyText"/>
        <w:rPr>
          <w:rFonts w:ascii="Calibri"/>
          <w:sz w:val="20"/>
        </w:rPr>
      </w:pPr>
    </w:p>
    <w:p>
      <w:pPr>
        <w:pStyle w:val="BodyText"/>
        <w:spacing w:before="9"/>
        <w:rPr>
          <w:rFonts w:ascii="Calibri"/>
          <w:sz w:val="18"/>
        </w:rPr>
      </w:pPr>
    </w:p>
    <w:p>
      <w:pPr>
        <w:pStyle w:val="Heading3"/>
        <w:spacing w:before="0"/>
        <w:ind w:left="829" w:right="371"/>
        <w:jc w:val="left"/>
      </w:pPr>
      <w:bookmarkStart w:name="_bookmark40" w:id="41"/>
      <w:bookmarkEnd w:id="41"/>
      <w:r>
        <w:rPr>
          <w:b w:val="0"/>
        </w:rPr>
      </w:r>
      <w:r>
        <w:rPr/>
        <w:t>Figura 7 PCR Multiplex. Variación en la amplificación del gen 16s.</w:t>
      </w:r>
    </w:p>
    <w:p>
      <w:pPr>
        <w:spacing w:line="240" w:lineRule="auto" w:before="0"/>
        <w:ind w:left="152" w:right="371" w:firstLine="0"/>
        <w:jc w:val="left"/>
        <w:rPr>
          <w:i/>
          <w:sz w:val="24"/>
        </w:rPr>
      </w:pPr>
      <w:r>
        <w:rPr>
          <w:sz w:val="24"/>
        </w:rPr>
        <w:t>Gel agarosa 1.5 %. </w:t>
      </w:r>
      <w:r>
        <w:rPr>
          <w:b/>
          <w:sz w:val="24"/>
        </w:rPr>
        <w:t>(MW) </w:t>
      </w:r>
      <w:r>
        <w:rPr>
          <w:sz w:val="24"/>
        </w:rPr>
        <w:t>Marcador de peso molecular 1 Kb Plus DNA Ladder™ (Invitrogen). </w:t>
      </w:r>
      <w:r>
        <w:rPr>
          <w:b/>
          <w:sz w:val="24"/>
        </w:rPr>
        <w:t>(Línea 1) </w:t>
      </w:r>
      <w:r>
        <w:rPr>
          <w:sz w:val="24"/>
        </w:rPr>
        <w:t>Control positivo ATCC 43924. </w:t>
      </w:r>
      <w:r>
        <w:rPr>
          <w:b/>
          <w:sz w:val="24"/>
        </w:rPr>
        <w:t>(Línea 2) </w:t>
      </w:r>
      <w:r>
        <w:rPr>
          <w:sz w:val="24"/>
        </w:rPr>
        <w:t>muestra blanco. </w:t>
      </w:r>
      <w:r>
        <w:rPr>
          <w:b/>
          <w:sz w:val="24"/>
        </w:rPr>
        <w:t>(Líneas 3-5) </w:t>
      </w:r>
      <w:r>
        <w:rPr>
          <w:sz w:val="24"/>
        </w:rPr>
        <w:t>aislados </w:t>
      </w:r>
      <w:r>
        <w:rPr>
          <w:i/>
          <w:sz w:val="24"/>
        </w:rPr>
        <w:t>Corynebacterium pseudotuberculosis.</w:t>
      </w:r>
    </w:p>
    <w:p>
      <w:pPr>
        <w:pStyle w:val="Heading3"/>
        <w:tabs>
          <w:tab w:pos="2864" w:val="left" w:leader="none"/>
          <w:tab w:pos="3731" w:val="left" w:leader="none"/>
          <w:tab w:pos="4530" w:val="left" w:leader="none"/>
          <w:tab w:pos="5330" w:val="left" w:leader="none"/>
          <w:tab w:pos="6197" w:val="right" w:leader="none"/>
        </w:tabs>
        <w:spacing w:before="830"/>
        <w:ind w:left="2103"/>
        <w:jc w:val="left"/>
      </w:pPr>
      <w:r>
        <w:rPr/>
        <w:t>MW</w:t>
        <w:tab/>
        <w:t>1</w:t>
        <w:tab/>
        <w:t>2</w:t>
        <w:tab/>
        <w:t>3</w:t>
        <w:tab/>
        <w:t>4</w:t>
        <w:tab/>
        <w:t>5</w:t>
      </w:r>
    </w:p>
    <w:p>
      <w:pPr>
        <w:spacing w:before="978"/>
        <w:ind w:left="38" w:right="7575" w:firstLine="0"/>
        <w:jc w:val="center"/>
        <w:rPr>
          <w:rFonts w:ascii="Calibri"/>
          <w:b/>
          <w:i/>
          <w:sz w:val="18"/>
        </w:rPr>
      </w:pPr>
      <w:r>
        <w:rPr/>
        <w:pict>
          <v:group style="position:absolute;margin-left:151.440002pt;margin-top:.159323pt;width:301.8pt;height:183.4pt;mso-position-horizontal-relative:page;mso-position-vertical-relative:paragraph;z-index:-175528" coordorigin="3029,3" coordsize="6036,3668">
            <v:shape style="position:absolute;left:3516;top:3;width:5549;height:3667" type="#_x0000_t75" stroked="false">
              <v:imagedata r:id="rId26" o:title=""/>
            </v:shape>
            <v:shape style="position:absolute;left:3029;top:1117;width:494;height:1675" coordorigin="3029,1117" coordsize="494,1675" path="m3513,2710l3496,2700,3373,2629,3367,2631,3362,2640,3363,2646,3456,2700,3029,2700,3029,2720,3456,2720,3363,2775,3362,2781,3367,2790,3373,2792,3496,2720,3513,2710m3518,1198l3500,1188,3378,1117,3372,1119,3366,1128,3368,1134,3461,1188,3034,1188,3034,1208,3461,1208,3368,1263,3366,1269,3372,1278,3378,1280,3500,1208,3518,1198m3522,1909l3505,1899,3383,1827,3377,1829,3371,1839,3373,1845,3466,1899,3038,1899,3038,1919,3466,1919,3373,1973,3371,1979,3377,1989,3383,1990,3505,1919,3522,1909e" filled="true" fillcolor="#ff0000" stroked="false">
              <v:path arrowok="t"/>
              <v:fill type="solid"/>
            </v:shape>
            <w10:wrap type="none"/>
          </v:group>
        </w:pict>
      </w:r>
      <w:r>
        <w:rPr>
          <w:rFonts w:ascii="Calibri"/>
          <w:b/>
          <w:i/>
          <w:sz w:val="18"/>
        </w:rPr>
        <w:t>16S</w:t>
      </w:r>
    </w:p>
    <w:p>
      <w:pPr>
        <w:spacing w:before="1"/>
        <w:ind w:left="38" w:right="7574" w:firstLine="0"/>
        <w:jc w:val="center"/>
        <w:rPr>
          <w:rFonts w:ascii="Calibri"/>
          <w:sz w:val="18"/>
        </w:rPr>
      </w:pPr>
      <w:r>
        <w:rPr>
          <w:rFonts w:ascii="Calibri"/>
          <w:sz w:val="18"/>
        </w:rPr>
        <w:t>816 pb</w:t>
      </w:r>
    </w:p>
    <w:p>
      <w:pPr>
        <w:spacing w:line="219" w:lineRule="exact" w:before="284"/>
        <w:ind w:left="601" w:right="371" w:firstLine="0"/>
        <w:jc w:val="left"/>
        <w:rPr>
          <w:rFonts w:ascii="Calibri"/>
          <w:b/>
          <w:i/>
          <w:sz w:val="18"/>
        </w:rPr>
      </w:pPr>
      <w:r>
        <w:rPr>
          <w:rFonts w:ascii="Calibri"/>
          <w:b/>
          <w:i/>
          <w:sz w:val="18"/>
        </w:rPr>
        <w:t>rpoB</w:t>
      </w:r>
    </w:p>
    <w:p>
      <w:pPr>
        <w:spacing w:line="219" w:lineRule="exact" w:before="0"/>
        <w:ind w:left="526" w:right="371" w:firstLine="0"/>
        <w:jc w:val="left"/>
        <w:rPr>
          <w:rFonts w:ascii="Calibri"/>
          <w:sz w:val="18"/>
        </w:rPr>
      </w:pPr>
      <w:r>
        <w:rPr>
          <w:rFonts w:ascii="Calibri"/>
          <w:sz w:val="18"/>
        </w:rPr>
        <w:t>416 pb</w:t>
      </w:r>
    </w:p>
    <w:p>
      <w:pPr>
        <w:spacing w:line="219" w:lineRule="exact" w:before="394"/>
        <w:ind w:left="38" w:right="7554" w:firstLine="0"/>
        <w:jc w:val="center"/>
        <w:rPr>
          <w:rFonts w:ascii="Calibri"/>
          <w:b/>
          <w:i/>
          <w:sz w:val="18"/>
        </w:rPr>
      </w:pPr>
      <w:r>
        <w:rPr>
          <w:rFonts w:ascii="Calibri"/>
          <w:b/>
          <w:i/>
          <w:sz w:val="18"/>
        </w:rPr>
        <w:t>pld</w:t>
      </w:r>
    </w:p>
    <w:p>
      <w:pPr>
        <w:spacing w:line="219" w:lineRule="exact" w:before="0"/>
        <w:ind w:left="38" w:right="7554" w:firstLine="0"/>
        <w:jc w:val="center"/>
        <w:rPr>
          <w:rFonts w:ascii="Calibri"/>
          <w:sz w:val="18"/>
        </w:rPr>
      </w:pPr>
      <w:r>
        <w:rPr>
          <w:rFonts w:ascii="Calibri"/>
          <w:sz w:val="18"/>
        </w:rPr>
        <w:t>203 pb</w:t>
      </w:r>
    </w:p>
    <w:p>
      <w:pPr>
        <w:spacing w:line="240" w:lineRule="auto" w:before="694"/>
        <w:ind w:left="174" w:right="112" w:hanging="2"/>
        <w:jc w:val="center"/>
        <w:rPr>
          <w:sz w:val="24"/>
        </w:rPr>
      </w:pPr>
      <w:bookmarkStart w:name="_bookmark41" w:id="42"/>
      <w:bookmarkEnd w:id="42"/>
      <w:r>
        <w:rPr/>
      </w:r>
      <w:r>
        <w:rPr>
          <w:b/>
          <w:sz w:val="24"/>
        </w:rPr>
        <w:t>Figura 8 PCR Multiplex. Aislado con crecimiento pardo amarillento </w:t>
      </w:r>
      <w:r>
        <w:rPr>
          <w:sz w:val="24"/>
        </w:rPr>
        <w:t>Amplificación del gen </w:t>
      </w:r>
      <w:r>
        <w:rPr>
          <w:i/>
          <w:sz w:val="24"/>
        </w:rPr>
        <w:t>rpoB</w:t>
      </w:r>
      <w:r>
        <w:rPr>
          <w:sz w:val="24"/>
        </w:rPr>
        <w:t>. Gel agarosa 1.5 %. </w:t>
      </w:r>
      <w:r>
        <w:rPr>
          <w:b/>
          <w:sz w:val="24"/>
        </w:rPr>
        <w:t>(MW) </w:t>
      </w:r>
      <w:r>
        <w:rPr>
          <w:sz w:val="24"/>
        </w:rPr>
        <w:t>Marcador de peso molecular 1 Kb Plus DNA Ladder™ (Invitrogen). </w:t>
      </w:r>
      <w:r>
        <w:rPr>
          <w:b/>
          <w:sz w:val="24"/>
        </w:rPr>
        <w:t>(Línea 1) </w:t>
      </w:r>
      <w:r>
        <w:rPr>
          <w:sz w:val="24"/>
        </w:rPr>
        <w:t>muestra blanco (</w:t>
      </w:r>
      <w:r>
        <w:rPr>
          <w:b/>
          <w:sz w:val="24"/>
        </w:rPr>
        <w:t>Línea 2) </w:t>
      </w:r>
      <w:r>
        <w:rPr>
          <w:sz w:val="24"/>
        </w:rPr>
        <w:t>Control positivo ATCC 43924. </w:t>
      </w:r>
      <w:r>
        <w:rPr>
          <w:b/>
          <w:sz w:val="24"/>
        </w:rPr>
        <w:t>(Líneas 3 y 4) </w:t>
      </w:r>
      <w:r>
        <w:rPr>
          <w:sz w:val="24"/>
        </w:rPr>
        <w:t>aislado de Corynebacterium </w:t>
      </w:r>
      <w:r>
        <w:rPr>
          <w:i/>
          <w:sz w:val="24"/>
        </w:rPr>
        <w:t>spp. </w:t>
      </w:r>
      <w:r>
        <w:rPr>
          <w:sz w:val="24"/>
        </w:rPr>
        <w:t>Diferente concentración de ADN. </w:t>
      </w:r>
      <w:r>
        <w:rPr>
          <w:b/>
          <w:sz w:val="24"/>
        </w:rPr>
        <w:t>(Línea 5) </w:t>
      </w:r>
      <w:r>
        <w:rPr>
          <w:sz w:val="24"/>
        </w:rPr>
        <w:t>aislado </w:t>
      </w:r>
      <w:r>
        <w:rPr>
          <w:i/>
          <w:sz w:val="24"/>
        </w:rPr>
        <w:t>Corynebacterium pseudotuberculosis</w:t>
      </w:r>
      <w:r>
        <w:rPr>
          <w:sz w:val="24"/>
        </w:rPr>
        <w:t>.</w:t>
      </w:r>
    </w:p>
    <w:p>
      <w:pPr>
        <w:spacing w:after="0" w:line="240" w:lineRule="auto"/>
        <w:jc w:val="center"/>
        <w:rPr>
          <w:sz w:val="24"/>
        </w:rPr>
        <w:sectPr>
          <w:pgSz w:w="12240" w:h="15840"/>
          <w:pgMar w:header="0" w:footer="1386" w:top="1500" w:bottom="1580" w:left="1720" w:right="1440"/>
        </w:sectPr>
      </w:pPr>
    </w:p>
    <w:p>
      <w:pPr>
        <w:pStyle w:val="Heading3"/>
        <w:spacing w:before="313"/>
        <w:ind w:left="1537"/>
        <w:jc w:val="left"/>
      </w:pPr>
      <w:bookmarkStart w:name="_bookmark42" w:id="43"/>
      <w:bookmarkEnd w:id="43"/>
      <w:r>
        <w:rPr>
          <w:b w:val="0"/>
        </w:rPr>
      </w:r>
      <w:r>
        <w:rPr/>
        <w:t>Cuadro 9 Variación de los genes en el PCR Multiplex.</w:t>
      </w:r>
    </w:p>
    <w:p>
      <w:pPr>
        <w:pStyle w:val="BodyText"/>
        <w:spacing w:before="5"/>
        <w:rPr>
          <w:b/>
          <w:sz w:val="17"/>
        </w:rPr>
      </w:pPr>
    </w:p>
    <w:tbl>
      <w:tblPr>
        <w:tblW w:w="0" w:type="auto"/>
        <w:jc w:val="left"/>
        <w:tblInd w:w="3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83"/>
        <w:gridCol w:w="1718"/>
        <w:gridCol w:w="1848"/>
        <w:gridCol w:w="1763"/>
        <w:gridCol w:w="1795"/>
      </w:tblGrid>
      <w:tr>
        <w:trPr>
          <w:trHeight w:val="1039" w:hRule="exact"/>
        </w:trPr>
        <w:tc>
          <w:tcPr>
            <w:tcW w:w="1383" w:type="dxa"/>
            <w:tcBorders>
              <w:left w:val="nil"/>
              <w:right w:val="nil"/>
            </w:tcBorders>
          </w:tcPr>
          <w:p>
            <w:pPr>
              <w:pStyle w:val="TableParagraph"/>
              <w:spacing w:line="274" w:lineRule="exact" w:before="0"/>
              <w:ind w:left="107"/>
              <w:rPr>
                <w:rFonts w:ascii="Arial"/>
                <w:b/>
                <w:sz w:val="24"/>
              </w:rPr>
            </w:pPr>
            <w:r>
              <w:rPr>
                <w:rFonts w:ascii="Arial"/>
                <w:b/>
                <w:sz w:val="24"/>
              </w:rPr>
              <w:t>Aislado</w:t>
            </w:r>
          </w:p>
        </w:tc>
        <w:tc>
          <w:tcPr>
            <w:tcW w:w="1718" w:type="dxa"/>
            <w:tcBorders>
              <w:left w:val="nil"/>
              <w:right w:val="nil"/>
            </w:tcBorders>
          </w:tcPr>
          <w:p>
            <w:pPr>
              <w:pStyle w:val="TableParagraph"/>
              <w:spacing w:line="274" w:lineRule="exact" w:before="0"/>
              <w:ind w:left="409"/>
              <w:rPr>
                <w:rFonts w:ascii="Arial"/>
                <w:b/>
                <w:sz w:val="24"/>
              </w:rPr>
            </w:pPr>
            <w:r>
              <w:rPr>
                <w:rFonts w:ascii="Arial"/>
                <w:b/>
                <w:sz w:val="24"/>
              </w:rPr>
              <w:t>Especie</w:t>
            </w:r>
          </w:p>
        </w:tc>
        <w:tc>
          <w:tcPr>
            <w:tcW w:w="1848" w:type="dxa"/>
            <w:tcBorders>
              <w:left w:val="nil"/>
              <w:right w:val="nil"/>
            </w:tcBorders>
          </w:tcPr>
          <w:p>
            <w:pPr>
              <w:pStyle w:val="TableParagraph"/>
              <w:spacing w:line="274" w:lineRule="exact" w:before="0"/>
              <w:ind w:left="669"/>
              <w:rPr>
                <w:rFonts w:ascii="Arial"/>
                <w:b/>
                <w:i/>
                <w:sz w:val="24"/>
              </w:rPr>
            </w:pPr>
            <w:r>
              <w:rPr>
                <w:rFonts w:ascii="Arial"/>
                <w:b/>
                <w:sz w:val="24"/>
              </w:rPr>
              <w:t>Gen </w:t>
            </w:r>
            <w:r>
              <w:rPr>
                <w:rFonts w:ascii="Arial"/>
                <w:b/>
                <w:i/>
                <w:sz w:val="24"/>
              </w:rPr>
              <w:t>16s</w:t>
            </w:r>
          </w:p>
          <w:p>
            <w:pPr>
              <w:pStyle w:val="TableParagraph"/>
              <w:spacing w:before="139"/>
              <w:ind w:left="676"/>
              <w:rPr>
                <w:rFonts w:ascii="Arial"/>
                <w:b/>
                <w:sz w:val="24"/>
              </w:rPr>
            </w:pPr>
            <w:r>
              <w:rPr>
                <w:rFonts w:ascii="Arial"/>
                <w:b/>
                <w:sz w:val="24"/>
              </w:rPr>
              <w:t>(816 pb)</w:t>
            </w:r>
          </w:p>
        </w:tc>
        <w:tc>
          <w:tcPr>
            <w:tcW w:w="1763" w:type="dxa"/>
            <w:tcBorders>
              <w:left w:val="nil"/>
              <w:right w:val="nil"/>
            </w:tcBorders>
          </w:tcPr>
          <w:p>
            <w:pPr>
              <w:pStyle w:val="TableParagraph"/>
              <w:spacing w:line="274" w:lineRule="exact" w:before="0"/>
              <w:ind w:left="454"/>
              <w:rPr>
                <w:rFonts w:ascii="Arial"/>
                <w:b/>
                <w:i/>
                <w:sz w:val="24"/>
              </w:rPr>
            </w:pPr>
            <w:r>
              <w:rPr>
                <w:rFonts w:ascii="Arial"/>
                <w:b/>
                <w:sz w:val="24"/>
              </w:rPr>
              <w:t>Gen </w:t>
            </w:r>
            <w:r>
              <w:rPr>
                <w:rFonts w:ascii="Arial"/>
                <w:b/>
                <w:i/>
                <w:sz w:val="24"/>
              </w:rPr>
              <w:t>rpoB</w:t>
            </w:r>
          </w:p>
          <w:p>
            <w:pPr>
              <w:pStyle w:val="TableParagraph"/>
              <w:spacing w:before="139"/>
              <w:ind w:left="540"/>
              <w:rPr>
                <w:rFonts w:ascii="Arial"/>
                <w:b/>
                <w:sz w:val="24"/>
              </w:rPr>
            </w:pPr>
            <w:r>
              <w:rPr>
                <w:rFonts w:ascii="Arial"/>
                <w:b/>
                <w:sz w:val="24"/>
              </w:rPr>
              <w:t>(446 pb)</w:t>
            </w:r>
          </w:p>
        </w:tc>
        <w:tc>
          <w:tcPr>
            <w:tcW w:w="1795" w:type="dxa"/>
            <w:tcBorders>
              <w:left w:val="nil"/>
              <w:right w:val="nil"/>
            </w:tcBorders>
          </w:tcPr>
          <w:p>
            <w:pPr>
              <w:pStyle w:val="TableParagraph"/>
              <w:spacing w:line="360" w:lineRule="auto" w:before="0"/>
              <w:ind w:left="762" w:right="109" w:hanging="536"/>
              <w:rPr>
                <w:rFonts w:ascii="Arial"/>
                <w:b/>
                <w:sz w:val="24"/>
              </w:rPr>
            </w:pPr>
            <w:r>
              <w:rPr>
                <w:rFonts w:ascii="Arial"/>
                <w:b/>
                <w:sz w:val="24"/>
              </w:rPr>
              <w:t>Gen </w:t>
            </w:r>
            <w:r>
              <w:rPr>
                <w:rFonts w:ascii="Arial"/>
                <w:b/>
                <w:i/>
                <w:sz w:val="24"/>
              </w:rPr>
              <w:t>pld </w:t>
            </w:r>
            <w:r>
              <w:rPr>
                <w:rFonts w:ascii="Arial"/>
                <w:b/>
                <w:sz w:val="24"/>
              </w:rPr>
              <w:t>(206 pb)</w:t>
            </w:r>
          </w:p>
        </w:tc>
      </w:tr>
      <w:tr>
        <w:trPr>
          <w:trHeight w:val="461" w:hRule="exact"/>
        </w:trPr>
        <w:tc>
          <w:tcPr>
            <w:tcW w:w="1383" w:type="dxa"/>
            <w:tcBorders>
              <w:left w:val="nil"/>
              <w:bottom w:val="nil"/>
              <w:right w:val="nil"/>
            </w:tcBorders>
          </w:tcPr>
          <w:p>
            <w:pPr>
              <w:pStyle w:val="TableParagraph"/>
              <w:spacing w:line="274" w:lineRule="exact" w:before="0"/>
              <w:ind w:left="107"/>
              <w:rPr>
                <w:rFonts w:ascii="Arial"/>
                <w:sz w:val="24"/>
              </w:rPr>
            </w:pPr>
            <w:r>
              <w:rPr>
                <w:rFonts w:ascii="Arial"/>
                <w:sz w:val="24"/>
              </w:rPr>
              <w:t>2-4</w:t>
            </w:r>
          </w:p>
        </w:tc>
        <w:tc>
          <w:tcPr>
            <w:tcW w:w="1718" w:type="dxa"/>
            <w:tcBorders>
              <w:left w:val="nil"/>
              <w:bottom w:val="nil"/>
              <w:right w:val="nil"/>
            </w:tcBorders>
          </w:tcPr>
          <w:p>
            <w:pPr>
              <w:pStyle w:val="TableParagraph"/>
              <w:spacing w:line="274" w:lineRule="exact" w:before="0"/>
              <w:ind w:left="409"/>
              <w:rPr>
                <w:rFonts w:ascii="Arial"/>
                <w:sz w:val="24"/>
              </w:rPr>
            </w:pPr>
            <w:r>
              <w:rPr>
                <w:rFonts w:ascii="Arial"/>
                <w:sz w:val="24"/>
              </w:rPr>
              <w:t>Caprino</w:t>
            </w:r>
          </w:p>
        </w:tc>
        <w:tc>
          <w:tcPr>
            <w:tcW w:w="1848" w:type="dxa"/>
            <w:tcBorders>
              <w:left w:val="nil"/>
              <w:bottom w:val="nil"/>
              <w:right w:val="nil"/>
            </w:tcBorders>
          </w:tcPr>
          <w:p>
            <w:pPr>
              <w:pStyle w:val="TableParagraph"/>
              <w:spacing w:line="274" w:lineRule="exact" w:before="0"/>
              <w:ind w:left="400"/>
              <w:rPr>
                <w:rFonts w:ascii="Arial"/>
                <w:sz w:val="24"/>
              </w:rPr>
            </w:pPr>
            <w:r>
              <w:rPr>
                <w:rFonts w:ascii="Arial"/>
                <w:w w:val="99"/>
                <w:sz w:val="24"/>
              </w:rPr>
              <w:t>-</w:t>
            </w:r>
          </w:p>
        </w:tc>
        <w:tc>
          <w:tcPr>
            <w:tcW w:w="1763" w:type="dxa"/>
            <w:tcBorders>
              <w:left w:val="nil"/>
              <w:bottom w:val="nil"/>
              <w:right w:val="nil"/>
            </w:tcBorders>
          </w:tcPr>
          <w:p>
            <w:pPr>
              <w:pStyle w:val="TableParagraph"/>
              <w:spacing w:line="274" w:lineRule="exact" w:before="0"/>
              <w:ind w:left="243"/>
              <w:rPr>
                <w:rFonts w:ascii="Arial"/>
                <w:sz w:val="24"/>
              </w:rPr>
            </w:pPr>
            <w:r>
              <w:rPr>
                <w:rFonts w:ascii="Arial"/>
                <w:w w:val="100"/>
                <w:sz w:val="24"/>
              </w:rPr>
              <w:t>+</w:t>
            </w:r>
          </w:p>
        </w:tc>
        <w:tc>
          <w:tcPr>
            <w:tcW w:w="1795" w:type="dxa"/>
            <w:tcBorders>
              <w:left w:val="nil"/>
              <w:bottom w:val="nil"/>
              <w:right w:val="nil"/>
            </w:tcBorders>
          </w:tcPr>
          <w:p>
            <w:pPr>
              <w:pStyle w:val="TableParagraph"/>
              <w:spacing w:line="274" w:lineRule="exact" w:before="0"/>
              <w:ind w:left="213"/>
              <w:rPr>
                <w:rFonts w:ascii="Arial"/>
                <w:sz w:val="24"/>
              </w:rPr>
            </w:pPr>
            <w:r>
              <w:rPr>
                <w:rFonts w:ascii="Arial"/>
                <w:w w:val="100"/>
                <w:sz w:val="24"/>
              </w:rPr>
              <w:t>+</w:t>
            </w:r>
          </w:p>
        </w:tc>
      </w:tr>
      <w:tr>
        <w:trPr>
          <w:trHeight w:val="613"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002</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613" w:hRule="exact"/>
        </w:trPr>
        <w:tc>
          <w:tcPr>
            <w:tcW w:w="1383" w:type="dxa"/>
            <w:tcBorders>
              <w:top w:val="nil"/>
              <w:left w:val="nil"/>
              <w:bottom w:val="nil"/>
              <w:right w:val="nil"/>
            </w:tcBorders>
          </w:tcPr>
          <w:p>
            <w:pPr>
              <w:pStyle w:val="TableParagraph"/>
              <w:spacing w:before="155"/>
              <w:ind w:left="107"/>
              <w:rPr>
                <w:rFonts w:ascii="Arial"/>
                <w:sz w:val="24"/>
              </w:rPr>
            </w:pPr>
            <w:r>
              <w:rPr>
                <w:rFonts w:ascii="Arial"/>
                <w:sz w:val="24"/>
              </w:rPr>
              <w:t>728917</w:t>
            </w:r>
          </w:p>
        </w:tc>
        <w:tc>
          <w:tcPr>
            <w:tcW w:w="1718" w:type="dxa"/>
            <w:tcBorders>
              <w:top w:val="nil"/>
              <w:left w:val="nil"/>
              <w:bottom w:val="nil"/>
              <w:right w:val="nil"/>
            </w:tcBorders>
          </w:tcPr>
          <w:p>
            <w:pPr>
              <w:pStyle w:val="TableParagraph"/>
              <w:spacing w:before="155"/>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5"/>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5"/>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5"/>
              <w:ind w:left="213"/>
              <w:rPr>
                <w:rFonts w:ascii="Arial"/>
                <w:sz w:val="24"/>
              </w:rPr>
            </w:pPr>
            <w:r>
              <w:rPr>
                <w:rFonts w:ascii="Arial"/>
                <w:w w:val="100"/>
                <w:sz w:val="24"/>
              </w:rPr>
              <w:t>+</w:t>
            </w:r>
          </w:p>
        </w:tc>
      </w:tr>
      <w:tr>
        <w:trPr>
          <w:trHeight w:val="614"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023b</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614"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9-12</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614"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024</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614"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4-4</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613" w:hRule="exact"/>
        </w:trPr>
        <w:tc>
          <w:tcPr>
            <w:tcW w:w="1383" w:type="dxa"/>
            <w:tcBorders>
              <w:top w:val="nil"/>
              <w:left w:val="nil"/>
              <w:bottom w:val="nil"/>
              <w:right w:val="nil"/>
            </w:tcBorders>
          </w:tcPr>
          <w:p>
            <w:pPr>
              <w:pStyle w:val="TableParagraph"/>
              <w:spacing w:before="156"/>
              <w:ind w:left="107"/>
              <w:rPr>
                <w:rFonts w:ascii="Arial"/>
                <w:sz w:val="24"/>
              </w:rPr>
            </w:pPr>
            <w:r>
              <w:rPr>
                <w:rFonts w:ascii="Arial"/>
                <w:sz w:val="24"/>
              </w:rPr>
              <w:t>701127</w:t>
            </w:r>
          </w:p>
        </w:tc>
        <w:tc>
          <w:tcPr>
            <w:tcW w:w="1718" w:type="dxa"/>
            <w:tcBorders>
              <w:top w:val="nil"/>
              <w:left w:val="nil"/>
              <w:bottom w:val="nil"/>
              <w:right w:val="nil"/>
            </w:tcBorders>
          </w:tcPr>
          <w:p>
            <w:pPr>
              <w:pStyle w:val="TableParagraph"/>
              <w:spacing w:before="156"/>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6"/>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6"/>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6"/>
              <w:ind w:left="213"/>
              <w:rPr>
                <w:rFonts w:ascii="Arial"/>
                <w:sz w:val="24"/>
              </w:rPr>
            </w:pPr>
            <w:r>
              <w:rPr>
                <w:rFonts w:ascii="Arial"/>
                <w:w w:val="100"/>
                <w:sz w:val="24"/>
              </w:rPr>
              <w:t>+</w:t>
            </w:r>
          </w:p>
        </w:tc>
      </w:tr>
      <w:tr>
        <w:trPr>
          <w:trHeight w:val="720" w:hRule="exact"/>
        </w:trPr>
        <w:tc>
          <w:tcPr>
            <w:tcW w:w="1383" w:type="dxa"/>
            <w:tcBorders>
              <w:top w:val="nil"/>
              <w:left w:val="nil"/>
              <w:bottom w:val="nil"/>
              <w:right w:val="nil"/>
            </w:tcBorders>
          </w:tcPr>
          <w:p>
            <w:pPr>
              <w:pStyle w:val="TableParagraph"/>
              <w:spacing w:before="155"/>
              <w:ind w:left="107"/>
              <w:rPr>
                <w:rFonts w:ascii="Arial"/>
                <w:sz w:val="24"/>
              </w:rPr>
            </w:pPr>
            <w:r>
              <w:rPr>
                <w:rFonts w:ascii="Arial"/>
                <w:sz w:val="24"/>
              </w:rPr>
              <w:t>694992</w:t>
            </w:r>
          </w:p>
        </w:tc>
        <w:tc>
          <w:tcPr>
            <w:tcW w:w="1718" w:type="dxa"/>
            <w:tcBorders>
              <w:top w:val="nil"/>
              <w:left w:val="nil"/>
              <w:bottom w:val="nil"/>
              <w:right w:val="nil"/>
            </w:tcBorders>
          </w:tcPr>
          <w:p>
            <w:pPr>
              <w:pStyle w:val="TableParagraph"/>
              <w:spacing w:before="155"/>
              <w:ind w:left="409"/>
              <w:rPr>
                <w:rFonts w:ascii="Arial"/>
                <w:sz w:val="24"/>
              </w:rPr>
            </w:pPr>
            <w:r>
              <w:rPr>
                <w:rFonts w:ascii="Arial"/>
                <w:sz w:val="24"/>
              </w:rPr>
              <w:t>Ovino</w:t>
            </w:r>
          </w:p>
        </w:tc>
        <w:tc>
          <w:tcPr>
            <w:tcW w:w="1848" w:type="dxa"/>
            <w:tcBorders>
              <w:top w:val="nil"/>
              <w:left w:val="nil"/>
              <w:bottom w:val="nil"/>
              <w:right w:val="nil"/>
            </w:tcBorders>
          </w:tcPr>
          <w:p>
            <w:pPr>
              <w:pStyle w:val="TableParagraph"/>
              <w:spacing w:before="155"/>
              <w:ind w:left="400"/>
              <w:rPr>
                <w:rFonts w:ascii="Arial"/>
                <w:sz w:val="24"/>
              </w:rPr>
            </w:pPr>
            <w:r>
              <w:rPr>
                <w:rFonts w:ascii="Arial"/>
                <w:w w:val="99"/>
                <w:sz w:val="24"/>
              </w:rPr>
              <w:t>-</w:t>
            </w:r>
          </w:p>
        </w:tc>
        <w:tc>
          <w:tcPr>
            <w:tcW w:w="1763" w:type="dxa"/>
            <w:tcBorders>
              <w:top w:val="nil"/>
              <w:left w:val="nil"/>
              <w:bottom w:val="nil"/>
              <w:right w:val="nil"/>
            </w:tcBorders>
          </w:tcPr>
          <w:p>
            <w:pPr>
              <w:pStyle w:val="TableParagraph"/>
              <w:spacing w:before="155"/>
              <w:ind w:left="243"/>
              <w:rPr>
                <w:rFonts w:ascii="Arial"/>
                <w:sz w:val="24"/>
              </w:rPr>
            </w:pPr>
            <w:r>
              <w:rPr>
                <w:rFonts w:ascii="Arial"/>
                <w:w w:val="100"/>
                <w:sz w:val="24"/>
              </w:rPr>
              <w:t>+</w:t>
            </w:r>
          </w:p>
        </w:tc>
        <w:tc>
          <w:tcPr>
            <w:tcW w:w="1795" w:type="dxa"/>
            <w:tcBorders>
              <w:top w:val="nil"/>
              <w:left w:val="nil"/>
              <w:bottom w:val="nil"/>
              <w:right w:val="nil"/>
            </w:tcBorders>
          </w:tcPr>
          <w:p>
            <w:pPr>
              <w:pStyle w:val="TableParagraph"/>
              <w:spacing w:before="155"/>
              <w:ind w:left="213"/>
              <w:rPr>
                <w:rFonts w:ascii="Arial"/>
                <w:sz w:val="24"/>
              </w:rPr>
            </w:pPr>
            <w:r>
              <w:rPr>
                <w:rFonts w:ascii="Arial"/>
                <w:w w:val="100"/>
                <w:sz w:val="24"/>
              </w:rPr>
              <w:t>+</w:t>
            </w:r>
          </w:p>
        </w:tc>
      </w:tr>
      <w:tr>
        <w:trPr>
          <w:trHeight w:val="882" w:hRule="exact"/>
        </w:trPr>
        <w:tc>
          <w:tcPr>
            <w:tcW w:w="1383" w:type="dxa"/>
            <w:tcBorders>
              <w:top w:val="nil"/>
              <w:left w:val="nil"/>
              <w:right w:val="nil"/>
            </w:tcBorders>
          </w:tcPr>
          <w:p>
            <w:pPr>
              <w:pStyle w:val="TableParagraph"/>
              <w:spacing w:before="10"/>
              <w:ind w:left="0"/>
              <w:rPr>
                <w:rFonts w:ascii="Arial"/>
                <w:b/>
                <w:sz w:val="22"/>
              </w:rPr>
            </w:pPr>
          </w:p>
          <w:p>
            <w:pPr>
              <w:pStyle w:val="TableParagraph"/>
              <w:spacing w:before="0"/>
              <w:ind w:left="107"/>
              <w:rPr>
                <w:rFonts w:ascii="Arial"/>
                <w:sz w:val="24"/>
              </w:rPr>
            </w:pPr>
            <w:r>
              <w:rPr>
                <w:rFonts w:ascii="Arial"/>
                <w:sz w:val="24"/>
              </w:rPr>
              <w:t>028</w:t>
            </w:r>
          </w:p>
        </w:tc>
        <w:tc>
          <w:tcPr>
            <w:tcW w:w="1718" w:type="dxa"/>
            <w:tcBorders>
              <w:top w:val="nil"/>
              <w:left w:val="nil"/>
              <w:right w:val="nil"/>
            </w:tcBorders>
          </w:tcPr>
          <w:p>
            <w:pPr>
              <w:pStyle w:val="TableParagraph"/>
              <w:spacing w:before="10"/>
              <w:ind w:left="0"/>
              <w:rPr>
                <w:rFonts w:ascii="Arial"/>
                <w:b/>
                <w:sz w:val="22"/>
              </w:rPr>
            </w:pPr>
          </w:p>
          <w:p>
            <w:pPr>
              <w:pStyle w:val="TableParagraph"/>
              <w:spacing w:before="0"/>
              <w:ind w:left="409"/>
              <w:rPr>
                <w:rFonts w:ascii="Arial"/>
                <w:sz w:val="24"/>
              </w:rPr>
            </w:pPr>
            <w:r>
              <w:rPr>
                <w:rFonts w:ascii="Arial"/>
                <w:sz w:val="24"/>
              </w:rPr>
              <w:t>Ovino</w:t>
            </w:r>
          </w:p>
        </w:tc>
        <w:tc>
          <w:tcPr>
            <w:tcW w:w="1848" w:type="dxa"/>
            <w:tcBorders>
              <w:top w:val="nil"/>
              <w:left w:val="nil"/>
              <w:right w:val="nil"/>
            </w:tcBorders>
          </w:tcPr>
          <w:p>
            <w:pPr>
              <w:pStyle w:val="TableParagraph"/>
              <w:spacing w:before="10"/>
              <w:ind w:left="0"/>
              <w:rPr>
                <w:rFonts w:ascii="Arial"/>
                <w:b/>
                <w:sz w:val="22"/>
              </w:rPr>
            </w:pPr>
          </w:p>
          <w:p>
            <w:pPr>
              <w:pStyle w:val="TableParagraph"/>
              <w:spacing w:before="0"/>
              <w:ind w:left="400"/>
              <w:rPr>
                <w:rFonts w:ascii="Arial"/>
                <w:sz w:val="24"/>
              </w:rPr>
            </w:pPr>
            <w:r>
              <w:rPr>
                <w:rFonts w:ascii="Arial"/>
                <w:w w:val="99"/>
                <w:sz w:val="24"/>
              </w:rPr>
              <w:t>-</w:t>
            </w:r>
          </w:p>
        </w:tc>
        <w:tc>
          <w:tcPr>
            <w:tcW w:w="1763" w:type="dxa"/>
            <w:tcBorders>
              <w:top w:val="nil"/>
              <w:left w:val="nil"/>
              <w:right w:val="nil"/>
            </w:tcBorders>
          </w:tcPr>
          <w:p>
            <w:pPr>
              <w:pStyle w:val="TableParagraph"/>
              <w:spacing w:before="10"/>
              <w:ind w:left="0"/>
              <w:rPr>
                <w:rFonts w:ascii="Arial"/>
                <w:b/>
                <w:sz w:val="22"/>
              </w:rPr>
            </w:pPr>
          </w:p>
          <w:p>
            <w:pPr>
              <w:pStyle w:val="TableParagraph"/>
              <w:spacing w:before="0"/>
              <w:ind w:left="243"/>
              <w:rPr>
                <w:rFonts w:ascii="Arial"/>
                <w:sz w:val="24"/>
              </w:rPr>
            </w:pPr>
            <w:r>
              <w:rPr>
                <w:rFonts w:ascii="Arial"/>
                <w:w w:val="100"/>
                <w:sz w:val="24"/>
              </w:rPr>
              <w:t>+</w:t>
            </w:r>
          </w:p>
        </w:tc>
        <w:tc>
          <w:tcPr>
            <w:tcW w:w="1795" w:type="dxa"/>
            <w:tcBorders>
              <w:top w:val="nil"/>
              <w:left w:val="nil"/>
              <w:right w:val="nil"/>
            </w:tcBorders>
          </w:tcPr>
          <w:p>
            <w:pPr>
              <w:pStyle w:val="TableParagraph"/>
              <w:spacing w:before="10"/>
              <w:ind w:left="0"/>
              <w:rPr>
                <w:rFonts w:ascii="Arial"/>
                <w:b/>
                <w:sz w:val="22"/>
              </w:rPr>
            </w:pPr>
          </w:p>
          <w:p>
            <w:pPr>
              <w:pStyle w:val="TableParagraph"/>
              <w:spacing w:before="0"/>
              <w:ind w:left="213"/>
              <w:rPr>
                <w:rFonts w:ascii="Arial"/>
                <w:sz w:val="24"/>
              </w:rPr>
            </w:pPr>
            <w:r>
              <w:rPr>
                <w:rFonts w:ascii="Arial"/>
                <w:w w:val="99"/>
                <w:sz w:val="24"/>
              </w:rPr>
              <w:t>-</w:t>
            </w:r>
          </w:p>
        </w:tc>
      </w:tr>
    </w:tbl>
    <w:p>
      <w:pPr>
        <w:pStyle w:val="BodyText"/>
        <w:rPr>
          <w:b/>
        </w:rPr>
      </w:pPr>
    </w:p>
    <w:p>
      <w:pPr>
        <w:pStyle w:val="BodyText"/>
        <w:spacing w:before="3"/>
        <w:rPr>
          <w:b/>
          <w:sz w:val="29"/>
        </w:rPr>
      </w:pPr>
    </w:p>
    <w:p>
      <w:pPr>
        <w:spacing w:before="0"/>
        <w:ind w:left="152" w:right="0" w:firstLine="0"/>
        <w:jc w:val="both"/>
        <w:rPr>
          <w:b/>
          <w:sz w:val="24"/>
        </w:rPr>
      </w:pPr>
      <w:r>
        <w:rPr>
          <w:b/>
          <w:sz w:val="24"/>
        </w:rPr>
        <w:t>Genes de virulencia</w:t>
      </w:r>
    </w:p>
    <w:p>
      <w:pPr>
        <w:pStyle w:val="BodyText"/>
        <w:spacing w:before="2"/>
        <w:rPr>
          <w:b/>
          <w:sz w:val="29"/>
        </w:rPr>
      </w:pPr>
    </w:p>
    <w:p>
      <w:pPr>
        <w:pStyle w:val="BodyText"/>
        <w:spacing w:line="360" w:lineRule="auto"/>
        <w:ind w:left="152" w:right="105"/>
        <w:jc w:val="both"/>
      </w:pPr>
      <w:r>
        <w:rPr/>
        <w:t>De los 60 aislamientos caracterizados por PCR Multiplex (Pacheco </w:t>
      </w:r>
      <w:r>
        <w:rPr>
          <w:i/>
        </w:rPr>
        <w:t>et al</w:t>
      </w:r>
      <w:r>
        <w:rPr/>
        <w:t>., 2012) solo en 59 (98.33%) de ellos se logró la identificación de los genes de virulencia </w:t>
      </w:r>
      <w:r>
        <w:rPr>
          <w:i/>
        </w:rPr>
        <w:t>Fag C, Fag D </w:t>
      </w:r>
      <w:r>
        <w:rPr/>
        <w:t>y </w:t>
      </w:r>
      <w:r>
        <w:rPr>
          <w:i/>
        </w:rPr>
        <w:t>Fag A </w:t>
      </w:r>
      <w:r>
        <w:rPr/>
        <w:t>mediante un PCR Multiplex montado en este estudio (Figura 10); sin embargo el gen </w:t>
      </w:r>
      <w:r>
        <w:rPr>
          <w:i/>
        </w:rPr>
        <w:t>Fag B </w:t>
      </w:r>
      <w:r>
        <w:rPr/>
        <w:t>solo se logró identificar en 58 (96.66%) de los aislamientos, en el carril 11 se muestra el aislado 3540 que no amplifico dicho gen (Figura 11). En el cuadro 10 se muestran los aislamientos que no amplificaron </w:t>
      </w:r>
      <w:r>
        <w:rPr>
          <w:spacing w:val="60"/>
        </w:rPr>
        <w:t> </w:t>
      </w:r>
      <w:r>
        <w:rPr/>
        <w:t>los</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9"/>
      </w:pPr>
      <w:r>
        <w:rPr/>
        <w:t>genes mencionados con anterioridad y en el cual destaca el aislamiento con crecimiento pardo amarillento.</w:t>
      </w:r>
    </w:p>
    <w:p>
      <w:pPr>
        <w:tabs>
          <w:tab w:pos="739" w:val="left" w:leader="none"/>
          <w:tab w:pos="1447" w:val="left" w:leader="none"/>
          <w:tab w:pos="2006" w:val="left" w:leader="none"/>
          <w:tab w:pos="2664" w:val="left" w:leader="none"/>
          <w:tab w:pos="3224" w:val="left" w:leader="none"/>
          <w:tab w:pos="3982" w:val="left" w:leader="none"/>
          <w:tab w:pos="4493" w:val="left" w:leader="none"/>
        </w:tabs>
        <w:spacing w:before="203" w:after="3"/>
        <w:ind w:left="0" w:right="261" w:firstLine="0"/>
        <w:jc w:val="center"/>
        <w:rPr>
          <w:rFonts w:ascii="Calibri"/>
          <w:b/>
          <w:sz w:val="22"/>
        </w:rPr>
      </w:pPr>
      <w:r>
        <w:rPr>
          <w:rFonts w:ascii="Calibri"/>
          <w:b/>
          <w:sz w:val="22"/>
        </w:rPr>
        <w:t>MW</w:t>
        <w:tab/>
        <w:t>1</w:t>
        <w:tab/>
        <w:t>2</w:t>
        <w:tab/>
        <w:t>3</w:t>
        <w:tab/>
        <w:t>4</w:t>
        <w:tab/>
        <w:t>5</w:t>
        <w:tab/>
        <w:t>6</w:t>
        <w:tab/>
        <w:t>7</w:t>
      </w:r>
    </w:p>
    <w:p>
      <w:pPr>
        <w:pStyle w:val="BodyText"/>
        <w:ind w:left="1779"/>
        <w:rPr>
          <w:rFonts w:ascii="Calibri"/>
          <w:sz w:val="20"/>
        </w:rPr>
      </w:pPr>
      <w:r>
        <w:rPr>
          <w:rFonts w:ascii="Calibri"/>
          <w:sz w:val="20"/>
        </w:rPr>
        <w:pict>
          <v:group style="width:379.7pt;height:214.1pt;mso-position-horizontal-relative:char;mso-position-vertical-relative:line" coordorigin="0,0" coordsize="7594,4282">
            <v:shape style="position:absolute;left:0;top:0;width:5568;height:4282" type="#_x0000_t75" stroked="false">
              <v:imagedata r:id="rId27" o:title=""/>
            </v:shape>
            <v:shape style="position:absolute;left:3401;top:2575;width:3333;height:163" coordorigin="3401,2575" coordsize="3333,163" path="m3540,2575l3401,2657,3540,2738,3546,2737,3552,2727,3550,2721,3457,2667,3421,2667,3421,2647,3457,2647,3550,2593,3552,2587,3546,2577,3540,2575xm3457,2647l3421,2647,3421,2667,3457,2667,3455,2665,3426,2665,3426,2648,3455,2648,3457,2647xm6734,2647l3457,2647,3440,2657,3457,2667,6734,2667,6734,2647xm3426,2648l3426,2665,3440,2657,3426,2648xm3440,2657l3426,2665,3455,2665,3440,2657xm3455,2648l3426,2648,3440,2657,3455,2648xe" filled="true" fillcolor="#ff0000" stroked="false">
              <v:path arrowok="t"/>
              <v:fill type="solid"/>
            </v:shape>
            <v:shape style="position:absolute;left:5405;top:2434;width:720;height:163" coordorigin="5405,2434" coordsize="720,163" path="m5544,2434l5405,2515,5544,2597,5550,2595,5556,2585,5554,2579,5461,2525,5425,2525,5425,2505,5461,2505,5554,2451,5556,2445,5550,2435,5544,2434xm5461,2505l5425,2505,5425,2525,5461,2525,5459,2524,5430,2524,5430,2507,5459,2507,5461,2505xm6125,2505l5461,2505,5444,2515,5461,2525,6125,2525,6125,2505xm5430,2507l5430,2524,5444,2515,5430,2507xm5444,2515l5430,2524,5459,2524,5444,2515xm5459,2507l5430,2507,5444,2515,5459,2507xe" filled="true" fillcolor="#ff0000" stroked="false">
              <v:path arrowok="t"/>
              <v:fill type="solid"/>
            </v:shape>
            <v:shape style="position:absolute;left:3401;top:2796;width:2723;height:163" coordorigin="3401,2796" coordsize="2723,163" path="m3540,2796l3401,2878,3540,2959,3546,2957,3552,2948,3550,2942,3457,2888,3421,2888,3421,2868,3457,2868,3550,2813,3552,2807,3546,2798,3540,2796xm3457,2868l3421,2868,3421,2888,3457,2888,3455,2886,3426,2886,3426,2869,3455,2869,3457,2868xm6124,2868l3457,2868,3440,2878,3457,2888,6124,2888,6124,2868xm3426,2869l3426,2886,3440,2878,3426,2869xm3440,2878l3426,2886,3455,2886,3440,2878xm3455,2869l3426,2869,3440,2878,3455,2869xe" filled="true" fillcolor="#ff0000" stroked="false">
              <v:path arrowok="t"/>
              <v:fill type="solid"/>
            </v:shape>
            <v:line style="position:absolute" from="6125,2518" to="6344,2189" stroked="true" strokeweight=".72pt" strokecolor="#ff0000"/>
            <v:line style="position:absolute" from="6125,2878" to="6344,3269" stroked="true" strokeweight=".72pt" strokecolor="#ff0000"/>
            <v:rect style="position:absolute;left:6514;top:2304;width:1080;height:578" filled="true" fillcolor="#ffffff" stroked="false">
              <v:fill type="solid"/>
            </v:rect>
            <v:shape style="position:absolute;left:6276;top:1812;width:450;height:356" type="#_x0000_t202" filled="false" stroked="false">
              <v:textbox inset="0,0,0,0">
                <w:txbxContent>
                  <w:p>
                    <w:pPr>
                      <w:spacing w:line="163" w:lineRule="exact" w:before="0"/>
                      <w:ind w:left="0" w:right="-18" w:firstLine="38"/>
                      <w:jc w:val="left"/>
                      <w:rPr>
                        <w:rFonts w:ascii="Calibri"/>
                        <w:b/>
                        <w:i/>
                        <w:sz w:val="16"/>
                      </w:rPr>
                    </w:pPr>
                    <w:r>
                      <w:rPr>
                        <w:rFonts w:ascii="Calibri"/>
                        <w:b/>
                        <w:i/>
                        <w:sz w:val="16"/>
                      </w:rPr>
                      <w:t>Fag A</w:t>
                    </w:r>
                  </w:p>
                  <w:p>
                    <w:pPr>
                      <w:spacing w:line="192" w:lineRule="exact" w:before="0"/>
                      <w:ind w:left="0" w:right="-18" w:firstLine="0"/>
                      <w:jc w:val="left"/>
                      <w:rPr>
                        <w:rFonts w:ascii="Calibri"/>
                        <w:sz w:val="16"/>
                      </w:rPr>
                    </w:pPr>
                    <w:r>
                      <w:rPr>
                        <w:rFonts w:ascii="Calibri"/>
                        <w:sz w:val="16"/>
                      </w:rPr>
                      <w:t>245 pb</w:t>
                    </w:r>
                  </w:p>
                </w:txbxContent>
              </v:textbox>
              <w10:wrap type="none"/>
            </v:shape>
            <v:shape style="position:absolute;left:6830;top:2412;width:450;height:358" type="#_x0000_t202" filled="false" stroked="false">
              <v:textbox inset="0,0,0,0">
                <w:txbxContent>
                  <w:p>
                    <w:pPr>
                      <w:spacing w:line="164" w:lineRule="exact" w:before="0"/>
                      <w:ind w:left="0" w:right="-18" w:firstLine="36"/>
                      <w:jc w:val="left"/>
                      <w:rPr>
                        <w:rFonts w:ascii="Calibri"/>
                        <w:b/>
                        <w:i/>
                        <w:sz w:val="16"/>
                      </w:rPr>
                    </w:pPr>
                    <w:r>
                      <w:rPr>
                        <w:rFonts w:ascii="Calibri"/>
                        <w:b/>
                        <w:i/>
                        <w:sz w:val="16"/>
                      </w:rPr>
                      <w:t>Fag D</w:t>
                    </w:r>
                  </w:p>
                  <w:p>
                    <w:pPr>
                      <w:spacing w:line="193" w:lineRule="exact" w:before="1"/>
                      <w:ind w:left="0" w:right="-18" w:firstLine="0"/>
                      <w:jc w:val="left"/>
                      <w:rPr>
                        <w:rFonts w:ascii="Calibri"/>
                        <w:sz w:val="16"/>
                      </w:rPr>
                    </w:pPr>
                    <w:r>
                      <w:rPr>
                        <w:rFonts w:ascii="Calibri"/>
                        <w:sz w:val="16"/>
                      </w:rPr>
                      <w:t>226 pb</w:t>
                    </w:r>
                  </w:p>
                </w:txbxContent>
              </v:textbox>
              <w10:wrap type="none"/>
            </v:shape>
            <v:shape style="position:absolute;left:6266;top:3380;width:450;height:356" type="#_x0000_t202" filled="false" stroked="false">
              <v:textbox inset="0,0,0,0">
                <w:txbxContent>
                  <w:p>
                    <w:pPr>
                      <w:spacing w:line="163" w:lineRule="exact" w:before="0"/>
                      <w:ind w:left="0" w:right="-18" w:firstLine="43"/>
                      <w:jc w:val="left"/>
                      <w:rPr>
                        <w:rFonts w:ascii="Calibri"/>
                        <w:b/>
                        <w:i/>
                        <w:sz w:val="16"/>
                      </w:rPr>
                    </w:pPr>
                    <w:r>
                      <w:rPr>
                        <w:rFonts w:ascii="Calibri"/>
                        <w:b/>
                        <w:i/>
                        <w:sz w:val="16"/>
                      </w:rPr>
                      <w:t>Fag C</w:t>
                    </w:r>
                  </w:p>
                  <w:p>
                    <w:pPr>
                      <w:spacing w:line="192" w:lineRule="exact" w:before="0"/>
                      <w:ind w:left="0" w:right="-18" w:firstLine="0"/>
                      <w:jc w:val="left"/>
                      <w:rPr>
                        <w:rFonts w:ascii="Calibri"/>
                        <w:sz w:val="16"/>
                      </w:rPr>
                    </w:pPr>
                    <w:r>
                      <w:rPr>
                        <w:rFonts w:ascii="Calibri"/>
                        <w:sz w:val="16"/>
                      </w:rPr>
                      <w:t>173 pb</w:t>
                    </w:r>
                  </w:p>
                </w:txbxContent>
              </v:textbox>
              <w10:wrap type="none"/>
            </v:shape>
          </v:group>
        </w:pict>
      </w:r>
      <w:r>
        <w:rPr>
          <w:rFonts w:ascii="Calibri"/>
          <w:sz w:val="20"/>
        </w:rPr>
      </w:r>
    </w:p>
    <w:p>
      <w:pPr>
        <w:pStyle w:val="BodyText"/>
        <w:spacing w:before="9"/>
        <w:rPr>
          <w:rFonts w:ascii="Calibri"/>
          <w:b/>
          <w:sz w:val="17"/>
        </w:rPr>
      </w:pPr>
    </w:p>
    <w:p>
      <w:pPr>
        <w:pStyle w:val="Heading3"/>
        <w:spacing w:before="0"/>
        <w:ind w:left="0" w:right="333"/>
        <w:jc w:val="center"/>
      </w:pPr>
      <w:bookmarkStart w:name="_bookmark43" w:id="44"/>
      <w:bookmarkEnd w:id="44"/>
      <w:r>
        <w:rPr>
          <w:b w:val="0"/>
        </w:rPr>
      </w:r>
      <w:r>
        <w:rPr/>
        <w:t>Figura 9 PCR Multiplex. Genes de virulencia Fag C-D y Fag A</w:t>
      </w:r>
    </w:p>
    <w:p>
      <w:pPr>
        <w:spacing w:line="276" w:lineRule="auto" w:before="3"/>
        <w:ind w:left="258" w:right="599" w:firstLine="1"/>
        <w:jc w:val="center"/>
        <w:rPr>
          <w:i/>
          <w:sz w:val="24"/>
        </w:rPr>
      </w:pPr>
      <w:r>
        <w:rPr>
          <w:sz w:val="24"/>
        </w:rPr>
        <w:t>. Gel agarosa 2 %. </w:t>
      </w:r>
      <w:r>
        <w:rPr>
          <w:b/>
          <w:sz w:val="24"/>
        </w:rPr>
        <w:t>(MW) </w:t>
      </w:r>
      <w:r>
        <w:rPr>
          <w:sz w:val="24"/>
        </w:rPr>
        <w:t>Marcador de peso molecular 1 Kb Plus DNA Ladder™ (Invitrogen). </w:t>
      </w:r>
      <w:r>
        <w:rPr>
          <w:b/>
          <w:sz w:val="24"/>
        </w:rPr>
        <w:t>(Línea 1) </w:t>
      </w:r>
      <w:r>
        <w:rPr>
          <w:sz w:val="24"/>
        </w:rPr>
        <w:t>muestra blanco, (</w:t>
      </w:r>
      <w:r>
        <w:rPr>
          <w:b/>
          <w:sz w:val="24"/>
        </w:rPr>
        <w:t>Línea 2-4) </w:t>
      </w:r>
      <w:r>
        <w:rPr>
          <w:sz w:val="24"/>
        </w:rPr>
        <w:t>Aislados de </w:t>
      </w:r>
      <w:r>
        <w:rPr>
          <w:i/>
          <w:sz w:val="24"/>
        </w:rPr>
        <w:t>C. </w:t>
      </w:r>
      <w:r>
        <w:rPr>
          <w:i/>
          <w:sz w:val="24"/>
        </w:rPr>
        <w:t>pseudotuberculosis </w:t>
      </w:r>
      <w:r>
        <w:rPr>
          <w:sz w:val="24"/>
        </w:rPr>
        <w:t>gen Fag C-D, </w:t>
      </w:r>
      <w:r>
        <w:rPr>
          <w:b/>
          <w:sz w:val="24"/>
        </w:rPr>
        <w:t>(Líneas 5-7) </w:t>
      </w:r>
      <w:r>
        <w:rPr>
          <w:sz w:val="24"/>
        </w:rPr>
        <w:t>aislados de Corynebacterium gen </w:t>
      </w:r>
      <w:r>
        <w:rPr>
          <w:i/>
          <w:sz w:val="24"/>
        </w:rPr>
        <w:t>Fag A.</w:t>
      </w:r>
    </w:p>
    <w:p>
      <w:pPr>
        <w:tabs>
          <w:tab w:pos="914" w:val="left" w:leader="none"/>
          <w:tab w:pos="1282" w:val="left" w:leader="none"/>
          <w:tab w:pos="1649" w:val="left" w:leader="none"/>
          <w:tab w:pos="2016" w:val="left" w:leader="none"/>
          <w:tab w:pos="2381" w:val="left" w:leader="none"/>
          <w:tab w:pos="2748" w:val="left" w:leader="none"/>
          <w:tab w:pos="3115" w:val="left" w:leader="none"/>
          <w:tab w:pos="3482" w:val="left" w:leader="none"/>
          <w:tab w:pos="4277" w:val="left" w:leader="none"/>
        </w:tabs>
        <w:spacing w:before="2"/>
        <w:ind w:left="0" w:right="515" w:firstLine="0"/>
        <w:jc w:val="center"/>
        <w:rPr>
          <w:b/>
          <w:sz w:val="22"/>
        </w:rPr>
      </w:pPr>
      <w:r>
        <w:rPr>
          <w:b/>
          <w:sz w:val="22"/>
        </w:rPr>
        <w:t>MW   1</w:t>
        <w:tab/>
        <w:t>2</w:t>
        <w:tab/>
        <w:t>3</w:t>
        <w:tab/>
        <w:t>4</w:t>
        <w:tab/>
        <w:t>5</w:t>
        <w:tab/>
        <w:t>6</w:t>
        <w:tab/>
        <w:t>7</w:t>
        <w:tab/>
        <w:t>8</w:t>
        <w:tab/>
        <w:t>9 </w:t>
      </w:r>
      <w:r>
        <w:rPr>
          <w:b/>
          <w:spacing w:val="60"/>
          <w:sz w:val="22"/>
        </w:rPr>
        <w:t> </w:t>
      </w:r>
      <w:r>
        <w:rPr>
          <w:b/>
          <w:sz w:val="22"/>
        </w:rPr>
        <w:t>10</w:t>
        <w:tab/>
        <w:t>11  12  13  14</w:t>
      </w:r>
      <w:r>
        <w:rPr>
          <w:b/>
          <w:spacing w:val="53"/>
          <w:sz w:val="22"/>
        </w:rPr>
        <w:t> </w:t>
      </w:r>
      <w:r>
        <w:rPr>
          <w:b/>
          <w:sz w:val="22"/>
        </w:rPr>
        <w:t>15</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7"/>
        </w:rPr>
      </w:pPr>
    </w:p>
    <w:p>
      <w:pPr>
        <w:spacing w:before="69"/>
        <w:ind w:left="365" w:right="9" w:firstLine="0"/>
        <w:jc w:val="left"/>
        <w:rPr>
          <w:rFonts w:ascii="Calibri"/>
          <w:b/>
          <w:i/>
          <w:sz w:val="16"/>
        </w:rPr>
      </w:pPr>
      <w:r>
        <w:rPr/>
        <w:pict>
          <v:group style="position:absolute;margin-left:140.759995pt;margin-top:-67.242813pt;width:331.35pt;height:137.3pt;mso-position-horizontal-relative:page;mso-position-vertical-relative:paragraph;z-index:1600" coordorigin="2815,-1345" coordsize="6627,2746">
            <v:shape style="position:absolute;left:3125;top:-1345;width:6317;height:2746" type="#_x0000_t75" stroked="false">
              <v:imagedata r:id="rId28" o:title=""/>
            </v:shape>
            <v:shape style="position:absolute;left:2815;top:177;width:1205;height:163" coordorigin="2815,177" coordsize="1205,163" path="m3981,258l3871,323,3869,329,3875,338,3881,340,4003,268,4000,268,4000,267,3995,267,3981,258xm3964,248l2815,248,2815,268,3964,268,3981,258,3964,248xm4003,248l4000,248,4000,268,4003,268,4020,258,4003,248xm3995,250l3981,258,3995,267,3995,250xm4000,250l3995,250,3995,267,4000,267,4000,250xm3881,177l3875,179,3869,188,3871,194,3981,258,3995,250,4000,250,4000,248,4003,248,3881,177xe" filled="true" fillcolor="#ff0000" stroked="false">
              <v:path arrowok="t"/>
              <v:fill type="solid"/>
            </v:shape>
            <w10:wrap type="none"/>
          </v:group>
        </w:pict>
      </w:r>
      <w:r>
        <w:rPr>
          <w:rFonts w:ascii="Calibri"/>
          <w:b/>
          <w:i/>
          <w:sz w:val="16"/>
        </w:rPr>
        <w:t>Fag B</w:t>
      </w:r>
    </w:p>
    <w:p>
      <w:pPr>
        <w:spacing w:before="2"/>
        <w:ind w:left="325" w:right="9" w:firstLine="0"/>
        <w:jc w:val="left"/>
        <w:rPr>
          <w:rFonts w:ascii="Calibri"/>
          <w:sz w:val="16"/>
        </w:rPr>
      </w:pPr>
      <w:r>
        <w:rPr>
          <w:rFonts w:ascii="Calibri"/>
          <w:sz w:val="16"/>
        </w:rPr>
        <w:t>291 pb</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17"/>
        </w:rPr>
      </w:pPr>
    </w:p>
    <w:p>
      <w:pPr>
        <w:pStyle w:val="Heading3"/>
        <w:spacing w:before="0"/>
        <w:ind w:left="0" w:right="346"/>
        <w:jc w:val="center"/>
      </w:pPr>
      <w:bookmarkStart w:name="_bookmark44" w:id="45"/>
      <w:bookmarkEnd w:id="45"/>
      <w:r>
        <w:rPr>
          <w:b w:val="0"/>
        </w:rPr>
      </w:r>
      <w:r>
        <w:rPr/>
        <w:t>Figura 10 PCR sencillo. Gen de virulencia Fag B. Gel agarosa 2 %.</w:t>
      </w:r>
    </w:p>
    <w:p>
      <w:pPr>
        <w:spacing w:line="276" w:lineRule="auto" w:before="2"/>
        <w:ind w:left="159" w:right="494" w:firstLine="0"/>
        <w:jc w:val="center"/>
        <w:rPr>
          <w:sz w:val="24"/>
        </w:rPr>
      </w:pPr>
      <w:r>
        <w:rPr>
          <w:b/>
          <w:sz w:val="24"/>
        </w:rPr>
        <w:t>(MW) </w:t>
      </w:r>
      <w:r>
        <w:rPr>
          <w:sz w:val="24"/>
        </w:rPr>
        <w:t>Marcador de peso molecular 1 Kb Plus DNA Ladder™ (Invitrogen). </w:t>
      </w:r>
      <w:r>
        <w:rPr>
          <w:b/>
          <w:sz w:val="24"/>
        </w:rPr>
        <w:t>(Línea 1) </w:t>
      </w:r>
      <w:r>
        <w:rPr>
          <w:sz w:val="24"/>
        </w:rPr>
        <w:t>muestra blanco, </w:t>
      </w:r>
      <w:r>
        <w:rPr>
          <w:b/>
          <w:sz w:val="24"/>
        </w:rPr>
        <w:t>(Línea 2-15) </w:t>
      </w:r>
      <w:r>
        <w:rPr>
          <w:sz w:val="24"/>
        </w:rPr>
        <w:t>Aislados de </w:t>
      </w:r>
      <w:r>
        <w:rPr>
          <w:i/>
          <w:sz w:val="24"/>
        </w:rPr>
        <w:t>C. pseudotuberculosis. </w:t>
      </w:r>
      <w:r>
        <w:rPr>
          <w:sz w:val="24"/>
        </w:rPr>
        <w:t>(</w:t>
      </w:r>
      <w:r>
        <w:rPr>
          <w:b/>
          <w:sz w:val="24"/>
        </w:rPr>
        <w:t>Línea 11) </w:t>
      </w:r>
      <w:r>
        <w:rPr>
          <w:sz w:val="24"/>
        </w:rPr>
        <w:t>aislado 3540 que no amplifica dicho gen.</w:t>
      </w:r>
    </w:p>
    <w:p>
      <w:pPr>
        <w:spacing w:after="0" w:line="276" w:lineRule="auto"/>
        <w:jc w:val="center"/>
        <w:rPr>
          <w:sz w:val="24"/>
        </w:rPr>
        <w:sectPr>
          <w:pgSz w:w="12240" w:h="15840"/>
          <w:pgMar w:header="0" w:footer="1386" w:top="1500" w:bottom="1580" w:left="1720" w:right="1040"/>
        </w:sectPr>
      </w:pPr>
    </w:p>
    <w:p>
      <w:pPr>
        <w:pStyle w:val="BodyText"/>
        <w:spacing w:before="2"/>
        <w:rPr>
          <w:sz w:val="21"/>
        </w:rPr>
      </w:pPr>
    </w:p>
    <w:p>
      <w:pPr>
        <w:pStyle w:val="Heading3"/>
        <w:ind w:left="881"/>
        <w:jc w:val="left"/>
      </w:pPr>
      <w:r>
        <w:rPr/>
        <w:pict>
          <v:group style="position:absolute;margin-left:224.320007pt;margin-top:55.375835pt;width:255.7pt;height:.5pt;mso-position-horizontal-relative:page;mso-position-vertical-relative:paragraph;z-index:-175384" coordorigin="4486,1108" coordsize="5114,10">
            <v:line style="position:absolute" from="4491,1113" to="5132,1113" stroked="true" strokeweight=".48pt" strokecolor="#000000"/>
            <v:line style="position:absolute" from="5132,1113" to="5142,1113" stroked="true" strokeweight=".48pt" strokecolor="#000000"/>
            <v:line style="position:absolute" from="5142,1113" to="6027,1113" stroked="true" strokeweight=".48pt" strokecolor="#000000"/>
            <v:line style="position:absolute" from="6027,1113" to="6037,1113" stroked="true" strokeweight=".48pt" strokecolor="#000000"/>
            <v:line style="position:absolute" from="6037,1113" to="7120,1113" stroked="true" strokeweight=".48pt" strokecolor="#000000"/>
            <v:line style="position:absolute" from="7120,1113" to="7129,1113" stroked="true" strokeweight=".48pt" strokecolor="#000000"/>
            <v:line style="position:absolute" from="7129,1113" to="7710,1113" stroked="true" strokeweight=".48pt" strokecolor="#000000"/>
            <v:line style="position:absolute" from="7710,1113" to="7720,1113" stroked="true" strokeweight=".48pt" strokecolor="#000000"/>
            <v:line style="position:absolute" from="7720,1113" to="8356,1113" stroked="true" strokeweight=".48pt" strokecolor="#000000"/>
            <v:line style="position:absolute" from="8356,1113" to="8365,1113" stroked="true" strokeweight=".48pt" strokecolor="#000000"/>
            <v:line style="position:absolute" from="8365,1113" to="8997,1113" stroked="true" strokeweight=".48pt" strokecolor="#000000"/>
            <v:line style="position:absolute" from="8997,1113" to="9006,1113" stroked="true" strokeweight=".48pt" strokecolor="#000000"/>
            <v:line style="position:absolute" from="9006,1113" to="9595,1113" stroked="true" strokeweight=".48pt" strokecolor="#000000"/>
            <w10:wrap type="none"/>
          </v:group>
        </w:pict>
      </w:r>
      <w:bookmarkStart w:name="_bookmark45" w:id="46"/>
      <w:bookmarkEnd w:id="46"/>
      <w:r>
        <w:rPr>
          <w:b w:val="0"/>
        </w:rPr>
      </w:r>
      <w:r>
        <w:rPr/>
        <w:t>Cuadro 10 Aislamientos que no amplificaron genes de virulencia</w:t>
      </w:r>
    </w:p>
    <w:p>
      <w:pPr>
        <w:pStyle w:val="BodyText"/>
        <w:spacing w:before="5"/>
        <w:rPr>
          <w:b/>
          <w:sz w:val="17"/>
        </w:rPr>
      </w:pPr>
    </w:p>
    <w:tbl>
      <w:tblPr>
        <w:tblW w:w="0" w:type="auto"/>
        <w:jc w:val="left"/>
        <w:tblInd w:w="12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10"/>
        <w:gridCol w:w="613"/>
        <w:gridCol w:w="802"/>
        <w:gridCol w:w="1143"/>
        <w:gridCol w:w="644"/>
        <w:gridCol w:w="618"/>
        <w:gridCol w:w="643"/>
        <w:gridCol w:w="645"/>
      </w:tblGrid>
      <w:tr>
        <w:trPr>
          <w:trHeight w:val="308" w:hRule="exact"/>
        </w:trPr>
        <w:tc>
          <w:tcPr>
            <w:tcW w:w="1510" w:type="dxa"/>
            <w:tcBorders>
              <w:left w:val="nil"/>
              <w:bottom w:val="nil"/>
            </w:tcBorders>
          </w:tcPr>
          <w:p>
            <w:pPr/>
          </w:p>
        </w:tc>
        <w:tc>
          <w:tcPr>
            <w:tcW w:w="2559" w:type="dxa"/>
            <w:gridSpan w:val="3"/>
            <w:tcBorders>
              <w:bottom w:val="nil"/>
              <w:right w:val="nil"/>
            </w:tcBorders>
          </w:tcPr>
          <w:p>
            <w:pPr>
              <w:pStyle w:val="TableParagraph"/>
              <w:spacing w:before="21"/>
              <w:ind w:left="100"/>
              <w:rPr>
                <w:b/>
                <w:sz w:val="22"/>
              </w:rPr>
            </w:pPr>
            <w:r>
              <w:rPr>
                <w:b/>
                <w:sz w:val="22"/>
              </w:rPr>
              <w:t>GENES IDENTIFICADOS</w:t>
            </w:r>
          </w:p>
        </w:tc>
        <w:tc>
          <w:tcPr>
            <w:tcW w:w="644" w:type="dxa"/>
            <w:tcBorders>
              <w:left w:val="nil"/>
              <w:bottom w:val="nil"/>
              <w:right w:val="nil"/>
            </w:tcBorders>
          </w:tcPr>
          <w:p>
            <w:pPr/>
          </w:p>
        </w:tc>
        <w:tc>
          <w:tcPr>
            <w:tcW w:w="618" w:type="dxa"/>
            <w:tcBorders>
              <w:left w:val="nil"/>
              <w:bottom w:val="nil"/>
              <w:right w:val="nil"/>
            </w:tcBorders>
          </w:tcPr>
          <w:p>
            <w:pPr/>
          </w:p>
        </w:tc>
        <w:tc>
          <w:tcPr>
            <w:tcW w:w="643" w:type="dxa"/>
            <w:tcBorders>
              <w:left w:val="nil"/>
              <w:bottom w:val="nil"/>
              <w:right w:val="nil"/>
            </w:tcBorders>
          </w:tcPr>
          <w:p>
            <w:pPr/>
          </w:p>
        </w:tc>
        <w:tc>
          <w:tcPr>
            <w:tcW w:w="645" w:type="dxa"/>
            <w:tcBorders>
              <w:left w:val="nil"/>
              <w:bottom w:val="nil"/>
              <w:right w:val="nil"/>
            </w:tcBorders>
          </w:tcPr>
          <w:p>
            <w:pPr/>
          </w:p>
        </w:tc>
      </w:tr>
      <w:tr>
        <w:trPr>
          <w:trHeight w:val="1081" w:hRule="exact"/>
        </w:trPr>
        <w:tc>
          <w:tcPr>
            <w:tcW w:w="1510" w:type="dxa"/>
            <w:tcBorders>
              <w:top w:val="nil"/>
              <w:left w:val="nil"/>
            </w:tcBorders>
          </w:tcPr>
          <w:p>
            <w:pPr>
              <w:pStyle w:val="TableParagraph"/>
              <w:spacing w:line="243" w:lineRule="exact" w:before="0"/>
              <w:ind w:left="120"/>
              <w:rPr>
                <w:b/>
                <w:sz w:val="22"/>
              </w:rPr>
            </w:pPr>
            <w:r>
              <w:rPr>
                <w:b/>
                <w:sz w:val="22"/>
              </w:rPr>
              <w:t>Aislamiento o</w:t>
            </w:r>
          </w:p>
          <w:p>
            <w:pPr>
              <w:pStyle w:val="TableParagraph"/>
              <w:spacing w:before="43"/>
              <w:ind w:left="120"/>
              <w:rPr>
                <w:b/>
                <w:sz w:val="22"/>
              </w:rPr>
            </w:pPr>
            <w:r>
              <w:rPr>
                <w:b/>
                <w:sz w:val="22"/>
              </w:rPr>
              <w:t>identificación</w:t>
            </w:r>
          </w:p>
        </w:tc>
        <w:tc>
          <w:tcPr>
            <w:tcW w:w="613" w:type="dxa"/>
            <w:tcBorders>
              <w:top w:val="nil"/>
              <w:right w:val="nil"/>
            </w:tcBorders>
          </w:tcPr>
          <w:p>
            <w:pPr>
              <w:pStyle w:val="TableParagraph"/>
              <w:spacing w:before="1"/>
              <w:ind w:left="0"/>
              <w:rPr>
                <w:rFonts w:ascii="Arial"/>
                <w:b/>
                <w:sz w:val="22"/>
              </w:rPr>
            </w:pPr>
          </w:p>
          <w:p>
            <w:pPr>
              <w:pStyle w:val="TableParagraph"/>
              <w:spacing w:before="1"/>
              <w:ind w:left="100"/>
              <w:rPr>
                <w:b/>
                <w:sz w:val="22"/>
              </w:rPr>
            </w:pPr>
            <w:r>
              <w:rPr>
                <w:b/>
                <w:sz w:val="22"/>
              </w:rPr>
              <w:t>Gen</w:t>
            </w:r>
          </w:p>
          <w:p>
            <w:pPr>
              <w:pStyle w:val="TableParagraph"/>
              <w:spacing w:before="43"/>
              <w:ind w:left="100"/>
              <w:rPr>
                <w:b/>
                <w:i/>
                <w:sz w:val="22"/>
              </w:rPr>
            </w:pPr>
            <w:r>
              <w:rPr>
                <w:b/>
                <w:i/>
                <w:sz w:val="22"/>
              </w:rPr>
              <w:t>pld</w:t>
            </w:r>
          </w:p>
        </w:tc>
        <w:tc>
          <w:tcPr>
            <w:tcW w:w="802" w:type="dxa"/>
            <w:tcBorders>
              <w:top w:val="nil"/>
              <w:left w:val="nil"/>
              <w:right w:val="nil"/>
            </w:tcBorders>
          </w:tcPr>
          <w:p>
            <w:pPr>
              <w:pStyle w:val="TableParagraph"/>
              <w:spacing w:before="1"/>
              <w:ind w:left="0"/>
              <w:rPr>
                <w:rFonts w:ascii="Arial"/>
                <w:b/>
                <w:sz w:val="22"/>
              </w:rPr>
            </w:pPr>
          </w:p>
          <w:p>
            <w:pPr>
              <w:pStyle w:val="TableParagraph"/>
              <w:spacing w:before="1"/>
              <w:ind w:left="137"/>
              <w:rPr>
                <w:b/>
                <w:sz w:val="22"/>
              </w:rPr>
            </w:pPr>
            <w:r>
              <w:rPr>
                <w:b/>
                <w:sz w:val="22"/>
              </w:rPr>
              <w:t>Gen</w:t>
            </w:r>
          </w:p>
          <w:p>
            <w:pPr>
              <w:pStyle w:val="TableParagraph"/>
              <w:spacing w:before="43"/>
              <w:ind w:left="137"/>
              <w:rPr>
                <w:b/>
                <w:i/>
                <w:sz w:val="22"/>
              </w:rPr>
            </w:pPr>
            <w:r>
              <w:rPr>
                <w:b/>
                <w:i/>
                <w:sz w:val="22"/>
              </w:rPr>
              <w:t>rpoB</w:t>
            </w:r>
          </w:p>
        </w:tc>
        <w:tc>
          <w:tcPr>
            <w:tcW w:w="1143" w:type="dxa"/>
            <w:tcBorders>
              <w:top w:val="nil"/>
              <w:left w:val="nil"/>
              <w:right w:val="nil"/>
            </w:tcBorders>
          </w:tcPr>
          <w:p>
            <w:pPr>
              <w:pStyle w:val="TableParagraph"/>
              <w:spacing w:before="0"/>
              <w:ind w:left="0"/>
              <w:rPr>
                <w:rFonts w:ascii="Arial"/>
                <w:b/>
                <w:sz w:val="22"/>
              </w:rPr>
            </w:pPr>
          </w:p>
          <w:p>
            <w:pPr>
              <w:pStyle w:val="TableParagraph"/>
              <w:spacing w:before="158"/>
              <w:ind w:left="230"/>
              <w:rPr>
                <w:b/>
                <w:i/>
                <w:sz w:val="22"/>
              </w:rPr>
            </w:pPr>
            <w:r>
              <w:rPr>
                <w:b/>
                <w:sz w:val="22"/>
              </w:rPr>
              <w:t>Gen </w:t>
            </w:r>
            <w:r>
              <w:rPr>
                <w:b/>
                <w:i/>
                <w:sz w:val="22"/>
              </w:rPr>
              <w:t>16s</w:t>
            </w:r>
          </w:p>
        </w:tc>
        <w:tc>
          <w:tcPr>
            <w:tcW w:w="644" w:type="dxa"/>
            <w:tcBorders>
              <w:top w:val="nil"/>
              <w:left w:val="nil"/>
              <w:right w:val="nil"/>
            </w:tcBorders>
          </w:tcPr>
          <w:p>
            <w:pPr>
              <w:pStyle w:val="TableParagraph"/>
              <w:spacing w:before="1"/>
              <w:ind w:left="0"/>
              <w:rPr>
                <w:rFonts w:ascii="Arial"/>
                <w:b/>
                <w:sz w:val="22"/>
              </w:rPr>
            </w:pPr>
          </w:p>
          <w:p>
            <w:pPr>
              <w:pStyle w:val="TableParagraph"/>
              <w:spacing w:line="278" w:lineRule="auto" w:before="1"/>
              <w:ind w:left="182" w:right="108"/>
              <w:rPr>
                <w:b/>
                <w:i/>
                <w:sz w:val="22"/>
              </w:rPr>
            </w:pPr>
            <w:r>
              <w:rPr>
                <w:b/>
                <w:i/>
                <w:sz w:val="22"/>
              </w:rPr>
              <w:t>Fag </w:t>
            </w:r>
            <w:r>
              <w:rPr>
                <w:b/>
                <w:i/>
                <w:sz w:val="22"/>
              </w:rPr>
              <w:t>A</w:t>
            </w:r>
          </w:p>
        </w:tc>
        <w:tc>
          <w:tcPr>
            <w:tcW w:w="618" w:type="dxa"/>
            <w:tcBorders>
              <w:top w:val="nil"/>
              <w:left w:val="nil"/>
              <w:right w:val="nil"/>
            </w:tcBorders>
          </w:tcPr>
          <w:p>
            <w:pPr>
              <w:pStyle w:val="TableParagraph"/>
              <w:spacing w:before="1"/>
              <w:ind w:left="0"/>
              <w:rPr>
                <w:rFonts w:ascii="Arial"/>
                <w:b/>
                <w:sz w:val="22"/>
              </w:rPr>
            </w:pPr>
          </w:p>
          <w:p>
            <w:pPr>
              <w:pStyle w:val="TableParagraph"/>
              <w:spacing w:line="278" w:lineRule="auto" w:before="1"/>
              <w:ind w:left="126" w:right="138"/>
              <w:rPr>
                <w:b/>
                <w:i/>
                <w:sz w:val="22"/>
              </w:rPr>
            </w:pPr>
            <w:r>
              <w:rPr>
                <w:b/>
                <w:i/>
                <w:sz w:val="22"/>
              </w:rPr>
              <w:t>Fag </w:t>
            </w:r>
            <w:r>
              <w:rPr>
                <w:b/>
                <w:i/>
                <w:sz w:val="22"/>
              </w:rPr>
              <w:t>B</w:t>
            </w:r>
          </w:p>
        </w:tc>
        <w:tc>
          <w:tcPr>
            <w:tcW w:w="643" w:type="dxa"/>
            <w:tcBorders>
              <w:top w:val="nil"/>
              <w:left w:val="nil"/>
              <w:right w:val="nil"/>
            </w:tcBorders>
          </w:tcPr>
          <w:p>
            <w:pPr>
              <w:pStyle w:val="TableParagraph"/>
              <w:spacing w:before="1"/>
              <w:ind w:left="0"/>
              <w:rPr>
                <w:rFonts w:ascii="Arial"/>
                <w:b/>
                <w:sz w:val="22"/>
              </w:rPr>
            </w:pPr>
          </w:p>
          <w:p>
            <w:pPr>
              <w:pStyle w:val="TableParagraph"/>
              <w:spacing w:line="278" w:lineRule="auto" w:before="1"/>
              <w:ind w:left="156" w:right="133"/>
              <w:rPr>
                <w:b/>
                <w:i/>
                <w:sz w:val="22"/>
              </w:rPr>
            </w:pPr>
            <w:r>
              <w:rPr>
                <w:b/>
                <w:i/>
                <w:sz w:val="22"/>
              </w:rPr>
              <w:t>Fag </w:t>
            </w:r>
            <w:r>
              <w:rPr>
                <w:b/>
                <w:i/>
                <w:sz w:val="22"/>
              </w:rPr>
              <w:t>C</w:t>
            </w:r>
          </w:p>
        </w:tc>
        <w:tc>
          <w:tcPr>
            <w:tcW w:w="645" w:type="dxa"/>
            <w:tcBorders>
              <w:top w:val="nil"/>
              <w:left w:val="nil"/>
              <w:right w:val="nil"/>
            </w:tcBorders>
          </w:tcPr>
          <w:p>
            <w:pPr>
              <w:pStyle w:val="TableParagraph"/>
              <w:spacing w:before="1"/>
              <w:ind w:left="0"/>
              <w:rPr>
                <w:rFonts w:ascii="Arial"/>
                <w:b/>
                <w:sz w:val="22"/>
              </w:rPr>
            </w:pPr>
          </w:p>
          <w:p>
            <w:pPr>
              <w:pStyle w:val="TableParagraph"/>
              <w:spacing w:line="278" w:lineRule="auto" w:before="1"/>
              <w:ind w:left="151" w:right="140"/>
              <w:rPr>
                <w:b/>
                <w:i/>
                <w:sz w:val="22"/>
              </w:rPr>
            </w:pPr>
            <w:r>
              <w:rPr>
                <w:b/>
                <w:i/>
                <w:sz w:val="22"/>
              </w:rPr>
              <w:t>Fag </w:t>
            </w:r>
            <w:r>
              <w:rPr>
                <w:b/>
                <w:i/>
                <w:sz w:val="22"/>
              </w:rPr>
              <w:t>D</w:t>
            </w:r>
          </w:p>
        </w:tc>
      </w:tr>
      <w:tr>
        <w:trPr>
          <w:trHeight w:val="1648" w:hRule="exact"/>
        </w:trPr>
        <w:tc>
          <w:tcPr>
            <w:tcW w:w="1510" w:type="dxa"/>
            <w:tcBorders>
              <w:left w:val="nil"/>
              <w:bottom w:val="nil"/>
              <w:right w:val="nil"/>
            </w:tcBorders>
          </w:tcPr>
          <w:p>
            <w:pPr>
              <w:pStyle w:val="TableParagraph"/>
              <w:spacing w:line="265" w:lineRule="exact" w:before="0"/>
              <w:ind w:left="120" w:right="94"/>
              <w:rPr>
                <w:sz w:val="22"/>
              </w:rPr>
            </w:pPr>
            <w:r>
              <w:rPr>
                <w:sz w:val="22"/>
              </w:rPr>
              <w:t>028</w:t>
            </w:r>
          </w:p>
          <w:p>
            <w:pPr>
              <w:pStyle w:val="TableParagraph"/>
              <w:spacing w:line="276" w:lineRule="auto" w:before="41"/>
              <w:ind w:left="120" w:right="94"/>
              <w:rPr>
                <w:sz w:val="22"/>
              </w:rPr>
            </w:pPr>
            <w:r>
              <w:rPr>
                <w:sz w:val="22"/>
              </w:rPr>
              <w:t>crecimiento pardo amarilleno Ovino hembra</w:t>
            </w:r>
          </w:p>
        </w:tc>
        <w:tc>
          <w:tcPr>
            <w:tcW w:w="613"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05"/>
              <w:rPr>
                <w:sz w:val="22"/>
              </w:rPr>
            </w:pPr>
            <w:r>
              <w:rPr>
                <w:w w:val="100"/>
                <w:sz w:val="22"/>
              </w:rPr>
              <w:t>-</w:t>
            </w:r>
          </w:p>
        </w:tc>
        <w:tc>
          <w:tcPr>
            <w:tcW w:w="802"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37"/>
              <w:rPr>
                <w:sz w:val="22"/>
              </w:rPr>
            </w:pPr>
            <w:r>
              <w:rPr>
                <w:w w:val="100"/>
                <w:sz w:val="22"/>
              </w:rPr>
              <w:t>+</w:t>
            </w:r>
          </w:p>
        </w:tc>
        <w:tc>
          <w:tcPr>
            <w:tcW w:w="1143"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230"/>
              <w:rPr>
                <w:sz w:val="22"/>
              </w:rPr>
            </w:pPr>
            <w:r>
              <w:rPr>
                <w:w w:val="100"/>
                <w:sz w:val="22"/>
              </w:rPr>
              <w:t>-</w:t>
            </w:r>
          </w:p>
        </w:tc>
        <w:tc>
          <w:tcPr>
            <w:tcW w:w="644"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82"/>
              <w:rPr>
                <w:sz w:val="22"/>
              </w:rPr>
            </w:pPr>
            <w:r>
              <w:rPr>
                <w:w w:val="100"/>
                <w:sz w:val="22"/>
              </w:rPr>
              <w:t>-</w:t>
            </w:r>
          </w:p>
        </w:tc>
        <w:tc>
          <w:tcPr>
            <w:tcW w:w="618"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26"/>
              <w:rPr>
                <w:sz w:val="22"/>
              </w:rPr>
            </w:pPr>
            <w:r>
              <w:rPr>
                <w:w w:val="100"/>
                <w:sz w:val="22"/>
              </w:rPr>
              <w:t>-</w:t>
            </w:r>
          </w:p>
        </w:tc>
        <w:tc>
          <w:tcPr>
            <w:tcW w:w="643"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56"/>
              <w:rPr>
                <w:sz w:val="22"/>
              </w:rPr>
            </w:pPr>
            <w:r>
              <w:rPr>
                <w:w w:val="100"/>
                <w:sz w:val="22"/>
              </w:rPr>
              <w:t>-</w:t>
            </w:r>
          </w:p>
        </w:tc>
        <w:tc>
          <w:tcPr>
            <w:tcW w:w="645" w:type="dxa"/>
            <w:tcBorders>
              <w:left w:val="nil"/>
              <w:bottom w:val="nil"/>
              <w:right w:val="nil"/>
            </w:tcBorders>
          </w:tcPr>
          <w:p>
            <w:pPr>
              <w:pStyle w:val="TableParagraph"/>
              <w:spacing w:before="0"/>
              <w:ind w:left="0"/>
              <w:rPr>
                <w:rFonts w:ascii="Arial"/>
                <w:b/>
                <w:sz w:val="22"/>
              </w:rPr>
            </w:pPr>
          </w:p>
          <w:p>
            <w:pPr>
              <w:pStyle w:val="TableParagraph"/>
              <w:spacing w:before="6"/>
              <w:ind w:left="0"/>
              <w:rPr>
                <w:rFonts w:ascii="Arial"/>
                <w:b/>
                <w:sz w:val="31"/>
              </w:rPr>
            </w:pPr>
          </w:p>
          <w:p>
            <w:pPr>
              <w:pStyle w:val="TableParagraph"/>
              <w:spacing w:before="0"/>
              <w:ind w:left="151"/>
              <w:rPr>
                <w:sz w:val="22"/>
              </w:rPr>
            </w:pPr>
            <w:r>
              <w:rPr>
                <w:w w:val="100"/>
                <w:sz w:val="22"/>
              </w:rPr>
              <w:t>-</w:t>
            </w:r>
          </w:p>
        </w:tc>
      </w:tr>
      <w:tr>
        <w:trPr>
          <w:trHeight w:val="925" w:hRule="exact"/>
        </w:trPr>
        <w:tc>
          <w:tcPr>
            <w:tcW w:w="1510" w:type="dxa"/>
            <w:tcBorders>
              <w:top w:val="nil"/>
              <w:left w:val="nil"/>
              <w:right w:val="nil"/>
            </w:tcBorders>
          </w:tcPr>
          <w:p>
            <w:pPr>
              <w:pStyle w:val="TableParagraph"/>
              <w:tabs>
                <w:tab w:pos="873" w:val="left" w:leader="none"/>
              </w:tabs>
              <w:spacing w:line="276" w:lineRule="auto" w:before="99"/>
              <w:ind w:left="120" w:right="107"/>
              <w:rPr>
                <w:sz w:val="22"/>
              </w:rPr>
            </w:pPr>
            <w:r>
              <w:rPr>
                <w:sz w:val="22"/>
              </w:rPr>
              <w:t>3540</w:t>
              <w:tab/>
            </w:r>
            <w:r>
              <w:rPr>
                <w:spacing w:val="-1"/>
                <w:sz w:val="22"/>
              </w:rPr>
              <w:t>Ovino </w:t>
            </w:r>
            <w:r>
              <w:rPr>
                <w:sz w:val="22"/>
              </w:rPr>
              <w:t>hembra</w:t>
            </w:r>
          </w:p>
        </w:tc>
        <w:tc>
          <w:tcPr>
            <w:tcW w:w="613" w:type="dxa"/>
            <w:tcBorders>
              <w:top w:val="nil"/>
              <w:left w:val="nil"/>
              <w:right w:val="nil"/>
            </w:tcBorders>
          </w:tcPr>
          <w:p>
            <w:pPr>
              <w:pStyle w:val="TableParagraph"/>
              <w:spacing w:before="101"/>
              <w:ind w:left="105"/>
              <w:rPr>
                <w:sz w:val="22"/>
              </w:rPr>
            </w:pPr>
            <w:r>
              <w:rPr>
                <w:w w:val="100"/>
                <w:sz w:val="22"/>
              </w:rPr>
              <w:t>+</w:t>
            </w:r>
          </w:p>
        </w:tc>
        <w:tc>
          <w:tcPr>
            <w:tcW w:w="802" w:type="dxa"/>
            <w:tcBorders>
              <w:top w:val="nil"/>
              <w:left w:val="nil"/>
              <w:right w:val="nil"/>
            </w:tcBorders>
          </w:tcPr>
          <w:p>
            <w:pPr>
              <w:pStyle w:val="TableParagraph"/>
              <w:spacing w:before="101"/>
              <w:ind w:left="137"/>
              <w:rPr>
                <w:sz w:val="22"/>
              </w:rPr>
            </w:pPr>
            <w:r>
              <w:rPr>
                <w:w w:val="100"/>
                <w:sz w:val="22"/>
              </w:rPr>
              <w:t>+</w:t>
            </w:r>
          </w:p>
        </w:tc>
        <w:tc>
          <w:tcPr>
            <w:tcW w:w="1143" w:type="dxa"/>
            <w:tcBorders>
              <w:top w:val="nil"/>
              <w:left w:val="nil"/>
              <w:right w:val="nil"/>
            </w:tcBorders>
          </w:tcPr>
          <w:p>
            <w:pPr>
              <w:pStyle w:val="TableParagraph"/>
              <w:spacing w:before="101"/>
              <w:ind w:left="230"/>
              <w:rPr>
                <w:sz w:val="22"/>
              </w:rPr>
            </w:pPr>
            <w:r>
              <w:rPr>
                <w:w w:val="100"/>
                <w:sz w:val="22"/>
              </w:rPr>
              <w:t>+</w:t>
            </w:r>
          </w:p>
        </w:tc>
        <w:tc>
          <w:tcPr>
            <w:tcW w:w="644" w:type="dxa"/>
            <w:tcBorders>
              <w:top w:val="nil"/>
              <w:left w:val="nil"/>
              <w:right w:val="nil"/>
            </w:tcBorders>
          </w:tcPr>
          <w:p>
            <w:pPr>
              <w:pStyle w:val="TableParagraph"/>
              <w:spacing w:before="101"/>
              <w:ind w:left="182"/>
              <w:rPr>
                <w:sz w:val="22"/>
              </w:rPr>
            </w:pPr>
            <w:r>
              <w:rPr>
                <w:w w:val="100"/>
                <w:sz w:val="22"/>
              </w:rPr>
              <w:t>+</w:t>
            </w:r>
          </w:p>
        </w:tc>
        <w:tc>
          <w:tcPr>
            <w:tcW w:w="618" w:type="dxa"/>
            <w:tcBorders>
              <w:top w:val="nil"/>
              <w:left w:val="nil"/>
              <w:right w:val="nil"/>
            </w:tcBorders>
          </w:tcPr>
          <w:p>
            <w:pPr>
              <w:pStyle w:val="TableParagraph"/>
              <w:spacing w:before="101"/>
              <w:ind w:left="126"/>
              <w:rPr>
                <w:sz w:val="22"/>
              </w:rPr>
            </w:pPr>
            <w:r>
              <w:rPr>
                <w:w w:val="100"/>
                <w:sz w:val="22"/>
              </w:rPr>
              <w:t>-</w:t>
            </w:r>
          </w:p>
        </w:tc>
        <w:tc>
          <w:tcPr>
            <w:tcW w:w="643" w:type="dxa"/>
            <w:tcBorders>
              <w:top w:val="nil"/>
              <w:left w:val="nil"/>
              <w:right w:val="nil"/>
            </w:tcBorders>
          </w:tcPr>
          <w:p>
            <w:pPr>
              <w:pStyle w:val="TableParagraph"/>
              <w:spacing w:before="101"/>
              <w:ind w:left="156"/>
              <w:rPr>
                <w:sz w:val="22"/>
              </w:rPr>
            </w:pPr>
            <w:r>
              <w:rPr>
                <w:w w:val="100"/>
                <w:sz w:val="22"/>
              </w:rPr>
              <w:t>+</w:t>
            </w:r>
          </w:p>
        </w:tc>
        <w:tc>
          <w:tcPr>
            <w:tcW w:w="645" w:type="dxa"/>
            <w:tcBorders>
              <w:top w:val="nil"/>
              <w:left w:val="nil"/>
              <w:right w:val="nil"/>
            </w:tcBorders>
          </w:tcPr>
          <w:p>
            <w:pPr>
              <w:pStyle w:val="TableParagraph"/>
              <w:spacing w:before="101"/>
              <w:ind w:left="151"/>
              <w:rPr>
                <w:sz w:val="22"/>
              </w:rPr>
            </w:pPr>
            <w:r>
              <w:rPr>
                <w:w w:val="100"/>
                <w:sz w:val="22"/>
              </w:rPr>
              <w:t>+</w:t>
            </w:r>
          </w:p>
        </w:tc>
      </w:tr>
    </w:tbl>
    <w:p>
      <w:pPr>
        <w:pStyle w:val="BodyText"/>
        <w:rPr>
          <w:b/>
          <w:sz w:val="20"/>
        </w:rPr>
      </w:pPr>
    </w:p>
    <w:p>
      <w:pPr>
        <w:pStyle w:val="BodyText"/>
        <w:rPr>
          <w:b/>
          <w:sz w:val="27"/>
        </w:rPr>
      </w:pPr>
    </w:p>
    <w:p>
      <w:pPr>
        <w:spacing w:before="69"/>
        <w:ind w:left="152" w:right="0" w:firstLine="0"/>
        <w:jc w:val="both"/>
        <w:rPr>
          <w:b/>
          <w:sz w:val="24"/>
        </w:rPr>
      </w:pPr>
      <w:r>
        <w:rPr>
          <w:b/>
          <w:sz w:val="24"/>
        </w:rPr>
        <w:t>Análisis de secuencias</w:t>
      </w:r>
    </w:p>
    <w:p>
      <w:pPr>
        <w:pStyle w:val="BodyText"/>
        <w:spacing w:before="2"/>
        <w:rPr>
          <w:b/>
          <w:sz w:val="29"/>
        </w:rPr>
      </w:pPr>
    </w:p>
    <w:p>
      <w:pPr>
        <w:pStyle w:val="BodyText"/>
        <w:spacing w:line="360" w:lineRule="auto"/>
        <w:ind w:left="152" w:right="107"/>
        <w:jc w:val="both"/>
      </w:pPr>
      <w:r>
        <w:rPr/>
        <w:t>Los porcentajes de similitud de las secuencias parciales del gen </w:t>
      </w:r>
      <w:r>
        <w:rPr>
          <w:i/>
        </w:rPr>
        <w:t>rpoB </w:t>
      </w:r>
      <w:r>
        <w:rPr/>
        <w:t>del presente estudio analizadas en el Basic Local Aligment Search Tool (BLAST) NCBI  oscilaron entre 98, 99 y 100 % con secuencias previamente reportadas en el resto del mundo como </w:t>
      </w:r>
      <w:r>
        <w:rPr>
          <w:i/>
        </w:rPr>
        <w:t>C. pseudotuberculosis </w:t>
      </w:r>
      <w:r>
        <w:rPr/>
        <w:t>(Figura 12), se demostró que 58 (96.66%) de las 60 secuencias del gen </w:t>
      </w:r>
      <w:r>
        <w:rPr>
          <w:i/>
        </w:rPr>
        <w:t>rpoB </w:t>
      </w:r>
      <w:r>
        <w:rPr/>
        <w:t>de los aislados del presente estudio corresponden a </w:t>
      </w:r>
      <w:r>
        <w:rPr>
          <w:i/>
        </w:rPr>
        <w:t>C. pseudotuberculosis; </w:t>
      </w:r>
      <w:r>
        <w:rPr/>
        <w:t>ya que un aislamiento tuvo errores de secuenciación y la secuencia restante de crecimiento pardo amarillento con identificación 028 (</w:t>
      </w:r>
      <w:r>
        <w:rPr>
          <w:i/>
        </w:rPr>
        <w:t>rpoB </w:t>
      </w:r>
      <w:r>
        <w:rPr/>
        <w:t>C53) corresponde a un </w:t>
      </w:r>
      <w:r>
        <w:rPr>
          <w:i/>
        </w:rPr>
        <w:t>Corynebacterium xerosis </w:t>
      </w:r>
      <w:r>
        <w:rPr/>
        <w:t>con un porcentaje de similitud del 100 % a una secuencia ya reportada (Figura 13) y además reportándose por primera vez en un absceso cutáneo de</w:t>
      </w:r>
      <w:r>
        <w:rPr>
          <w:spacing w:val="-31"/>
        </w:rPr>
        <w:t> </w:t>
      </w:r>
      <w:r>
        <w:rPr/>
        <w:t>ovino.</w:t>
      </w:r>
    </w:p>
    <w:p>
      <w:pPr>
        <w:spacing w:after="0" w:line="360" w:lineRule="auto"/>
        <w:jc w:val="both"/>
        <w:sectPr>
          <w:pgSz w:w="12240" w:h="15840"/>
          <w:pgMar w:header="0" w:footer="1386" w:top="1500" w:bottom="1580" w:left="1720" w:right="1420"/>
        </w:sectPr>
      </w:pPr>
    </w:p>
    <w:p>
      <w:pPr>
        <w:pStyle w:val="BodyText"/>
        <w:spacing w:before="3" w:after="1"/>
        <w:rPr>
          <w:sz w:val="27"/>
        </w:rPr>
      </w:pPr>
    </w:p>
    <w:p>
      <w:pPr>
        <w:pStyle w:val="BodyText"/>
        <w:ind w:left="152"/>
        <w:rPr>
          <w:sz w:val="20"/>
        </w:rPr>
      </w:pPr>
      <w:r>
        <w:rPr>
          <w:sz w:val="20"/>
        </w:rPr>
        <w:drawing>
          <wp:inline distT="0" distB="0" distL="0" distR="0">
            <wp:extent cx="4870391" cy="2245995"/>
            <wp:effectExtent l="0" t="0" r="0" b="0"/>
            <wp:docPr id="17" name="image15.png" descr=""/>
            <wp:cNvGraphicFramePr>
              <a:graphicFrameLocks noChangeAspect="1"/>
            </wp:cNvGraphicFramePr>
            <a:graphic>
              <a:graphicData uri="http://schemas.openxmlformats.org/drawingml/2006/picture">
                <pic:pic>
                  <pic:nvPicPr>
                    <pic:cNvPr id="18" name="image15.png"/>
                    <pic:cNvPicPr/>
                  </pic:nvPicPr>
                  <pic:blipFill>
                    <a:blip r:embed="rId29" cstate="print"/>
                    <a:stretch>
                      <a:fillRect/>
                    </a:stretch>
                  </pic:blipFill>
                  <pic:spPr>
                    <a:xfrm>
                      <a:off x="0" y="0"/>
                      <a:ext cx="4870391" cy="2245995"/>
                    </a:xfrm>
                    <a:prstGeom prst="rect">
                      <a:avLst/>
                    </a:prstGeom>
                  </pic:spPr>
                </pic:pic>
              </a:graphicData>
            </a:graphic>
          </wp:inline>
        </w:drawing>
      </w:r>
      <w:r>
        <w:rPr>
          <w:sz w:val="20"/>
        </w:rPr>
      </w:r>
    </w:p>
    <w:p>
      <w:pPr>
        <w:pStyle w:val="BodyText"/>
        <w:spacing w:before="3"/>
        <w:rPr>
          <w:sz w:val="17"/>
        </w:rPr>
      </w:pPr>
    </w:p>
    <w:p>
      <w:pPr>
        <w:pStyle w:val="Heading3"/>
        <w:spacing w:line="242" w:lineRule="auto" w:before="70"/>
        <w:ind w:right="109"/>
      </w:pPr>
      <w:bookmarkStart w:name="_bookmark46" w:id="47"/>
      <w:bookmarkEnd w:id="47"/>
      <w:r>
        <w:rPr>
          <w:b w:val="0"/>
        </w:rPr>
      </w:r>
      <w:r>
        <w:rPr/>
        <w:t>Figura 11 Porcentajes de Similitud del BLAST Gen Bank (NCBI) del gen rpoB de aislados de C. pseudotuberculosis.</w:t>
      </w:r>
    </w:p>
    <w:p>
      <w:pPr>
        <w:pStyle w:val="BodyText"/>
        <w:rPr>
          <w:b/>
          <w:sz w:val="20"/>
        </w:rPr>
      </w:pPr>
    </w:p>
    <w:p>
      <w:pPr>
        <w:pStyle w:val="BodyText"/>
        <w:rPr>
          <w:b/>
          <w:sz w:val="20"/>
        </w:rPr>
      </w:pPr>
    </w:p>
    <w:p>
      <w:pPr>
        <w:pStyle w:val="BodyText"/>
        <w:spacing w:before="6"/>
        <w:rPr>
          <w:b/>
          <w:sz w:val="20"/>
        </w:rPr>
      </w:pPr>
      <w:r>
        <w:rPr/>
        <w:drawing>
          <wp:anchor distT="0" distB="0" distL="0" distR="0" allowOverlap="1" layoutInCell="1" locked="0" behindDoc="0" simplePos="0" relativeHeight="1648">
            <wp:simplePos x="0" y="0"/>
            <wp:positionH relativeFrom="page">
              <wp:posOffset>1188719</wp:posOffset>
            </wp:positionH>
            <wp:positionV relativeFrom="paragraph">
              <wp:posOffset>174687</wp:posOffset>
            </wp:positionV>
            <wp:extent cx="4910506" cy="1303781"/>
            <wp:effectExtent l="0" t="0" r="0" b="0"/>
            <wp:wrapTopAndBottom/>
            <wp:docPr id="19" name="image16.png" descr=""/>
            <wp:cNvGraphicFramePr>
              <a:graphicFrameLocks noChangeAspect="1"/>
            </wp:cNvGraphicFramePr>
            <a:graphic>
              <a:graphicData uri="http://schemas.openxmlformats.org/drawingml/2006/picture">
                <pic:pic>
                  <pic:nvPicPr>
                    <pic:cNvPr id="20" name="image16.png"/>
                    <pic:cNvPicPr/>
                  </pic:nvPicPr>
                  <pic:blipFill>
                    <a:blip r:embed="rId30" cstate="print"/>
                    <a:stretch>
                      <a:fillRect/>
                    </a:stretch>
                  </pic:blipFill>
                  <pic:spPr>
                    <a:xfrm>
                      <a:off x="0" y="0"/>
                      <a:ext cx="4910506" cy="1303781"/>
                    </a:xfrm>
                    <a:prstGeom prst="rect">
                      <a:avLst/>
                    </a:prstGeom>
                  </pic:spPr>
                </pic:pic>
              </a:graphicData>
            </a:graphic>
          </wp:anchor>
        </w:drawing>
      </w:r>
    </w:p>
    <w:p>
      <w:pPr>
        <w:pStyle w:val="BodyText"/>
        <w:spacing w:before="8"/>
        <w:rPr>
          <w:b/>
          <w:sz w:val="26"/>
        </w:rPr>
      </w:pPr>
    </w:p>
    <w:p>
      <w:pPr>
        <w:spacing w:before="0"/>
        <w:ind w:left="152" w:right="109" w:firstLine="0"/>
        <w:jc w:val="both"/>
        <w:rPr>
          <w:b/>
          <w:sz w:val="24"/>
        </w:rPr>
      </w:pPr>
      <w:bookmarkStart w:name="_bookmark47" w:id="48"/>
      <w:bookmarkEnd w:id="48"/>
      <w:r>
        <w:rPr/>
      </w:r>
      <w:r>
        <w:rPr>
          <w:b/>
          <w:sz w:val="24"/>
        </w:rPr>
        <w:t>Figura 12 Porcentajes de Similitud del BLAST Gen Bank (NCBI) del gen rpoB del aislado de Corynebacterium xerosis.</w:t>
      </w:r>
    </w:p>
    <w:p>
      <w:pPr>
        <w:pStyle w:val="BodyText"/>
        <w:spacing w:line="360" w:lineRule="auto" w:before="201"/>
        <w:ind w:left="152" w:right="105"/>
        <w:jc w:val="both"/>
      </w:pPr>
      <w:r>
        <w:rPr/>
        <w:t>Del análisis de secuencias en el programa MEGA. 5.2 se construyó el árbol filogenético (Figura 14) donde se muestra claramente la agrupación de los  aislados del presente estudio 96 % (58/60) en la especie </w:t>
      </w:r>
      <w:r>
        <w:rPr>
          <w:i/>
        </w:rPr>
        <w:t>C. pseudotuberculosis </w:t>
      </w:r>
      <w:r>
        <w:rPr>
          <w:i/>
        </w:rPr>
        <w:t>biovariedad ovis </w:t>
      </w:r>
      <w:r>
        <w:rPr/>
        <w:t>de acuerdo a las cepas de referencia del Gen Bank; sin embargo dentro de la misma agrupación se observan pequeñas variaciones formando ramificaciones de poca distancia evolutiva entre ellas. Cabe destacar los aislamientos identificados como </w:t>
      </w:r>
      <w:r>
        <w:rPr>
          <w:i/>
        </w:rPr>
        <w:t>rpoB C25 y rpoB C60 </w:t>
      </w:r>
      <w:r>
        <w:rPr/>
        <w:t>los cuales corresponden aislados de cabra, dichos aislamientos son clonas del género y especie </w:t>
      </w:r>
      <w:r>
        <w:rPr>
          <w:i/>
        </w:rPr>
        <w:t>C. </w:t>
      </w:r>
      <w:r>
        <w:rPr>
          <w:i/>
        </w:rPr>
        <w:t>pseudotuberculosis   biovarioedad   ovis   </w:t>
      </w:r>
      <w:r>
        <w:rPr/>
        <w:t>sin   embrago   poseen   cierta </w:t>
      </w:r>
      <w:r>
        <w:rPr>
          <w:spacing w:val="20"/>
        </w:rPr>
        <w:t> </w:t>
      </w:r>
      <w:r>
        <w:rPr/>
        <w:t>variación</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genética en algunos nucleótidos específicos lo cual las diferencia del resto del grupo. Además el análisis filogenético basado en el gen </w:t>
      </w:r>
      <w:r>
        <w:rPr>
          <w:i/>
        </w:rPr>
        <w:t>rpoB </w:t>
      </w:r>
      <w:r>
        <w:rPr/>
        <w:t>logro diferenciar a nivel sub especie ya que agrupó a </w:t>
      </w:r>
      <w:r>
        <w:rPr>
          <w:i/>
        </w:rPr>
        <w:t>C. pseudotuberculosis biovariedad equi </w:t>
      </w:r>
      <w:r>
        <w:rPr/>
        <w:t>en un clado diferente. Otro grupo de relevancia dentro del árbol filogenético es el de </w:t>
      </w:r>
      <w:r>
        <w:rPr>
          <w:i/>
        </w:rPr>
        <w:t>C. </w:t>
      </w:r>
      <w:r>
        <w:rPr>
          <w:i/>
        </w:rPr>
        <w:t>xerosis </w:t>
      </w:r>
      <w:r>
        <w:rPr/>
        <w:t>donde se encuentra uno de nuestros aislados identificado como </w:t>
      </w:r>
      <w:r>
        <w:rPr>
          <w:i/>
        </w:rPr>
        <w:t>rpoB C53 </w:t>
      </w:r>
      <w:r>
        <w:rPr/>
        <w:t>con crecimiento pardo amarillento en gelosa sangre y el cual corresponde al  primer reporte de esta especie en un absceso cutáneo en ovinos. Las secuencias parciales del presente estudio se compararon con secuencias de referencia del Gen Bank (NCBI) mostrados en la cuadro</w:t>
      </w:r>
      <w:r>
        <w:rPr>
          <w:spacing w:val="-11"/>
        </w:rPr>
        <w:t> </w:t>
      </w:r>
      <w:r>
        <w:rPr/>
        <w:t>3.</w:t>
      </w:r>
    </w:p>
    <w:p>
      <w:pPr>
        <w:spacing w:after="0" w:line="360" w:lineRule="auto"/>
        <w:jc w:val="both"/>
        <w:sectPr>
          <w:footerReference w:type="default" r:id="rId31"/>
          <w:pgSz w:w="12240" w:h="15840"/>
          <w:pgMar w:footer="1386" w:header="0" w:top="1500" w:bottom="1580" w:left="1720" w:right="1420"/>
        </w:sectPr>
      </w:pPr>
    </w:p>
    <w:p>
      <w:pPr>
        <w:spacing w:line="130" w:lineRule="atLeast" w:before="26"/>
        <w:ind w:left="5104" w:right="4222" w:firstLine="0"/>
        <w:jc w:val="both"/>
        <w:rPr>
          <w:sz w:val="7"/>
        </w:rPr>
      </w:pPr>
      <w:r>
        <w:rPr/>
        <w:pict>
          <v:group style="position:absolute;margin-left:362.519989pt;margin-top:1.824829pt;width:198.6pt;height:476.8pt;mso-position-horizontal-relative:page;mso-position-vertical-relative:paragraph;z-index:-175312" coordorigin="7250,36" coordsize="3972,9536">
            <v:shape style="position:absolute;left:8974;top:44;width:485;height:9521" coordorigin="8974,44" coordsize="485,9521" path="m8974,44l9038,72,9096,153,9122,210,9145,278,9165,354,9183,439,9197,531,9207,630,9214,734,9216,842,9216,3961,9218,4069,9225,4173,9235,4272,9249,4364,9267,4449,9287,4525,9310,4593,9336,4650,9394,4730,9458,4759,9426,4766,9364,4822,9310,4925,9287,4993,9267,5069,9249,5154,9235,5246,9225,5345,9218,5449,9216,5557,9216,8767,9214,8875,9207,8979,9197,9078,9183,9170,9165,9255,9145,9331,9122,9399,9096,9456,9038,9536,9006,9558,8974,9565e" filled="false" stroked="true" strokeweight=".72pt" strokecolor="#ff0000">
              <v:path arrowok="t"/>
            </v:shape>
            <v:shape style="position:absolute;left:7738;top:4410;width:1464;height:360" type="#_x0000_t75" stroked="false">
              <v:imagedata r:id="rId33" o:title=""/>
            </v:shape>
            <v:shape style="position:absolute;left:9456;top:4326;width:1766;height:842" type="#_x0000_t75" stroked="false">
              <v:imagedata r:id="rId34" o:title=""/>
            </v:shape>
            <v:shape style="position:absolute;left:7250;top:4554;width:481;height:120" coordorigin="7250,4554" coordsize="481,120" path="m7373,4554l7250,4609,7368,4674,7370,4624,7350,4623,7351,4603,7371,4603,7373,4554xm7371,4604l7370,4624,7730,4639,7731,4619,7371,4604xm7351,4603l7350,4623,7370,4624,7371,4604,7351,4603xm7371,4603l7351,4603,7371,4604,7371,4603xe" filled="true" fillcolor="#ff0000" stroked="false">
              <v:path arrowok="t"/>
              <v:fill type="solid"/>
            </v:shape>
            <w10:wrap type="none"/>
          </v:group>
        </w:pict>
      </w:r>
      <w:r>
        <w:rPr/>
        <w:pict>
          <v:group style="position:absolute;margin-left:40.658836pt;margin-top:5.637295pt;width:251.6pt;height:553.550pt;mso-position-horizontal-relative:page;mso-position-vertical-relative:paragraph;z-index:-175216" coordorigin="813,113" coordsize="5032,11071">
            <v:line style="position:absolute" from="5839,4569" to="5839,4704" stroked="true" strokeweight=".565812pt" strokecolor="#000000"/>
            <v:shape style="position:absolute;left:5754;top:4637;width:86;height:2054" coordorigin="5754,4637" coordsize="86,2054" path="m5754,6690l5754,4637,5839,4637e" filled="false" stroked="true" strokeweight=".565323pt" strokecolor="#000000">
              <v:path arrowok="t"/>
            </v:shape>
            <v:line style="position:absolute" from="5754,119" to="5754,8750" stroked="true" strokeweight=".565816pt" strokecolor="#000000"/>
            <v:line style="position:absolute" from="5751,4434" to="5751,6657" stroked="true" strokeweight=".281044pt" strokecolor="#000000"/>
            <v:shape style="position:absolute;left:7766;top:-21;width:267;height:7020" coordorigin="7766,-21" coordsize="267,7020" path="m5748,6662l5748,8885,5834,8885m5664,8106l5664,6659,5748,6659e" filled="false" stroked="true" strokeweight=".423316pt" strokecolor="#000000">
              <v:path arrowok="t"/>
            </v:shape>
            <v:line style="position:absolute" from="5664,8112" to="5664,9559" stroked="true" strokeweight=".565813pt" strokecolor="#000000"/>
            <v:shape style="position:absolute;left:7637;top:4552;width:266;height:6691" coordorigin="7637,4552" coordsize="266,6691" path="m5581,9067l5581,8109,5664,8109m5751,10028l5751,9694,5751,9694m5751,10096l5751,9829,5751,9829m5751,10163l5751,9964,5751,9964m5751,10230l5751,10098,5751,10098e" filled="false" stroked="true" strokeweight=".423316pt" strokecolor="#000000">
              <v:path arrowok="t"/>
            </v:shape>
            <v:line style="position:absolute" from="5836,10233" to="5836,10503" stroked="true" strokeweight=".565813pt" strokecolor="#000000"/>
            <v:shape style="position:absolute;left:178;top:7583;width:7859;height:5371" coordorigin="178,7583" coordsize="7859,5371" path="m5751,10236l5751,10368,5836,10368m5751,10034l5751,10368m5581,9073l5581,10031,5751,10031m4392,9851l4392,9070,5581,9070m4392,9857l4392,10638,5726,10638m3227,10311l3227,9854,4392,9854m3227,10316l3227,10773,4955,10773m817,10674l817,10313,3227,10313e" filled="false" stroked="true" strokeweight=".423316pt" strokecolor="#000000">
              <v:path arrowok="t"/>
            </v:shape>
            <v:line style="position:absolute" from="5836,10908" to="5836,11177" stroked="true" strokeweight=".565813pt" strokecolor="#000000"/>
            <v:shape style="position:absolute;left:817;top:10680;width:5020;height:363" coordorigin="817,10680" coordsize="5020,363" path="m817,10680l817,11042,5836,11042e" filled="false" stroked="true" strokeweight=".282298pt" strokecolor="#000000">
              <v:path arrowok="t"/>
            </v:shape>
            <w10:wrap type="none"/>
          </v:group>
        </w:pict>
      </w:r>
      <w:r>
        <w:rPr>
          <w:spacing w:val="-3"/>
          <w:w w:val="210"/>
          <w:sz w:val="7"/>
        </w:rPr>
        <w:t>rpoB_C76_C2700_F rpoB_C77_C2700_F rpoB_C75_C2700_F rpoB_C74_C2700_F rpoB_C73_C2700_F rpoB_C72_C2700_F rpoB_C71_C2700_F rpoB_C70_C2700_F rpoB_C69_C2700_F rpoB_C68_C2700_F rpoB_C67_C2700_F rpoB_C64_C2700_F rpoB_C63_C2700_F rpoB_C62_C2700_F rpoB_C61_C2700_F rpoB_C59_C2700_F rpoB_C58_C2700_F rpoB_C56_C2700_F rpoB_C55_C2700_F rpoB_C54_C2700_F rpoB_C52_C2700_F rpoB_C50_C2700_F rpoB_C49_C2700_F rpoB_C48_C2700_F rpoB_C47_C2700_F rpoB_C46_C2700_F rpoB_C43_C2700_F rpoB_C42_C2700_F rpoB_C41_C2700_F rpoB_C39_C2700_F rpoB_C38_C2700_F rpoB_C37_C2700_F</w:t>
      </w:r>
    </w:p>
    <w:p>
      <w:pPr>
        <w:spacing w:line="93" w:lineRule="exact" w:before="13"/>
        <w:ind w:left="4785" w:right="4103" w:firstLine="0"/>
        <w:jc w:val="center"/>
        <w:rPr>
          <w:sz w:val="7"/>
        </w:rPr>
      </w:pPr>
      <w:r>
        <w:rPr>
          <w:w w:val="210"/>
          <w:position w:val="5"/>
          <w:sz w:val="6"/>
        </w:rPr>
        <w:t>30 </w:t>
      </w:r>
      <w:r>
        <w:rPr>
          <w:w w:val="210"/>
          <w:sz w:val="7"/>
        </w:rPr>
        <w:t>rpoB_C35_C2700_F</w:t>
      </w:r>
    </w:p>
    <w:p>
      <w:pPr>
        <w:spacing w:after="0" w:line="93" w:lineRule="exact"/>
        <w:jc w:val="center"/>
        <w:rPr>
          <w:sz w:val="7"/>
        </w:rPr>
        <w:sectPr>
          <w:footerReference w:type="default" r:id="rId32"/>
          <w:pgSz w:w="12240" w:h="15840"/>
          <w:pgMar w:footer="1386" w:header="0" w:top="640" w:bottom="1580" w:left="700" w:right="900"/>
          <w:pgNumType w:start="51"/>
        </w:sectPr>
      </w:pPr>
    </w:p>
    <w:p>
      <w:pPr>
        <w:pStyle w:val="BodyText"/>
        <w:spacing w:before="1"/>
        <w:rPr>
          <w:sz w:val="7"/>
        </w:rPr>
      </w:pPr>
    </w:p>
    <w:p>
      <w:pPr>
        <w:spacing w:line="348" w:lineRule="auto" w:before="1"/>
        <w:ind w:left="5131" w:right="0" w:hanging="244"/>
        <w:jc w:val="right"/>
        <w:rPr>
          <w:sz w:val="7"/>
        </w:rPr>
      </w:pPr>
      <w:r>
        <w:rPr>
          <w:w w:val="210"/>
          <w:position w:val="-1"/>
          <w:sz w:val="6"/>
        </w:rPr>
        <w:t>62 </w:t>
      </w:r>
      <w:r>
        <w:rPr>
          <w:w w:val="210"/>
          <w:sz w:val="7"/>
        </w:rPr>
        <w:t>rpoB_C25_C2700_F</w:t>
      </w:r>
      <w:r>
        <w:rPr>
          <w:w w:val="210"/>
          <w:sz w:val="7"/>
        </w:rPr>
        <w:t> </w:t>
      </w:r>
      <w:r>
        <w:rPr>
          <w:w w:val="210"/>
          <w:sz w:val="7"/>
        </w:rPr>
        <w:t>rpoB_C60_C2700_F</w:t>
      </w:r>
    </w:p>
    <w:p>
      <w:pPr>
        <w:tabs>
          <w:tab w:pos="2375" w:val="left" w:leader="none"/>
        </w:tabs>
        <w:spacing w:line="170" w:lineRule="auto" w:before="16"/>
        <w:ind w:left="2375" w:right="478" w:hanging="1719"/>
        <w:jc w:val="left"/>
        <w:rPr>
          <w:rFonts w:ascii="Calibri"/>
          <w:i/>
          <w:sz w:val="16"/>
        </w:rPr>
      </w:pPr>
      <w:r>
        <w:rPr/>
        <w:br w:type="column"/>
      </w:r>
      <w:r>
        <w:rPr>
          <w:rFonts w:ascii="Calibri"/>
          <w:sz w:val="16"/>
        </w:rPr>
        <w:t>Aislados</w:t>
      </w:r>
      <w:r>
        <w:rPr>
          <w:rFonts w:ascii="Calibri"/>
          <w:spacing w:val="-2"/>
          <w:sz w:val="16"/>
        </w:rPr>
        <w:t> </w:t>
      </w:r>
      <w:r>
        <w:rPr>
          <w:rFonts w:ascii="Calibri"/>
          <w:sz w:val="16"/>
        </w:rPr>
        <w:t>cabras</w:t>
        <w:tab/>
      </w:r>
      <w:r>
        <w:rPr>
          <w:rFonts w:ascii="Calibri"/>
          <w:position w:val="8"/>
          <w:sz w:val="16"/>
        </w:rPr>
        <w:t>Grupo</w:t>
      </w:r>
      <w:r>
        <w:rPr>
          <w:rFonts w:ascii="Calibri"/>
          <w:spacing w:val="-3"/>
          <w:position w:val="8"/>
          <w:sz w:val="16"/>
        </w:rPr>
        <w:t> </w:t>
      </w:r>
      <w:r>
        <w:rPr>
          <w:rFonts w:ascii="Calibri"/>
          <w:position w:val="8"/>
          <w:sz w:val="16"/>
        </w:rPr>
        <w:t>de</w:t>
      </w:r>
      <w:r>
        <w:rPr>
          <w:rFonts w:ascii="Calibri"/>
          <w:spacing w:val="-3"/>
          <w:position w:val="8"/>
          <w:sz w:val="16"/>
        </w:rPr>
        <w:t> </w:t>
      </w:r>
      <w:r>
        <w:rPr>
          <w:rFonts w:ascii="Calibri"/>
          <w:i/>
          <w:position w:val="8"/>
          <w:sz w:val="16"/>
        </w:rPr>
        <w:t>C.</w:t>
      </w:r>
      <w:r>
        <w:rPr>
          <w:rFonts w:ascii="Calibri"/>
          <w:i/>
          <w:spacing w:val="-1"/>
          <w:w w:val="100"/>
          <w:position w:val="8"/>
          <w:sz w:val="16"/>
        </w:rPr>
        <w:t> </w:t>
      </w:r>
      <w:r>
        <w:rPr>
          <w:rFonts w:ascii="Calibri"/>
          <w:i/>
          <w:spacing w:val="-1"/>
          <w:sz w:val="16"/>
        </w:rPr>
        <w:t>pseudotuberculosis</w:t>
      </w:r>
    </w:p>
    <w:p>
      <w:pPr>
        <w:spacing w:after="0" w:line="170" w:lineRule="auto"/>
        <w:jc w:val="left"/>
        <w:rPr>
          <w:rFonts w:ascii="Calibri"/>
          <w:sz w:val="16"/>
        </w:rPr>
        <w:sectPr>
          <w:type w:val="continuous"/>
          <w:pgSz w:w="12240" w:h="15840"/>
          <w:pgMar w:top="1500" w:bottom="280" w:left="700" w:right="900"/>
          <w:cols w:num="2" w:equalWidth="0">
            <w:col w:w="6502" w:space="40"/>
            <w:col w:w="4098"/>
          </w:cols>
        </w:sectPr>
      </w:pPr>
    </w:p>
    <w:p>
      <w:pPr>
        <w:spacing w:line="58" w:lineRule="exact" w:before="0"/>
        <w:ind w:left="5104" w:right="0" w:firstLine="0"/>
        <w:jc w:val="both"/>
        <w:rPr>
          <w:sz w:val="7"/>
        </w:rPr>
      </w:pPr>
      <w:r>
        <w:rPr>
          <w:w w:val="210"/>
          <w:sz w:val="7"/>
        </w:rPr>
        <w:t>CP003407.1 C. pseudotuberculosis 267</w:t>
      </w:r>
    </w:p>
    <w:p>
      <w:pPr>
        <w:pStyle w:val="BodyText"/>
        <w:spacing w:before="8"/>
        <w:rPr>
          <w:sz w:val="4"/>
        </w:rPr>
      </w:pPr>
    </w:p>
    <w:p>
      <w:pPr>
        <w:spacing w:line="403" w:lineRule="auto" w:before="0"/>
        <w:ind w:left="5104" w:right="0" w:firstLine="0"/>
        <w:jc w:val="left"/>
        <w:rPr>
          <w:sz w:val="7"/>
        </w:rPr>
      </w:pPr>
      <w:r>
        <w:rPr>
          <w:w w:val="210"/>
          <w:sz w:val="7"/>
        </w:rPr>
        <w:t>CP003385.1 </w:t>
      </w:r>
      <w:r>
        <w:rPr>
          <w:spacing w:val="-3"/>
          <w:w w:val="210"/>
          <w:sz w:val="7"/>
        </w:rPr>
        <w:t>C. </w:t>
      </w:r>
      <w:r>
        <w:rPr>
          <w:w w:val="210"/>
          <w:sz w:val="7"/>
        </w:rPr>
        <w:t>pseudotuberculosis P54B96 CP002924.1 </w:t>
      </w:r>
      <w:r>
        <w:rPr>
          <w:spacing w:val="-3"/>
          <w:w w:val="210"/>
          <w:sz w:val="7"/>
        </w:rPr>
        <w:t>C. </w:t>
      </w:r>
      <w:r>
        <w:rPr>
          <w:w w:val="210"/>
          <w:sz w:val="7"/>
        </w:rPr>
        <w:t>pseudotuberculosis PAT10 CP002251.1 </w:t>
      </w:r>
      <w:r>
        <w:rPr>
          <w:spacing w:val="-3"/>
          <w:w w:val="210"/>
          <w:sz w:val="7"/>
        </w:rPr>
        <w:t>C. </w:t>
      </w:r>
      <w:r>
        <w:rPr>
          <w:w w:val="210"/>
          <w:sz w:val="7"/>
        </w:rPr>
        <w:t>pseudotuberculosis </w:t>
      </w:r>
      <w:r>
        <w:rPr>
          <w:spacing w:val="-4"/>
          <w:w w:val="210"/>
          <w:sz w:val="7"/>
        </w:rPr>
        <w:t>I19 </w:t>
      </w:r>
      <w:r>
        <w:rPr>
          <w:w w:val="210"/>
          <w:sz w:val="7"/>
        </w:rPr>
        <w:t>CP001829.1 </w:t>
      </w:r>
      <w:r>
        <w:rPr>
          <w:spacing w:val="-3"/>
          <w:w w:val="210"/>
          <w:sz w:val="7"/>
        </w:rPr>
        <w:t>C. </w:t>
      </w:r>
      <w:r>
        <w:rPr>
          <w:w w:val="210"/>
          <w:sz w:val="7"/>
        </w:rPr>
        <w:t>pseudotuberculosis </w:t>
      </w:r>
      <w:r>
        <w:rPr>
          <w:spacing w:val="-3"/>
          <w:w w:val="210"/>
          <w:sz w:val="7"/>
        </w:rPr>
        <w:t>C231 </w:t>
      </w:r>
      <w:r>
        <w:rPr>
          <w:w w:val="210"/>
          <w:sz w:val="7"/>
        </w:rPr>
        <w:t>AY492239.1 </w:t>
      </w:r>
      <w:r>
        <w:rPr>
          <w:spacing w:val="-3"/>
          <w:w w:val="210"/>
          <w:sz w:val="7"/>
        </w:rPr>
        <w:t>C. </w:t>
      </w:r>
      <w:r>
        <w:rPr>
          <w:w w:val="210"/>
          <w:sz w:val="7"/>
        </w:rPr>
        <w:t>pseudotuberculosis </w:t>
      </w:r>
      <w:r>
        <w:rPr>
          <w:spacing w:val="-4"/>
          <w:w w:val="210"/>
          <w:sz w:val="7"/>
        </w:rPr>
        <w:t>CIP </w:t>
      </w:r>
      <w:r>
        <w:rPr>
          <w:spacing w:val="-3"/>
          <w:w w:val="210"/>
          <w:sz w:val="7"/>
        </w:rPr>
        <w:t>102968 HQ401568.1 C. </w:t>
      </w:r>
      <w:r>
        <w:rPr>
          <w:w w:val="210"/>
          <w:sz w:val="7"/>
        </w:rPr>
        <w:t>pseudotuberculosis CPO6 </w:t>
      </w:r>
      <w:r>
        <w:rPr>
          <w:spacing w:val="-3"/>
          <w:w w:val="210"/>
          <w:sz w:val="7"/>
        </w:rPr>
        <w:t>GU971389.1 C. </w:t>
      </w:r>
      <w:r>
        <w:rPr>
          <w:w w:val="210"/>
          <w:sz w:val="7"/>
        </w:rPr>
        <w:t>pseudotuberculosis CVUAS </w:t>
      </w:r>
      <w:r>
        <w:rPr>
          <w:spacing w:val="-3"/>
          <w:w w:val="210"/>
          <w:sz w:val="7"/>
        </w:rPr>
        <w:t>3336 rpoB_C3_C2700_F</w:t>
      </w:r>
    </w:p>
    <w:p>
      <w:pPr>
        <w:spacing w:line="403" w:lineRule="auto" w:before="1"/>
        <w:ind w:left="5104" w:right="2001" w:firstLine="0"/>
        <w:jc w:val="both"/>
        <w:rPr>
          <w:sz w:val="7"/>
        </w:rPr>
      </w:pPr>
      <w:r>
        <w:rPr>
          <w:spacing w:val="-3"/>
          <w:w w:val="210"/>
          <w:sz w:val="7"/>
        </w:rPr>
        <w:t>rpoB_C6_C2700_F rpoB_C7_C2700_F rpoB_C8_C2700_F rpoB_C9_C2700_F</w:t>
      </w:r>
    </w:p>
    <w:p>
      <w:pPr>
        <w:spacing w:line="348" w:lineRule="auto" w:before="1"/>
        <w:ind w:left="5104" w:right="1922" w:hanging="249"/>
        <w:jc w:val="both"/>
        <w:rPr>
          <w:sz w:val="7"/>
        </w:rPr>
      </w:pPr>
      <w:r>
        <w:rPr>
          <w:w w:val="210"/>
          <w:position w:val="-1"/>
          <w:sz w:val="6"/>
        </w:rPr>
        <w:t>64 </w:t>
      </w:r>
      <w:r>
        <w:rPr>
          <w:spacing w:val="-3"/>
          <w:w w:val="210"/>
          <w:sz w:val="7"/>
        </w:rPr>
        <w:t>rpoB_C11_C2700_F rpoB_C12_C2700_F</w:t>
      </w:r>
    </w:p>
    <w:p>
      <w:pPr>
        <w:spacing w:line="403" w:lineRule="auto" w:before="19"/>
        <w:ind w:left="5104" w:right="1922" w:firstLine="0"/>
        <w:jc w:val="both"/>
        <w:rPr>
          <w:sz w:val="7"/>
        </w:rPr>
      </w:pPr>
      <w:r>
        <w:rPr>
          <w:spacing w:val="-3"/>
          <w:w w:val="210"/>
          <w:sz w:val="7"/>
        </w:rPr>
        <w:t>rpoB_C13_C2700_F rpoB_C14_C2700_F rpoB_C15_C2700_F rpoB_C16_C2700_F rpoB_C17_C2700_F rpoB_C20_C2700_F rpoB_C21_C2700_F rpoB_C22_C2700_F rpoB_C23_C2700_F</w:t>
      </w:r>
    </w:p>
    <w:p>
      <w:pPr>
        <w:spacing w:line="403" w:lineRule="auto" w:before="0"/>
        <w:ind w:left="5104" w:right="1922" w:hanging="335"/>
        <w:jc w:val="both"/>
        <w:rPr>
          <w:sz w:val="7"/>
        </w:rPr>
      </w:pPr>
      <w:r>
        <w:rPr>
          <w:w w:val="210"/>
          <w:position w:val="1"/>
          <w:sz w:val="6"/>
        </w:rPr>
        <w:t>84 </w:t>
      </w:r>
      <w:r>
        <w:rPr>
          <w:spacing w:val="-3"/>
          <w:w w:val="210"/>
          <w:sz w:val="7"/>
        </w:rPr>
        <w:t>rpoB_C24_C2700_F rpoB_C28_C2700_F rpoB_C29_C2700_F rpoB_C30_C2700_F rpoB_C33_C2700_F rpoB_C34_C2700_F</w:t>
      </w:r>
    </w:p>
    <w:p>
      <w:pPr>
        <w:spacing w:before="1"/>
        <w:ind w:left="5184" w:right="0" w:firstLine="0"/>
        <w:jc w:val="both"/>
        <w:rPr>
          <w:sz w:val="7"/>
        </w:rPr>
      </w:pPr>
      <w:r>
        <w:rPr>
          <w:w w:val="210"/>
          <w:sz w:val="7"/>
        </w:rPr>
        <w:t>CP003062.1 C. pseudotuberculosis 42/02-A</w:t>
      </w:r>
    </w:p>
    <w:p>
      <w:pPr>
        <w:pStyle w:val="BodyText"/>
        <w:spacing w:before="1"/>
        <w:rPr>
          <w:sz w:val="5"/>
        </w:rPr>
      </w:pPr>
    </w:p>
    <w:p>
      <w:pPr>
        <w:spacing w:line="398" w:lineRule="auto" w:before="0"/>
        <w:ind w:left="5014" w:right="0" w:hanging="326"/>
        <w:jc w:val="left"/>
        <w:rPr>
          <w:sz w:val="7"/>
        </w:rPr>
      </w:pPr>
      <w:r>
        <w:rPr>
          <w:w w:val="210"/>
          <w:sz w:val="6"/>
        </w:rPr>
        <w:t>99 </w:t>
      </w:r>
      <w:r>
        <w:rPr>
          <w:w w:val="210"/>
          <w:sz w:val="7"/>
        </w:rPr>
        <w:t>CP003152.1 C. pseudotuberculosis 3/99-5 CP001809.2 C. pseudotuberculosis 1002 CP002097.1 C. pseudotuberculosis FRC41 HQ401569.1 C. pseudotuberculosis CPC11 GU971394.1 C. pseudotuberculosis CVUAS 4987</w:t>
      </w:r>
    </w:p>
    <w:p>
      <w:pPr>
        <w:spacing w:before="3"/>
        <w:ind w:left="5102" w:right="0" w:firstLine="0"/>
        <w:jc w:val="both"/>
        <w:rPr>
          <w:sz w:val="7"/>
        </w:rPr>
      </w:pPr>
      <w:r>
        <w:rPr/>
        <w:pict>
          <v:group style="position:absolute;margin-left:441.584991pt;margin-top:1.242529pt;width:109.35pt;height:41.45pt;mso-position-horizontal-relative:page;mso-position-vertical-relative:paragraph;z-index:1744" coordorigin="8832,25" coordsize="2187,829">
            <v:shape style="position:absolute;left:8839;top:32;width:348;height:814" coordorigin="8839,32" coordsize="348,814" path="m8839,32l8907,38,8962,52,9000,74,9013,100,9013,371,9027,398,9064,419,9120,434,9187,439,9120,444,9064,459,9027,481,9013,507,9013,778,9000,804,8962,826,8907,841,8839,846e" filled="false" stroked="true" strokeweight=".72pt" strokecolor="#ff0000">
              <v:path arrowok="t"/>
            </v:shape>
            <v:shape style="position:absolute;left:9254;top:25;width:1764;height:797" type="#_x0000_t75" stroked="false">
              <v:imagedata r:id="rId35" o:title=""/>
            </v:shape>
            <v:shape style="position:absolute;left:8832;top:25;width:2187;height:828" type="#_x0000_t202" filled="false" stroked="false">
              <v:textbox inset="0,0,0,0">
                <w:txbxContent>
                  <w:p>
                    <w:pPr>
                      <w:spacing w:line="276" w:lineRule="auto" w:before="86"/>
                      <w:ind w:left="582" w:right="339" w:firstLine="0"/>
                      <w:jc w:val="left"/>
                      <w:rPr>
                        <w:rFonts w:ascii="Calibri"/>
                        <w:i/>
                        <w:sz w:val="16"/>
                      </w:rPr>
                    </w:pPr>
                    <w:r>
                      <w:rPr>
                        <w:rFonts w:ascii="Calibri"/>
                        <w:sz w:val="16"/>
                      </w:rPr>
                      <w:t>Grupo de </w:t>
                    </w:r>
                    <w:r>
                      <w:rPr>
                        <w:rFonts w:ascii="Calibri"/>
                        <w:i/>
                        <w:sz w:val="16"/>
                      </w:rPr>
                      <w:t>C. </w:t>
                    </w:r>
                    <w:r>
                      <w:rPr>
                        <w:rFonts w:ascii="Calibri"/>
                        <w:i/>
                        <w:sz w:val="16"/>
                      </w:rPr>
                      <w:t>pseudotuberculosis biovariedad equi.</w:t>
                    </w:r>
                  </w:p>
                </w:txbxContent>
              </v:textbox>
              <w10:wrap type="none"/>
            </v:shape>
            <w10:wrap type="none"/>
          </v:group>
        </w:pict>
      </w:r>
      <w:r>
        <w:rPr>
          <w:w w:val="210"/>
          <w:sz w:val="7"/>
        </w:rPr>
        <w:t>CP003540.2 C. pseudotuberculosis 258</w:t>
      </w:r>
    </w:p>
    <w:p>
      <w:pPr>
        <w:tabs>
          <w:tab w:pos="5101" w:val="left" w:leader="none"/>
        </w:tabs>
        <w:spacing w:line="403" w:lineRule="auto" w:before="43"/>
        <w:ind w:left="5102" w:right="464" w:hanging="1604"/>
        <w:jc w:val="left"/>
        <w:rPr>
          <w:sz w:val="7"/>
        </w:rPr>
      </w:pPr>
      <w:r>
        <w:rPr>
          <w:w w:val="210"/>
          <w:position w:val="2"/>
          <w:sz w:val="6"/>
        </w:rPr>
        <w:t>91</w:t>
        <w:tab/>
      </w:r>
      <w:r>
        <w:rPr>
          <w:w w:val="210"/>
          <w:sz w:val="7"/>
        </w:rPr>
        <w:t>CP003652.1 </w:t>
      </w:r>
      <w:r>
        <w:rPr>
          <w:spacing w:val="-3"/>
          <w:w w:val="210"/>
          <w:sz w:val="7"/>
        </w:rPr>
        <w:t>C.</w:t>
      </w:r>
      <w:r>
        <w:rPr>
          <w:spacing w:val="-7"/>
          <w:w w:val="210"/>
          <w:sz w:val="7"/>
        </w:rPr>
        <w:t> </w:t>
      </w:r>
      <w:r>
        <w:rPr>
          <w:w w:val="210"/>
          <w:sz w:val="7"/>
        </w:rPr>
        <w:t>pseudotuberculosis </w:t>
      </w:r>
      <w:r>
        <w:rPr>
          <w:spacing w:val="-3"/>
          <w:w w:val="210"/>
          <w:sz w:val="7"/>
        </w:rPr>
        <w:t>Cp162</w:t>
      </w:r>
      <w:r>
        <w:rPr>
          <w:w w:val="210"/>
          <w:sz w:val="7"/>
        </w:rPr>
        <w:t> </w:t>
      </w:r>
      <w:r>
        <w:rPr>
          <w:w w:val="210"/>
          <w:sz w:val="7"/>
        </w:rPr>
        <w:t>CP003421.1 </w:t>
      </w:r>
      <w:r>
        <w:rPr>
          <w:spacing w:val="-3"/>
          <w:w w:val="210"/>
          <w:sz w:val="7"/>
        </w:rPr>
        <w:t>C. </w:t>
      </w:r>
      <w:r>
        <w:rPr>
          <w:w w:val="210"/>
          <w:sz w:val="7"/>
        </w:rPr>
        <w:t>pseudotuberculosis</w:t>
      </w:r>
      <w:r>
        <w:rPr>
          <w:spacing w:val="-8"/>
          <w:w w:val="210"/>
          <w:sz w:val="7"/>
        </w:rPr>
        <w:t> </w:t>
      </w:r>
      <w:r>
        <w:rPr>
          <w:w w:val="210"/>
          <w:sz w:val="7"/>
        </w:rPr>
        <w:t>31</w:t>
      </w:r>
    </w:p>
    <w:p>
      <w:pPr>
        <w:spacing w:line="400" w:lineRule="auto" w:before="1"/>
        <w:ind w:left="5187" w:right="0" w:hanging="329"/>
        <w:jc w:val="left"/>
        <w:rPr>
          <w:sz w:val="7"/>
        </w:rPr>
      </w:pPr>
      <w:r>
        <w:rPr>
          <w:w w:val="210"/>
          <w:sz w:val="6"/>
        </w:rPr>
        <w:t>95 </w:t>
      </w:r>
      <w:r>
        <w:rPr>
          <w:w w:val="210"/>
          <w:sz w:val="7"/>
        </w:rPr>
        <w:t>CP003061.1 C. pseudotuberculosis CIP 52.97 CP003077.1 C. pseudotuberculosis 316</w:t>
      </w:r>
    </w:p>
    <w:p>
      <w:pPr>
        <w:spacing w:line="80" w:lineRule="exact" w:before="2"/>
        <w:ind w:left="5187" w:right="0" w:firstLine="0"/>
        <w:jc w:val="both"/>
        <w:rPr>
          <w:sz w:val="7"/>
        </w:rPr>
      </w:pPr>
      <w:r>
        <w:rPr>
          <w:w w:val="210"/>
          <w:sz w:val="7"/>
        </w:rPr>
        <w:t>CP003082.1 C. pseudotuberculosis 1/06-A</w:t>
      </w:r>
    </w:p>
    <w:p>
      <w:pPr>
        <w:spacing w:before="42"/>
        <w:ind w:left="536" w:right="0" w:firstLine="0"/>
        <w:jc w:val="left"/>
        <w:rPr>
          <w:rFonts w:ascii="Calibri"/>
          <w:i/>
          <w:sz w:val="16"/>
        </w:rPr>
      </w:pPr>
      <w:r>
        <w:rPr/>
        <w:br w:type="column"/>
      </w:r>
      <w:r>
        <w:rPr>
          <w:rFonts w:ascii="Calibri"/>
          <w:i/>
          <w:sz w:val="16"/>
        </w:rPr>
        <w:t>biovariedad ovis</w:t>
      </w:r>
    </w:p>
    <w:p>
      <w:pPr>
        <w:spacing w:after="0"/>
        <w:jc w:val="left"/>
        <w:rPr>
          <w:rFonts w:ascii="Calibri"/>
          <w:sz w:val="16"/>
        </w:rPr>
        <w:sectPr>
          <w:type w:val="continuous"/>
          <w:pgSz w:w="12240" w:h="15840"/>
          <w:pgMar w:top="1500" w:bottom="280" w:left="700" w:right="900"/>
          <w:cols w:num="2" w:equalWidth="0">
            <w:col w:w="8341" w:space="40"/>
            <w:col w:w="2259"/>
          </w:cols>
        </w:sectPr>
      </w:pPr>
    </w:p>
    <w:p>
      <w:pPr>
        <w:spacing w:line="59" w:lineRule="exact" w:before="0"/>
        <w:ind w:left="3489" w:right="4103" w:firstLine="0"/>
        <w:jc w:val="center"/>
        <w:rPr>
          <w:sz w:val="6"/>
        </w:rPr>
      </w:pPr>
      <w:r>
        <w:rPr>
          <w:w w:val="205"/>
          <w:sz w:val="6"/>
        </w:rPr>
        <w:t>62</w:t>
      </w:r>
    </w:p>
    <w:p>
      <w:pPr>
        <w:spacing w:line="76" w:lineRule="exact" w:before="0"/>
        <w:ind w:left="4879" w:right="3913" w:firstLine="0"/>
        <w:jc w:val="center"/>
        <w:rPr>
          <w:sz w:val="7"/>
        </w:rPr>
      </w:pPr>
      <w:r>
        <w:rPr>
          <w:w w:val="210"/>
          <w:sz w:val="7"/>
        </w:rPr>
        <w:t>rpoB_C1_C2700_F</w:t>
      </w:r>
    </w:p>
    <w:p>
      <w:pPr>
        <w:spacing w:after="0" w:line="76" w:lineRule="exact"/>
        <w:jc w:val="center"/>
        <w:rPr>
          <w:sz w:val="7"/>
        </w:rPr>
        <w:sectPr>
          <w:type w:val="continuous"/>
          <w:pgSz w:w="12240" w:h="15840"/>
          <w:pgMar w:top="1500" w:bottom="280" w:left="700" w:right="900"/>
        </w:sectPr>
      </w:pPr>
    </w:p>
    <w:p>
      <w:pPr>
        <w:pStyle w:val="BodyText"/>
        <w:spacing w:before="8"/>
        <w:rPr>
          <w:sz w:val="4"/>
        </w:rPr>
      </w:pPr>
    </w:p>
    <w:p>
      <w:pPr>
        <w:spacing w:before="0"/>
        <w:ind w:left="5076" w:right="0" w:firstLine="0"/>
        <w:jc w:val="left"/>
        <w:rPr>
          <w:sz w:val="7"/>
        </w:rPr>
      </w:pPr>
      <w:r>
        <w:rPr>
          <w:w w:val="210"/>
          <w:sz w:val="7"/>
        </w:rPr>
        <w:t>AY492271.1 C. ulcerans CIP 106504</w:t>
      </w:r>
    </w:p>
    <w:p>
      <w:pPr>
        <w:pStyle w:val="BodyText"/>
        <w:spacing w:before="8"/>
        <w:rPr>
          <w:sz w:val="4"/>
        </w:rPr>
      </w:pPr>
    </w:p>
    <w:p>
      <w:pPr>
        <w:spacing w:before="0"/>
        <w:ind w:left="4306" w:right="0" w:firstLine="0"/>
        <w:jc w:val="left"/>
        <w:rPr>
          <w:sz w:val="7"/>
        </w:rPr>
      </w:pPr>
      <w:r>
        <w:rPr/>
        <w:pict>
          <v:group style="position:absolute;margin-left:455.160004pt;margin-top:2.607679pt;width:100.95pt;height:21.15pt;mso-position-horizontal-relative:page;mso-position-vertical-relative:paragraph;z-index:-175240" coordorigin="9103,52" coordsize="2019,423">
            <v:shape style="position:absolute;left:9103;top:119;width:360;height:348" type="#_x0000_t75" stroked="false">
              <v:imagedata r:id="rId36" o:title=""/>
            </v:shape>
            <v:shape style="position:absolute;left:9506;top:52;width:1615;height:422" type="#_x0000_t75" stroked="false">
              <v:imagedata r:id="rId37" o:title=""/>
            </v:shape>
            <w10:wrap type="none"/>
          </v:group>
        </w:pict>
      </w:r>
      <w:r>
        <w:rPr>
          <w:w w:val="210"/>
          <w:sz w:val="7"/>
        </w:rPr>
        <w:t>AY492230.1 C. diphtheriae CIP 100721</w:t>
      </w:r>
    </w:p>
    <w:p>
      <w:pPr>
        <w:spacing w:line="130" w:lineRule="atLeast" w:before="5"/>
        <w:ind w:left="5187" w:right="0" w:firstLine="0"/>
        <w:jc w:val="left"/>
        <w:rPr>
          <w:sz w:val="7"/>
        </w:rPr>
      </w:pPr>
      <w:r>
        <w:rPr>
          <w:w w:val="210"/>
          <w:sz w:val="7"/>
        </w:rPr>
        <w:t>FN179294.1 Corynebacterium xerosis St3387 AY492233.1 Corynebacterium xerosis </w:t>
      </w:r>
      <w:r>
        <w:rPr>
          <w:spacing w:val="-4"/>
          <w:w w:val="210"/>
          <w:sz w:val="7"/>
        </w:rPr>
        <w:t>CIP </w:t>
      </w:r>
      <w:r>
        <w:rPr>
          <w:spacing w:val="-3"/>
          <w:w w:val="210"/>
          <w:sz w:val="7"/>
        </w:rPr>
        <w:t>100653</w:t>
      </w:r>
    </w:p>
    <w:p>
      <w:pPr>
        <w:pStyle w:val="BodyText"/>
        <w:rPr>
          <w:sz w:val="16"/>
        </w:rPr>
      </w:pPr>
      <w:r>
        <w:rPr/>
        <w:br w:type="column"/>
      </w:r>
      <w:r>
        <w:rPr>
          <w:sz w:val="16"/>
        </w:rPr>
      </w:r>
    </w:p>
    <w:p>
      <w:pPr>
        <w:pStyle w:val="BodyText"/>
        <w:spacing w:before="6"/>
        <w:rPr>
          <w:sz w:val="12"/>
        </w:rPr>
      </w:pPr>
    </w:p>
    <w:p>
      <w:pPr>
        <w:spacing w:before="0"/>
        <w:ind w:left="459" w:right="0" w:firstLine="0"/>
        <w:jc w:val="left"/>
        <w:rPr>
          <w:rFonts w:ascii="Calibri"/>
          <w:i/>
          <w:sz w:val="16"/>
        </w:rPr>
      </w:pPr>
      <w:r>
        <w:rPr>
          <w:rFonts w:ascii="Calibri"/>
          <w:sz w:val="16"/>
        </w:rPr>
        <w:t>Grupo de </w:t>
      </w:r>
      <w:r>
        <w:rPr>
          <w:rFonts w:ascii="Calibri"/>
          <w:i/>
          <w:sz w:val="16"/>
        </w:rPr>
        <w:t>C. xerosis</w:t>
      </w:r>
    </w:p>
    <w:p>
      <w:pPr>
        <w:spacing w:after="0"/>
        <w:jc w:val="left"/>
        <w:rPr>
          <w:rFonts w:ascii="Calibri"/>
          <w:sz w:val="16"/>
        </w:rPr>
        <w:sectPr>
          <w:type w:val="continuous"/>
          <w:pgSz w:w="12240" w:h="15840"/>
          <w:pgMar w:top="1500" w:bottom="280" w:left="700" w:right="900"/>
          <w:cols w:num="2" w:equalWidth="0">
            <w:col w:w="8468" w:space="40"/>
            <w:col w:w="2132"/>
          </w:cols>
        </w:sectPr>
      </w:pPr>
    </w:p>
    <w:p>
      <w:pPr>
        <w:spacing w:line="58" w:lineRule="exact" w:before="0"/>
        <w:ind w:left="3489" w:right="4103" w:firstLine="0"/>
        <w:jc w:val="center"/>
        <w:rPr>
          <w:sz w:val="6"/>
        </w:rPr>
      </w:pPr>
      <w:r>
        <w:rPr>
          <w:w w:val="205"/>
          <w:sz w:val="6"/>
        </w:rPr>
        <w:t>99</w:t>
      </w:r>
    </w:p>
    <w:p>
      <w:pPr>
        <w:spacing w:line="76" w:lineRule="exact" w:before="0"/>
        <w:ind w:left="4879" w:right="3834" w:firstLine="0"/>
        <w:jc w:val="center"/>
        <w:rPr>
          <w:sz w:val="7"/>
        </w:rPr>
      </w:pPr>
      <w:r>
        <w:rPr/>
        <w:pict>
          <v:group style="position:absolute;margin-left:68.855499pt;margin-top:10.017758pt;width:75.55pt;height:2.85pt;mso-position-horizontal-relative:page;mso-position-vertical-relative:paragraph;z-index:1672;mso-wrap-distance-left:0;mso-wrap-distance-right:0" coordorigin="1377,200" coordsize="1511,57">
            <v:line style="position:absolute" from="1383,229" to="2882,229" stroked="true" strokeweight=".28082pt" strokecolor="#000000"/>
            <v:line style="position:absolute" from="1383,206" to="1383,251" stroked="true" strokeweight=".565812pt" strokecolor="#000000"/>
            <v:line style="position:absolute" from="2882,206" to="2882,251" stroked="true" strokeweight=".565812pt" strokecolor="#000000"/>
            <w10:wrap type="topAndBottom"/>
          </v:group>
        </w:pict>
      </w:r>
      <w:r>
        <w:rPr>
          <w:w w:val="210"/>
          <w:sz w:val="7"/>
        </w:rPr>
        <w:t>rpoB_C53_C2700_F</w:t>
      </w:r>
    </w:p>
    <w:p>
      <w:pPr>
        <w:spacing w:before="0"/>
        <w:ind w:left="1312" w:right="0" w:firstLine="0"/>
        <w:jc w:val="left"/>
        <w:rPr>
          <w:sz w:val="6"/>
        </w:rPr>
      </w:pPr>
      <w:r>
        <w:rPr>
          <w:w w:val="205"/>
          <w:sz w:val="6"/>
        </w:rPr>
        <w:t>0.05</w:t>
      </w:r>
    </w:p>
    <w:p>
      <w:pPr>
        <w:pStyle w:val="BodyText"/>
        <w:rPr>
          <w:sz w:val="6"/>
        </w:rPr>
      </w:pPr>
    </w:p>
    <w:p>
      <w:pPr>
        <w:pStyle w:val="BodyText"/>
        <w:rPr>
          <w:sz w:val="5"/>
        </w:rPr>
      </w:pPr>
    </w:p>
    <w:p>
      <w:pPr>
        <w:spacing w:before="0"/>
        <w:ind w:left="2706" w:right="0" w:firstLine="0"/>
        <w:jc w:val="left"/>
        <w:rPr>
          <w:b/>
          <w:sz w:val="18"/>
        </w:rPr>
      </w:pPr>
      <w:bookmarkStart w:name="_bookmark48" w:id="49"/>
      <w:bookmarkEnd w:id="49"/>
      <w:r>
        <w:rPr/>
      </w:r>
      <w:r>
        <w:rPr>
          <w:b/>
          <w:sz w:val="18"/>
        </w:rPr>
        <w:t>Figura 13 Árbol filogenético mediante el método Neighboor-joining.</w:t>
      </w:r>
    </w:p>
    <w:p>
      <w:pPr>
        <w:pStyle w:val="BodyText"/>
        <w:rPr>
          <w:b/>
          <w:sz w:val="20"/>
        </w:rPr>
      </w:pPr>
    </w:p>
    <w:p>
      <w:pPr>
        <w:pStyle w:val="BodyText"/>
        <w:spacing w:before="8"/>
        <w:rPr>
          <w:b/>
          <w:sz w:val="17"/>
        </w:rPr>
      </w:pPr>
    </w:p>
    <w:p>
      <w:pPr>
        <w:spacing w:before="77"/>
        <w:ind w:left="1172" w:right="626" w:firstLine="0"/>
        <w:jc w:val="both"/>
        <w:rPr>
          <w:i/>
          <w:sz w:val="18"/>
        </w:rPr>
      </w:pPr>
      <w:r>
        <w:rPr>
          <w:sz w:val="18"/>
        </w:rPr>
        <w:t>El árbol fue derivado del alineamiento y porcentajes de similitud de la secuencia parcial del gen </w:t>
      </w:r>
      <w:r>
        <w:rPr>
          <w:i/>
          <w:sz w:val="18"/>
        </w:rPr>
        <w:t>rpoB, </w:t>
      </w:r>
      <w:r>
        <w:rPr>
          <w:sz w:val="18"/>
        </w:rPr>
        <w:t>se utilizó un valor boostrap de 1000 repeticiones, se incluyeron los aislados </w:t>
      </w:r>
      <w:r>
        <w:rPr>
          <w:i/>
          <w:sz w:val="18"/>
        </w:rPr>
        <w:t>C. pseudotuberculosis </w:t>
      </w:r>
      <w:r>
        <w:rPr>
          <w:sz w:val="18"/>
        </w:rPr>
        <w:t>del presente estudio además de muestras de referencia del Gen Bank de las subespecies </w:t>
      </w:r>
      <w:r>
        <w:rPr>
          <w:i/>
          <w:sz w:val="18"/>
        </w:rPr>
        <w:t>ovis </w:t>
      </w:r>
      <w:r>
        <w:rPr>
          <w:sz w:val="18"/>
        </w:rPr>
        <w:t>y </w:t>
      </w:r>
      <w:r>
        <w:rPr>
          <w:i/>
          <w:sz w:val="18"/>
        </w:rPr>
        <w:t>equi</w:t>
      </w:r>
      <w:r>
        <w:rPr>
          <w:sz w:val="18"/>
        </w:rPr>
        <w:t>, una secuencia de referencia del </w:t>
      </w:r>
      <w:r>
        <w:rPr>
          <w:i/>
          <w:sz w:val="18"/>
        </w:rPr>
        <w:t>Corynebacterium ulcerans</w:t>
      </w:r>
      <w:r>
        <w:rPr>
          <w:sz w:val="18"/>
        </w:rPr>
        <w:t>, </w:t>
      </w:r>
      <w:r>
        <w:rPr>
          <w:i/>
          <w:sz w:val="18"/>
        </w:rPr>
        <w:t>Corynebacterium Diphtheriae </w:t>
      </w:r>
      <w:r>
        <w:rPr>
          <w:sz w:val="18"/>
        </w:rPr>
        <w:t>y </w:t>
      </w:r>
      <w:r>
        <w:rPr>
          <w:i/>
          <w:sz w:val="18"/>
        </w:rPr>
        <w:t>Corynebacterium xerosis.</w:t>
      </w:r>
    </w:p>
    <w:p>
      <w:pPr>
        <w:spacing w:after="0"/>
        <w:jc w:val="both"/>
        <w:rPr>
          <w:sz w:val="18"/>
        </w:rPr>
        <w:sectPr>
          <w:type w:val="continuous"/>
          <w:pgSz w:w="12240" w:h="15840"/>
          <w:pgMar w:top="1500" w:bottom="280" w:left="700" w:right="900"/>
        </w:sectPr>
      </w:pPr>
    </w:p>
    <w:p>
      <w:pPr>
        <w:pStyle w:val="BodyText"/>
        <w:spacing w:before="5"/>
        <w:rPr>
          <w:i/>
          <w:sz w:val="21"/>
        </w:rPr>
      </w:pPr>
    </w:p>
    <w:p>
      <w:pPr>
        <w:pStyle w:val="Heading1"/>
      </w:pPr>
      <w:bookmarkStart w:name="_bookmark49" w:id="50"/>
      <w:bookmarkEnd w:id="50"/>
      <w:r>
        <w:rPr>
          <w:b w:val="0"/>
        </w:rPr>
      </w:r>
      <w:r>
        <w:rPr/>
        <w:t>DISCUSIÓN</w:t>
      </w:r>
    </w:p>
    <w:p>
      <w:pPr>
        <w:pStyle w:val="BodyText"/>
        <w:spacing w:line="360" w:lineRule="auto" w:before="49"/>
        <w:ind w:left="152" w:right="105"/>
        <w:jc w:val="both"/>
      </w:pPr>
      <w:r>
        <w:rPr/>
        <w:t>La ovinocultura y caprinocultura son actividades de importancia económica en México y en muchos países del mundo. En México predomina el sistema de producción estabulado; sin embargo el principal problema es que muchos productores no cuentan con las instalaciones adecuadas, pues en muchos casos son adaptaciones de otros sistemas productivos. Uno de los principales factores adversos en el mantenimiento de las instalaciones y en el equipo que favorece la de los patógenos que causan abscesos son la presencia de objetos punzocortantes aunado a los espacios reducidos que dan la oportunidad de que  se provoquen laceraciones en la piel por donde ingresan los patógenos; dato ampliamente comprobado en el caso de </w:t>
      </w:r>
      <w:r>
        <w:rPr>
          <w:i/>
        </w:rPr>
        <w:t>C. pseudotuberculosis </w:t>
      </w:r>
      <w:r>
        <w:rPr/>
        <w:t>(Riet-Correa </w:t>
      </w:r>
      <w:r>
        <w:rPr>
          <w:i/>
        </w:rPr>
        <w:t>et al</w:t>
      </w:r>
      <w:r>
        <w:rPr/>
        <w:t>., 2007; Andrade </w:t>
      </w:r>
      <w:r>
        <w:rPr>
          <w:i/>
        </w:rPr>
        <w:t>et al.,</w:t>
      </w:r>
      <w:r>
        <w:rPr>
          <w:i/>
          <w:spacing w:val="-10"/>
        </w:rPr>
        <w:t> </w:t>
      </w:r>
      <w:r>
        <w:rPr/>
        <w:t>2012).</w:t>
      </w:r>
    </w:p>
    <w:p>
      <w:pPr>
        <w:pStyle w:val="BodyText"/>
        <w:spacing w:line="360" w:lineRule="auto" w:before="204"/>
        <w:ind w:left="152" w:right="105"/>
        <w:jc w:val="both"/>
      </w:pPr>
      <w:r>
        <w:rPr/>
        <w:t>En México se sabe que la enfermedad de Linfadenitis caseosa causada por </w:t>
      </w:r>
      <w:r>
        <w:rPr>
          <w:i/>
        </w:rPr>
        <w:t>C. </w:t>
      </w:r>
      <w:r>
        <w:rPr>
          <w:i/>
        </w:rPr>
        <w:t>pseudotuberculosis </w:t>
      </w:r>
      <w:r>
        <w:rPr/>
        <w:t>está ampliamente difundida en las explotaciones ovinas y caprinas; sin embargo falta precisar estudios encaminados a la correcta identificación y diagnóstico de la enfermedad, como los estudios que ya se han realizado en otras regiones mundo Baird y Fortaine (2007).</w:t>
      </w:r>
    </w:p>
    <w:p>
      <w:pPr>
        <w:pStyle w:val="BodyText"/>
        <w:spacing w:line="360" w:lineRule="auto" w:before="202"/>
        <w:ind w:left="152" w:right="104"/>
        <w:jc w:val="both"/>
      </w:pPr>
      <w:r>
        <w:rPr/>
        <w:t>En este trabajo se pudo observar una frecuencia de </w:t>
      </w:r>
      <w:r>
        <w:rPr>
          <w:i/>
        </w:rPr>
        <w:t>C. pseudotuberculosis </w:t>
      </w:r>
      <w:r>
        <w:rPr/>
        <w:t>del 33%, 69 aislamientos de 209 muestras identificados por bacteriología y pruebas bioquímicas a diferencia del estudio realizado por Zavoshti </w:t>
      </w:r>
      <w:r>
        <w:rPr>
          <w:i/>
        </w:rPr>
        <w:t>et al., </w:t>
      </w:r>
      <w:r>
        <w:rPr/>
        <w:t>2012 donde obtuvieron una frecuencia del 12.60 % y donde reportan además aislamiento de otros microorganismos como el </w:t>
      </w:r>
      <w:r>
        <w:rPr>
          <w:i/>
        </w:rPr>
        <w:t>Staphylococcus aureus </w:t>
      </w:r>
      <w:r>
        <w:rPr/>
        <w:t>lo que coincide con este estudio y estudios reportados anteriormente como el de Bair y Fortaine (2007) y Robles </w:t>
      </w:r>
      <w:r>
        <w:rPr>
          <w:i/>
        </w:rPr>
        <w:t>et al., </w:t>
      </w:r>
      <w:r>
        <w:rPr/>
        <w:t>(2007). Otros estudios reportan altas prevalencias como en Brasil (30%) (Langenegger </w:t>
      </w:r>
      <w:r>
        <w:rPr>
          <w:i/>
        </w:rPr>
        <w:t>et al., </w:t>
      </w:r>
      <w:r>
        <w:rPr/>
        <w:t>(1991), 42.2% en Estados Arsenault </w:t>
      </w:r>
      <w:r>
        <w:rPr>
          <w:i/>
        </w:rPr>
        <w:t>et al., </w:t>
      </w:r>
      <w:r>
        <w:rPr/>
        <w:t>(2003) y un estudio en México hallaron el 5,4% Ochoa </w:t>
      </w:r>
      <w:r>
        <w:rPr>
          <w:i/>
        </w:rPr>
        <w:t>et al.</w:t>
      </w:r>
      <w:r>
        <w:rPr/>
        <w:t>, (1996) lo cual explica la alta frecuencia encontrada en este estudio.</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Se logró identificar por pruebas bioquímicas y sistema comercial Api Coryne diferentes perfiles bioquímicos de los aislados del presente estudio, mostrándose resultados similares a lo reportado por Soto </w:t>
      </w:r>
      <w:r>
        <w:rPr>
          <w:i/>
        </w:rPr>
        <w:t>et al., </w:t>
      </w:r>
      <w:r>
        <w:rPr/>
        <w:t>(1994) donde se mostraron variaciones en los perfiles bioquímicos y donde concluyen que el sistema es capaz de identificar correctamente a nivel género, pero requiere pruebas adicionales  para la subespecie, y a los resultados de Almuzara </w:t>
      </w:r>
      <w:r>
        <w:rPr>
          <w:i/>
        </w:rPr>
        <w:t>et al., </w:t>
      </w:r>
      <w:r>
        <w:rPr/>
        <w:t>2006 que reporta que el sistema API corine es útil para identificar las especies del género </w:t>
      </w:r>
      <w:r>
        <w:rPr>
          <w:i/>
        </w:rPr>
        <w:t>Corynebacterium </w:t>
      </w:r>
      <w:r>
        <w:rPr/>
        <w:t>pero la identificación para la especie es limitada lo cual explica nuestras variaciones.</w:t>
      </w:r>
    </w:p>
    <w:p>
      <w:pPr>
        <w:pStyle w:val="BodyText"/>
      </w:pPr>
    </w:p>
    <w:p>
      <w:pPr>
        <w:pStyle w:val="BodyText"/>
        <w:spacing w:before="7"/>
        <w:rPr>
          <w:sz w:val="29"/>
        </w:rPr>
      </w:pPr>
    </w:p>
    <w:p>
      <w:pPr>
        <w:pStyle w:val="BodyText"/>
        <w:spacing w:line="360" w:lineRule="auto"/>
        <w:ind w:left="152" w:right="105"/>
        <w:jc w:val="both"/>
      </w:pPr>
      <w:r>
        <w:rPr/>
        <w:t>El aislamiento e identificación bioquímica por sistemas tradicionales o kits comerciales para el género </w:t>
      </w:r>
      <w:r>
        <w:rPr>
          <w:i/>
        </w:rPr>
        <w:t>Corynebacterium </w:t>
      </w:r>
      <w:r>
        <w:rPr/>
        <w:t>pueden ser usados como métodos que permite la rápida y confiable identificación a pesar de la variaciones en los perfiles bioquímicos, como se observa en nuestro trabajo y a la sensibilidad reportada por otros autores que oscila en 90% (Soto </w:t>
      </w:r>
      <w:r>
        <w:rPr>
          <w:i/>
        </w:rPr>
        <w:t>et al., </w:t>
      </w:r>
      <w:r>
        <w:rPr/>
        <w:t>1994; Almuzara </w:t>
      </w:r>
      <w:r>
        <w:rPr>
          <w:i/>
        </w:rPr>
        <w:t>et al., </w:t>
      </w:r>
      <w:r>
        <w:rPr/>
        <w:t>2006, Huerta </w:t>
      </w:r>
      <w:r>
        <w:rPr>
          <w:i/>
        </w:rPr>
        <w:t>et al., </w:t>
      </w:r>
      <w:r>
        <w:rPr/>
        <w:t>2013). Sin embargo un porcentaje considerable requiere de pruebas adicionales para su correcto diagnóstico y especiación (Cetinkaya </w:t>
      </w:r>
      <w:r>
        <w:rPr>
          <w:i/>
        </w:rPr>
        <w:t>et al., </w:t>
      </w:r>
      <w:r>
        <w:rPr/>
        <w:t>2002).</w:t>
      </w:r>
    </w:p>
    <w:p>
      <w:pPr>
        <w:pStyle w:val="BodyText"/>
        <w:spacing w:line="360" w:lineRule="auto" w:before="204"/>
        <w:ind w:left="152" w:right="105"/>
        <w:jc w:val="both"/>
      </w:pPr>
      <w:r>
        <w:rPr/>
        <w:t>La identificación molecular realizada en este estudio se basó principalmente en tres genes </w:t>
      </w:r>
      <w:r>
        <w:rPr>
          <w:i/>
        </w:rPr>
        <w:t>16s, rpoB </w:t>
      </w:r>
      <w:r>
        <w:rPr/>
        <w:t>y </w:t>
      </w:r>
      <w:r>
        <w:rPr>
          <w:i/>
        </w:rPr>
        <w:t>pld </w:t>
      </w:r>
      <w:r>
        <w:rPr/>
        <w:t>los cuales son de elección para la especie </w:t>
      </w:r>
      <w:r>
        <w:rPr>
          <w:i/>
        </w:rPr>
        <w:t>C. </w:t>
      </w:r>
      <w:r>
        <w:rPr>
          <w:i/>
        </w:rPr>
        <w:t>pseudotuberculosis </w:t>
      </w:r>
      <w:r>
        <w:rPr/>
        <w:t>como lo reportan diferentes autores entre los que destaca Cetinkaya </w:t>
      </w:r>
      <w:r>
        <w:rPr>
          <w:i/>
        </w:rPr>
        <w:t>et al., </w:t>
      </w:r>
      <w:r>
        <w:rPr/>
        <w:t>2002 quien demostró que su PCR basado en el gen </w:t>
      </w:r>
      <w:r>
        <w:rPr>
          <w:i/>
        </w:rPr>
        <w:t>16s </w:t>
      </w:r>
      <w:r>
        <w:rPr/>
        <w:t>era  eficaz para el diagnóstico de </w:t>
      </w:r>
      <w:r>
        <w:rPr>
          <w:i/>
        </w:rPr>
        <w:t>C. pseudotuberculosis</w:t>
      </w:r>
      <w:r>
        <w:rPr/>
        <w:t>; sin embargo, no era capaz de diferenciar </w:t>
      </w:r>
      <w:r>
        <w:rPr>
          <w:i/>
        </w:rPr>
        <w:t>C. pseudotuberculosis </w:t>
      </w:r>
      <w:r>
        <w:rPr/>
        <w:t>de </w:t>
      </w:r>
      <w:r>
        <w:rPr>
          <w:i/>
        </w:rPr>
        <w:t>C. ulcerans </w:t>
      </w:r>
      <w:r>
        <w:rPr/>
        <w:t>y por lo cual recomienda incluir el gel </w:t>
      </w:r>
      <w:r>
        <w:rPr>
          <w:i/>
        </w:rPr>
        <w:t>pld </w:t>
      </w:r>
      <w:r>
        <w:rPr/>
        <w:t>para hacer la prueba más sensible y específica. De un total de 96 aislamientos solo logro identificar por esta técnica al 96.87 % (93/96), lo que coincide con el presente estudio 83.33% (50/60) lo cual podría explicar la no amplificación  del  gen  16s  en  el  16.66%  de  nuestras  muestras;  debido  a</w:t>
      </w:r>
      <w:r>
        <w:rPr>
          <w:spacing w:val="18"/>
        </w:rPr>
        <w:t> </w:t>
      </w:r>
      <w:r>
        <w:rPr/>
        <w:t>que</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primers no son completamente sensibles y específicos para este género y especie de </w:t>
      </w:r>
      <w:r>
        <w:rPr>
          <w:i/>
        </w:rPr>
        <w:t>Corynebacterium</w:t>
      </w:r>
      <w:r>
        <w:rPr/>
        <w:t>, con lo cual se requiere incluir genes de mayor polimorfismo como el </w:t>
      </w:r>
      <w:r>
        <w:rPr>
          <w:i/>
        </w:rPr>
        <w:t>rpoB </w:t>
      </w:r>
      <w:r>
        <w:rPr/>
        <w:t>mencionado por Khamis </w:t>
      </w:r>
      <w:r>
        <w:rPr>
          <w:i/>
        </w:rPr>
        <w:t>et al., </w:t>
      </w:r>
      <w:r>
        <w:rPr/>
        <w:t>(2004, 2005) quien realizó un estudio donde comprobó una área polimórfica de este gen y un estudio de identificación  de </w:t>
      </w:r>
      <w:r>
        <w:rPr>
          <w:i/>
        </w:rPr>
        <w:t>C. pseudotuberculosis </w:t>
      </w:r>
      <w:r>
        <w:rPr/>
        <w:t>basado en el gen </w:t>
      </w:r>
      <w:r>
        <w:rPr>
          <w:i/>
        </w:rPr>
        <w:t>rpoB </w:t>
      </w:r>
      <w:r>
        <w:rPr/>
        <w:t>donde concluye que la secuencia parcial de este gen es una simple y eficiente forma de identificación en la práctica clínica; además por ser de tamaño más pequeño que el </w:t>
      </w:r>
      <w:r>
        <w:rPr>
          <w:i/>
        </w:rPr>
        <w:t>16s </w:t>
      </w:r>
      <w:r>
        <w:rPr/>
        <w:t>se facilita su secuenciación. En otro estudio importante del gen </w:t>
      </w:r>
      <w:r>
        <w:rPr>
          <w:i/>
        </w:rPr>
        <w:t>rpoB </w:t>
      </w:r>
      <w:r>
        <w:rPr/>
        <w:t>realizado por Retamal </w:t>
      </w:r>
      <w:r>
        <w:rPr>
          <w:i/>
        </w:rPr>
        <w:t>et </w:t>
      </w:r>
      <w:r>
        <w:rPr>
          <w:i/>
        </w:rPr>
        <w:t>al., </w:t>
      </w:r>
      <w:r>
        <w:rPr/>
        <w:t>2011 donde comprobó el alto polimorfismo de este gen al lograr diferenciar por análisis filogenético los genotipos de ovinos y caprinos, lo cual resulta similar a nuestro estudio donde logramos diferenciar dos aislado de caprino dentro del mismo grupo de </w:t>
      </w:r>
      <w:r>
        <w:rPr>
          <w:i/>
        </w:rPr>
        <w:t>C. pseudotuberculosis biovariedad ovis </w:t>
      </w:r>
      <w:r>
        <w:rPr/>
        <w:t>pero con genotipo diferente.</w:t>
      </w:r>
    </w:p>
    <w:p>
      <w:pPr>
        <w:pStyle w:val="BodyText"/>
        <w:spacing w:line="360" w:lineRule="auto" w:before="199"/>
        <w:ind w:left="152" w:right="104"/>
        <w:jc w:val="both"/>
      </w:pPr>
      <w:r>
        <w:rPr/>
        <w:t>El PCR establecido por Pacheco </w:t>
      </w:r>
      <w:r>
        <w:rPr>
          <w:i/>
        </w:rPr>
        <w:t>et al., </w:t>
      </w:r>
      <w:r>
        <w:rPr/>
        <w:t>2007 e incluido en este estudio muestra la alta sensibilidad y especificidad de la técnica para el diagnóstico de </w:t>
      </w:r>
      <w:r>
        <w:rPr>
          <w:i/>
        </w:rPr>
        <w:t>C. </w:t>
      </w:r>
      <w:r>
        <w:rPr>
          <w:i/>
        </w:rPr>
        <w:t>pseudotuberculosis biovariedad ovis</w:t>
      </w:r>
      <w:r>
        <w:rPr/>
        <w:t>, ya que se incluye el uso de primers para el gen </w:t>
      </w:r>
      <w:r>
        <w:rPr>
          <w:i/>
        </w:rPr>
        <w:t>pld </w:t>
      </w:r>
      <w:r>
        <w:rPr/>
        <w:t>que excluye al </w:t>
      </w:r>
      <w:r>
        <w:rPr>
          <w:i/>
        </w:rPr>
        <w:t>C. ulcerans </w:t>
      </w:r>
      <w:r>
        <w:rPr/>
        <w:t>quien cuenta con este mismo gen, evitando diagnósticos erróneos y resolviendo el problema presentado en el estudio previo por Cetinkaya, </w:t>
      </w:r>
      <w:r>
        <w:rPr>
          <w:i/>
        </w:rPr>
        <w:t>et al., </w:t>
      </w:r>
      <w:r>
        <w:rPr/>
        <w:t>2002. Resultados similares a los de Pacheco fueron obtenidos en nuestro estudio al identificar al 83.33% (50/60) de nuestros aislamientos como </w:t>
      </w:r>
      <w:r>
        <w:rPr>
          <w:i/>
        </w:rPr>
        <w:t>C. pseudotuberculosis </w:t>
      </w:r>
      <w:r>
        <w:rPr/>
        <w:t>de acuerdo al patrón de bandas de los tres genes </w:t>
      </w:r>
      <w:r>
        <w:rPr>
          <w:i/>
        </w:rPr>
        <w:t>16s</w:t>
      </w:r>
      <w:r>
        <w:rPr/>
        <w:t>, </w:t>
      </w:r>
      <w:r>
        <w:rPr>
          <w:i/>
        </w:rPr>
        <w:t>rpoB </w:t>
      </w:r>
      <w:r>
        <w:rPr/>
        <w:t>y </w:t>
      </w:r>
      <w:r>
        <w:rPr>
          <w:i/>
        </w:rPr>
        <w:t>pld. </w:t>
      </w:r>
      <w:r>
        <w:rPr/>
        <w:t>Sin embardo la no amplificación del gen </w:t>
      </w:r>
      <w:r>
        <w:rPr>
          <w:i/>
        </w:rPr>
        <w:t>16 s </w:t>
      </w:r>
      <w:r>
        <w:rPr/>
        <w:t>en algunos aislados requiere llevar a cabo análisis filogenéticos basados en el gen </w:t>
      </w:r>
      <w:r>
        <w:rPr>
          <w:i/>
        </w:rPr>
        <w:t>rpoB </w:t>
      </w:r>
      <w:r>
        <w:rPr/>
        <w:t>para un diagnóstico preciso (Khamis </w:t>
      </w:r>
      <w:r>
        <w:rPr>
          <w:i/>
        </w:rPr>
        <w:t>et al., </w:t>
      </w:r>
      <w:r>
        <w:rPr/>
        <w:t>2004 y 2005; Pacheco </w:t>
      </w:r>
      <w:r>
        <w:rPr>
          <w:i/>
        </w:rPr>
        <w:t>et al., </w:t>
      </w:r>
      <w:r>
        <w:rPr/>
        <w:t>2007; Adderson </w:t>
      </w:r>
      <w:r>
        <w:rPr>
          <w:i/>
        </w:rPr>
        <w:t>et al., </w:t>
      </w:r>
      <w:r>
        <w:rPr/>
        <w:t>2008; Retamal </w:t>
      </w:r>
      <w:r>
        <w:rPr>
          <w:i/>
        </w:rPr>
        <w:t>et al., </w:t>
      </w:r>
      <w:r>
        <w:rPr/>
        <w:t>2011; Pavan </w:t>
      </w:r>
      <w:r>
        <w:rPr>
          <w:i/>
        </w:rPr>
        <w:t>et al.,</w:t>
      </w:r>
      <w:r>
        <w:rPr>
          <w:i/>
          <w:spacing w:val="-30"/>
        </w:rPr>
        <w:t> </w:t>
      </w:r>
      <w:r>
        <w:rPr/>
        <w:t>2012).</w:t>
      </w:r>
    </w:p>
    <w:p>
      <w:pPr>
        <w:pStyle w:val="BodyText"/>
        <w:spacing w:line="360" w:lineRule="auto" w:before="204"/>
        <w:ind w:left="152" w:right="107"/>
        <w:jc w:val="both"/>
      </w:pPr>
      <w:r>
        <w:rPr/>
        <w:t>Los genes de virulencia </w:t>
      </w:r>
      <w:r>
        <w:rPr>
          <w:i/>
        </w:rPr>
        <w:t>Fag A, Fag B, Fag C </w:t>
      </w:r>
      <w:r>
        <w:rPr/>
        <w:t>y </w:t>
      </w:r>
      <w:r>
        <w:rPr>
          <w:i/>
        </w:rPr>
        <w:t>Fag D </w:t>
      </w:r>
      <w:r>
        <w:rPr/>
        <w:t>que codifican respectivamente para proteína integral de membrana, enterobactina transportadora de hierro, proteína de unión de ATP a membrana citoplasmática  </w:t>
      </w:r>
      <w:r>
        <w:rPr>
          <w:spacing w:val="40"/>
        </w:rPr>
        <w:t> </w:t>
      </w:r>
      <w:r>
        <w:rPr/>
        <w:t>y</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proteína siderófora de unión de hierro son considerados de gran importancia como subunidades fimbriales, genes para la absorción de hierro, elementos de inserción y toxinas secretadas y genes muy relacionados al </w:t>
      </w:r>
      <w:r>
        <w:rPr>
          <w:i/>
        </w:rPr>
        <w:t>pld </w:t>
      </w:r>
      <w:r>
        <w:rPr/>
        <w:t>contribuyendo a la virulencia de </w:t>
      </w:r>
      <w:r>
        <w:rPr>
          <w:i/>
        </w:rPr>
        <w:t>C. pseudotuberculosis. </w:t>
      </w:r>
      <w:r>
        <w:rPr/>
        <w:t>(Sá </w:t>
      </w:r>
      <w:r>
        <w:rPr>
          <w:i/>
        </w:rPr>
        <w:t>et al</w:t>
      </w:r>
      <w:r>
        <w:rPr/>
        <w:t>., 2013); es decir la presencia de estos genes incrementa la virulencia de </w:t>
      </w:r>
      <w:r>
        <w:rPr>
          <w:i/>
        </w:rPr>
        <w:t>C. pseudotuberculosis</w:t>
      </w:r>
      <w:r>
        <w:rPr/>
        <w:t>. Sá et al., 2013 logró identificar dichos genes </w:t>
      </w:r>
      <w:r>
        <w:rPr>
          <w:i/>
        </w:rPr>
        <w:t>Fag A </w:t>
      </w:r>
      <w:r>
        <w:rPr/>
        <w:t>y </w:t>
      </w:r>
      <w:r>
        <w:rPr>
          <w:i/>
        </w:rPr>
        <w:t>Fag B </w:t>
      </w:r>
      <w:r>
        <w:rPr/>
        <w:t>en el 100% de los aislados, </w:t>
      </w:r>
      <w:r>
        <w:rPr>
          <w:i/>
        </w:rPr>
        <w:t>Fag C </w:t>
      </w:r>
      <w:r>
        <w:rPr/>
        <w:t>en el 99.40 % y </w:t>
      </w:r>
      <w:r>
        <w:rPr>
          <w:i/>
        </w:rPr>
        <w:t>Fag D </w:t>
      </w:r>
      <w:r>
        <w:rPr/>
        <w:t>en el 95.23% además del </w:t>
      </w:r>
      <w:r>
        <w:rPr>
          <w:i/>
        </w:rPr>
        <w:t>pld </w:t>
      </w:r>
      <w:r>
        <w:rPr/>
        <w:t>en el 100 % de sus aislados y menciona que los aislados donde se identificaron todos los genes fueron los más virulentos y correspondían en su mayoría a lesiones en órganos internos. Los resultados del presente estudio son muy similares al estudio previo puesto que el gen </w:t>
      </w:r>
      <w:r>
        <w:rPr>
          <w:i/>
        </w:rPr>
        <w:t>pld </w:t>
      </w:r>
      <w:r>
        <w:rPr/>
        <w:t>se identificó en el 100% de los aislados, en el 98.33% se logró la identificación de los genes de virulencia </w:t>
      </w:r>
      <w:r>
        <w:rPr>
          <w:i/>
        </w:rPr>
        <w:t>Fag C, Fag D </w:t>
      </w:r>
      <w:r>
        <w:rPr/>
        <w:t>y </w:t>
      </w:r>
      <w:r>
        <w:rPr>
          <w:i/>
        </w:rPr>
        <w:t>Fag A; </w:t>
      </w:r>
      <w:r>
        <w:rPr/>
        <w:t>sin embargo el gen </w:t>
      </w:r>
      <w:r>
        <w:rPr>
          <w:i/>
        </w:rPr>
        <w:t>Fag B </w:t>
      </w:r>
      <w:r>
        <w:rPr/>
        <w:t>solo se logró identificar en el 96.66% de los aislamientos. La diferencia más importante de este estudio con el previo es que todos los aislados fueron obtenidos de lesiones superficiales, lo que nos indica la alta virulencia de estos. Esto contribuye a tener un cepario caracterizado fenotípica y genotípicamente que pueda ser usado en estudios posteriores para modelos de vacunas y bacterinas contra C. pseudotuberculosis (Billington </w:t>
      </w:r>
      <w:r>
        <w:rPr>
          <w:i/>
        </w:rPr>
        <w:t>et al., </w:t>
      </w:r>
      <w:r>
        <w:rPr/>
        <w:t>2002; Sá </w:t>
      </w:r>
      <w:r>
        <w:rPr>
          <w:i/>
        </w:rPr>
        <w:t>et al., </w:t>
      </w:r>
      <w:r>
        <w:rPr/>
        <w:t>2013)</w:t>
      </w:r>
    </w:p>
    <w:p>
      <w:pPr>
        <w:pStyle w:val="BodyText"/>
        <w:spacing w:line="360" w:lineRule="auto" w:before="204"/>
        <w:ind w:left="152" w:right="105"/>
        <w:jc w:val="both"/>
      </w:pPr>
      <w:r>
        <w:rPr/>
        <w:t>Los análisis filogenéticos basados en el gen </w:t>
      </w:r>
      <w:r>
        <w:rPr>
          <w:i/>
        </w:rPr>
        <w:t>rpoB </w:t>
      </w:r>
      <w:r>
        <w:rPr/>
        <w:t>son ahora considerados los de elección para </w:t>
      </w:r>
      <w:r>
        <w:rPr>
          <w:i/>
        </w:rPr>
        <w:t>C. pseudotuberculosis</w:t>
      </w:r>
      <w:r>
        <w:rPr/>
        <w:t>, ya que demuestran un alto grado de polimorfismo que ayuda a diferenciar a nivel sub especie a diferencia del </w:t>
      </w:r>
      <w:r>
        <w:rPr>
          <w:i/>
        </w:rPr>
        <w:t>16 s </w:t>
      </w:r>
      <w:r>
        <w:rPr/>
        <w:t>(Khamis </w:t>
      </w:r>
      <w:r>
        <w:rPr>
          <w:i/>
        </w:rPr>
        <w:t>et al., </w:t>
      </w:r>
      <w:r>
        <w:rPr/>
        <w:t>2004 y 2005; Retamal </w:t>
      </w:r>
      <w:r>
        <w:rPr>
          <w:i/>
        </w:rPr>
        <w:t>et al., </w:t>
      </w:r>
      <w:r>
        <w:rPr/>
        <w:t>2011; Pavan </w:t>
      </w:r>
      <w:r>
        <w:rPr>
          <w:i/>
        </w:rPr>
        <w:t>et al., </w:t>
      </w:r>
      <w:r>
        <w:rPr/>
        <w:t>2012)</w:t>
      </w:r>
      <w:r>
        <w:rPr>
          <w:i/>
        </w:rPr>
        <w:t>. </w:t>
      </w:r>
      <w:r>
        <w:rPr/>
        <w:t>En el presente estudio se logró demostrar de la misma manera que el gen </w:t>
      </w:r>
      <w:r>
        <w:rPr>
          <w:i/>
        </w:rPr>
        <w:t>rpoB </w:t>
      </w:r>
      <w:r>
        <w:rPr/>
        <w:t>es el de elección para análisis filogenéticos ya que nos permitió diferenciar a nivel sub especie nuestros aislados, y permitió además    identificar el primer aislamiento de</w:t>
      </w:r>
    </w:p>
    <w:p>
      <w:pPr>
        <w:pStyle w:val="ListParagraph"/>
        <w:numPr>
          <w:ilvl w:val="0"/>
          <w:numId w:val="5"/>
        </w:numPr>
        <w:tabs>
          <w:tab w:pos="539" w:val="left" w:leader="none"/>
        </w:tabs>
        <w:spacing w:line="360" w:lineRule="auto" w:before="0" w:after="0"/>
        <w:ind w:left="152" w:right="110" w:firstLine="0"/>
        <w:jc w:val="both"/>
        <w:rPr>
          <w:sz w:val="24"/>
        </w:rPr>
      </w:pPr>
      <w:r>
        <w:rPr>
          <w:i/>
          <w:sz w:val="24"/>
        </w:rPr>
        <w:t>xerosis </w:t>
      </w:r>
      <w:r>
        <w:rPr>
          <w:sz w:val="24"/>
        </w:rPr>
        <w:t>en un absceso cutáneo. Cabe mencionar que con el análisis de secuencias del gen parcial </w:t>
      </w:r>
      <w:r>
        <w:rPr>
          <w:i/>
          <w:sz w:val="24"/>
        </w:rPr>
        <w:t>rpoB </w:t>
      </w:r>
      <w:r>
        <w:rPr>
          <w:sz w:val="24"/>
        </w:rPr>
        <w:t>se lograron observar pequeñas variaciones genotípicas puntuales a nivel de nucleótidos entre nuestros</w:t>
      </w:r>
      <w:r>
        <w:rPr>
          <w:spacing w:val="-26"/>
          <w:sz w:val="24"/>
        </w:rPr>
        <w:t> </w:t>
      </w:r>
      <w:r>
        <w:rPr>
          <w:sz w:val="24"/>
        </w:rPr>
        <w:t>aislados.</w:t>
      </w:r>
    </w:p>
    <w:p>
      <w:pPr>
        <w:spacing w:after="0" w:line="360" w:lineRule="auto"/>
        <w:jc w:val="both"/>
        <w:rPr>
          <w:sz w:val="24"/>
        </w:rPr>
        <w:sectPr>
          <w:pgSz w:w="12240" w:h="15840"/>
          <w:pgMar w:header="0" w:footer="1386" w:top="1500" w:bottom="1580" w:left="1720" w:right="1420"/>
        </w:sectPr>
      </w:pPr>
    </w:p>
    <w:p>
      <w:pPr>
        <w:pStyle w:val="BodyText"/>
        <w:spacing w:before="2"/>
        <w:rPr>
          <w:sz w:val="21"/>
        </w:rPr>
      </w:pPr>
    </w:p>
    <w:p>
      <w:pPr>
        <w:pStyle w:val="BodyText"/>
        <w:spacing w:line="360" w:lineRule="auto" w:before="69"/>
        <w:ind w:left="152" w:right="105"/>
        <w:jc w:val="both"/>
      </w:pPr>
      <w:r>
        <w:rPr/>
        <w:t>Además el punto de mayor relevancia de acuerdo a la hipótesis planteada en el presente estudio es que el análisis filogenético basado en la secuencia parcial del gen </w:t>
      </w:r>
      <w:r>
        <w:rPr>
          <w:i/>
        </w:rPr>
        <w:t>rpoB </w:t>
      </w:r>
      <w:r>
        <w:rPr/>
        <w:t>nos permitió aceptar nuestra hipótesis; ya que efectivamente existen diferencias genotípicas puntuales entre nuestros aislados de acuerdo a la especie de donde fueron aislados y variaciones dentro de la misma especie como lo reportado en estudios previos donde muestran resultados similares al encontrar diferentes genotipos (Connor </w:t>
      </w:r>
      <w:r>
        <w:rPr>
          <w:i/>
        </w:rPr>
        <w:t>et al., </w:t>
      </w:r>
      <w:r>
        <w:rPr/>
        <w:t>2000; Estefanska, </w:t>
      </w:r>
      <w:r>
        <w:rPr>
          <w:i/>
        </w:rPr>
        <w:t>et al., </w:t>
      </w:r>
      <w:r>
        <w:rPr/>
        <w:t>2008; Dorneles </w:t>
      </w:r>
      <w:r>
        <w:rPr>
          <w:i/>
        </w:rPr>
        <w:t>et al., </w:t>
      </w:r>
      <w:r>
        <w:rPr/>
        <w:t>2012; Hoelzle </w:t>
      </w:r>
      <w:r>
        <w:rPr>
          <w:i/>
        </w:rPr>
        <w:t>et al</w:t>
      </w:r>
      <w:r>
        <w:rPr/>
        <w:t>., 2013).</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1"/>
      </w:pPr>
      <w:bookmarkStart w:name="_bookmark50" w:id="51"/>
      <w:bookmarkEnd w:id="51"/>
      <w:r>
        <w:rPr>
          <w:b w:val="0"/>
        </w:rPr>
      </w:r>
      <w:r>
        <w:rPr/>
        <w:t>CONCLUSIONES</w:t>
      </w:r>
    </w:p>
    <w:p>
      <w:pPr>
        <w:pStyle w:val="BodyText"/>
        <w:spacing w:line="360" w:lineRule="auto" w:before="51"/>
        <w:ind w:left="152" w:right="111"/>
        <w:jc w:val="both"/>
        <w:rPr>
          <w:i/>
        </w:rPr>
      </w:pPr>
      <w:r>
        <w:rPr/>
        <w:t>La linfadenitis caseosa es una enfermedad que afecta gravemente a las explotaciones ovinas y caprinas en México, el conocer las técnicas diagnósticas adecuadas para la identificación del agente causal, además de la caracterización fenotípica y genotípica de las cepas circulantes en el país permitirá establecer medidas preventivas y profilácticas encaminadas a la creación de inmunógenos efectivos contra </w:t>
      </w:r>
      <w:r>
        <w:rPr>
          <w:i/>
        </w:rPr>
        <w:t>Corynebacterium pseudotuberculosis.</w:t>
      </w:r>
    </w:p>
    <w:p>
      <w:pPr>
        <w:pStyle w:val="BodyText"/>
        <w:spacing w:line="360" w:lineRule="auto" w:before="202"/>
        <w:ind w:left="152" w:right="101"/>
        <w:jc w:val="both"/>
      </w:pPr>
      <w:r>
        <w:rPr/>
        <w:t>Este estudio representa la caracterización de aislados de </w:t>
      </w:r>
      <w:r>
        <w:rPr>
          <w:i/>
        </w:rPr>
        <w:t>Corynebacterium </w:t>
      </w:r>
      <w:r>
        <w:rPr>
          <w:i/>
        </w:rPr>
        <w:t>pseudotuberculosis </w:t>
      </w:r>
      <w:r>
        <w:rPr/>
        <w:t>en una región específica en México, sin  embargo consideramos realizar un estudio más completo por regiones; que permita conocer a profundidad las cepas circulantes y poder identificar más variaciones  importantes entre</w:t>
      </w:r>
      <w:r>
        <w:rPr>
          <w:spacing w:val="-10"/>
        </w:rPr>
        <w:t> </w:t>
      </w:r>
      <w:r>
        <w:rPr/>
        <w:t>estas.</w:t>
      </w:r>
    </w:p>
    <w:p>
      <w:pPr>
        <w:spacing w:after="0" w:line="360" w:lineRule="auto"/>
        <w:jc w:val="both"/>
        <w:sectPr>
          <w:pgSz w:w="12240" w:h="15840"/>
          <w:pgMar w:header="0" w:footer="1386" w:top="1500" w:bottom="1580" w:left="1720" w:right="1420"/>
        </w:sectPr>
      </w:pPr>
    </w:p>
    <w:p>
      <w:pPr>
        <w:pStyle w:val="BodyText"/>
        <w:spacing w:before="2"/>
        <w:rPr>
          <w:sz w:val="21"/>
        </w:rPr>
      </w:pPr>
    </w:p>
    <w:p>
      <w:pPr>
        <w:pStyle w:val="Heading1"/>
        <w:jc w:val="left"/>
      </w:pPr>
      <w:bookmarkStart w:name="_bookmark51" w:id="52"/>
      <w:bookmarkEnd w:id="52"/>
      <w:r>
        <w:rPr>
          <w:b w:val="0"/>
        </w:rPr>
      </w:r>
      <w:r>
        <w:rPr/>
        <w:t>REFERENCIAS BIBLIOGRÁFICAS</w:t>
      </w:r>
    </w:p>
    <w:p>
      <w:pPr>
        <w:pStyle w:val="ListParagraph"/>
        <w:numPr>
          <w:ilvl w:val="1"/>
          <w:numId w:val="5"/>
        </w:numPr>
        <w:tabs>
          <w:tab w:pos="861" w:val="left" w:leader="none"/>
        </w:tabs>
        <w:spacing w:line="240" w:lineRule="auto" w:before="49" w:after="0"/>
        <w:ind w:left="872" w:right="109" w:hanging="360"/>
        <w:jc w:val="both"/>
        <w:rPr>
          <w:sz w:val="24"/>
        </w:rPr>
      </w:pPr>
      <w:r>
        <w:rPr>
          <w:sz w:val="24"/>
        </w:rPr>
        <w:t>Adderson, Elisabeth E., Jan, W Boudreaux., Jessica, R Cummings.,  Stanley, Pounds., Deborah, A Wilson., Gary, W Procop., Randall, T Hayden., 2008. Identification of Clinical Coryneform Bacterial Isolates: Comparison of Biochemical Methods and Sequence Analysis of 16S rRNA and </w:t>
      </w:r>
      <w:r>
        <w:rPr>
          <w:i/>
          <w:sz w:val="24"/>
        </w:rPr>
        <w:t>rpoB </w:t>
      </w:r>
      <w:r>
        <w:rPr>
          <w:sz w:val="24"/>
        </w:rPr>
        <w:t>Genes. Journal Of Clinical Microbiology.</w:t>
      </w:r>
      <w:r>
        <w:rPr>
          <w:spacing w:val="-17"/>
          <w:sz w:val="24"/>
        </w:rPr>
        <w:t> </w:t>
      </w:r>
      <w:r>
        <w:rPr>
          <w:sz w:val="24"/>
        </w:rPr>
        <w:t>921–927.</w:t>
      </w:r>
    </w:p>
    <w:p>
      <w:pPr>
        <w:pStyle w:val="ListParagraph"/>
        <w:numPr>
          <w:ilvl w:val="1"/>
          <w:numId w:val="5"/>
        </w:numPr>
        <w:tabs>
          <w:tab w:pos="861" w:val="left" w:leader="none"/>
        </w:tabs>
        <w:spacing w:line="240" w:lineRule="auto" w:before="199" w:after="0"/>
        <w:ind w:left="872" w:right="107" w:hanging="360"/>
        <w:jc w:val="both"/>
        <w:rPr>
          <w:sz w:val="24"/>
        </w:rPr>
      </w:pPr>
      <w:r>
        <w:rPr>
          <w:sz w:val="24"/>
        </w:rPr>
        <w:t>Aguilar, FC., Cardoso, SB., Ciriaco, ALT., 1994. "Occurrence of caseous lymphadenitis in sheep and goat breed in a semi- confinement system in northern region of the state of ceara in Brazil". Memorias del XIV Congreso Panamericano de Ciencias Veterinarias Acapulco México.</w:t>
      </w:r>
      <w:r>
        <w:rPr>
          <w:spacing w:val="-20"/>
          <w:sz w:val="24"/>
        </w:rPr>
        <w:t> </w:t>
      </w:r>
      <w:r>
        <w:rPr>
          <w:sz w:val="24"/>
        </w:rPr>
        <w:t>73.</w:t>
      </w:r>
    </w:p>
    <w:p>
      <w:pPr>
        <w:pStyle w:val="ListParagraph"/>
        <w:numPr>
          <w:ilvl w:val="1"/>
          <w:numId w:val="5"/>
        </w:numPr>
        <w:tabs>
          <w:tab w:pos="861" w:val="left" w:leader="none"/>
        </w:tabs>
        <w:spacing w:line="242" w:lineRule="auto" w:before="199" w:after="0"/>
        <w:ind w:left="872" w:right="112" w:hanging="360"/>
        <w:jc w:val="both"/>
        <w:rPr>
          <w:sz w:val="24"/>
        </w:rPr>
      </w:pPr>
      <w:r>
        <w:rPr>
          <w:sz w:val="24"/>
        </w:rPr>
        <w:t>Aleman, M., Spier, SJ., 2001. Corynebacterium pseudotuberculosis infection. In Large Animal Internal Medicine 3 ed.</w:t>
      </w:r>
      <w:r>
        <w:rPr>
          <w:spacing w:val="-22"/>
          <w:sz w:val="24"/>
        </w:rPr>
        <w:t> </w:t>
      </w:r>
      <w:r>
        <w:rPr>
          <w:sz w:val="24"/>
        </w:rPr>
        <w:t>1078-1084.</w:t>
      </w:r>
    </w:p>
    <w:p>
      <w:pPr>
        <w:pStyle w:val="ListParagraph"/>
        <w:numPr>
          <w:ilvl w:val="1"/>
          <w:numId w:val="5"/>
        </w:numPr>
        <w:tabs>
          <w:tab w:pos="861" w:val="left" w:leader="none"/>
        </w:tabs>
        <w:spacing w:line="240" w:lineRule="auto" w:before="194" w:after="0"/>
        <w:ind w:left="872" w:right="110" w:hanging="360"/>
        <w:jc w:val="both"/>
        <w:rPr>
          <w:sz w:val="24"/>
        </w:rPr>
      </w:pPr>
      <w:r>
        <w:rPr>
          <w:sz w:val="24"/>
        </w:rPr>
        <w:t>Aleman, M., Spier, SJ., Wilson, WD., Doherr, M., 1996. Corynebacterium pseudotuberculosis infection in horses: 538 cases (1982–1993). Journal of the American Veterinary Medicine Association. 209,</w:t>
      </w:r>
      <w:r>
        <w:rPr>
          <w:spacing w:val="-21"/>
          <w:sz w:val="24"/>
        </w:rPr>
        <w:t> </w:t>
      </w:r>
      <w:r>
        <w:rPr>
          <w:sz w:val="24"/>
        </w:rPr>
        <w:t>804–809.</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Almuzara, MN., C, De Mier., CR, Rodríguez., AMR, Famiglietti., CA, Vay., 2006. Evaluación del sistema API Coryne, versión 2.0, para la identificación de bacilos gram-positivos difteroides de importancia clínica. Revista Argentina de Microbiología. 38,</w:t>
      </w:r>
      <w:r>
        <w:rPr>
          <w:spacing w:val="-14"/>
          <w:sz w:val="24"/>
        </w:rPr>
        <w:t> </w:t>
      </w:r>
      <w:r>
        <w:rPr>
          <w:sz w:val="24"/>
        </w:rPr>
        <w:t>197-201.</w:t>
      </w:r>
    </w:p>
    <w:p>
      <w:pPr>
        <w:pStyle w:val="ListParagraph"/>
        <w:numPr>
          <w:ilvl w:val="1"/>
          <w:numId w:val="5"/>
        </w:numPr>
        <w:tabs>
          <w:tab w:pos="861" w:val="left" w:leader="none"/>
        </w:tabs>
        <w:spacing w:line="240" w:lineRule="auto" w:before="199" w:after="0"/>
        <w:ind w:left="872" w:right="111" w:hanging="360"/>
        <w:jc w:val="both"/>
        <w:rPr>
          <w:sz w:val="24"/>
        </w:rPr>
      </w:pPr>
      <w:r>
        <w:rPr>
          <w:sz w:val="24"/>
        </w:rPr>
        <w:t>Anderson, DE., Rings, DM., Kowalski, J., 2004. Infection with Corynebacterium pseudotuberculosis in five alpacas. Journal of the American Veterinary Medicine Association. 225,</w:t>
      </w:r>
      <w:r>
        <w:rPr>
          <w:spacing w:val="-20"/>
          <w:sz w:val="24"/>
        </w:rPr>
        <w:t> </w:t>
      </w:r>
      <w:r>
        <w:rPr>
          <w:sz w:val="24"/>
        </w:rPr>
        <w:t>1743–1747.</w:t>
      </w:r>
    </w:p>
    <w:p>
      <w:pPr>
        <w:pStyle w:val="ListParagraph"/>
        <w:numPr>
          <w:ilvl w:val="1"/>
          <w:numId w:val="5"/>
        </w:numPr>
        <w:tabs>
          <w:tab w:pos="861" w:val="left" w:leader="none"/>
        </w:tabs>
        <w:spacing w:line="240" w:lineRule="auto" w:before="197" w:after="0"/>
        <w:ind w:left="872" w:right="105" w:hanging="360"/>
        <w:jc w:val="both"/>
        <w:rPr>
          <w:sz w:val="24"/>
        </w:rPr>
      </w:pPr>
      <w:r>
        <w:rPr>
          <w:sz w:val="24"/>
        </w:rPr>
        <w:t>Andrade, JSL., Azevedo, SS., Andreey, JAT., Higino, SSS., Azevedo, EO., 2012. Occurrence and risk factors associated with the Corynebacterium pseudotuberculosis infection in sheep and goats from the semiarid region of the Paraiba state, Northeastern Brazil. Pesquisa Veterinaria Brasileira. 32, 116-120.</w:t>
      </w:r>
    </w:p>
    <w:p>
      <w:pPr>
        <w:pStyle w:val="ListParagraph"/>
        <w:numPr>
          <w:ilvl w:val="1"/>
          <w:numId w:val="5"/>
        </w:numPr>
        <w:tabs>
          <w:tab w:pos="861" w:val="left" w:leader="none"/>
        </w:tabs>
        <w:spacing w:line="240" w:lineRule="auto" w:before="197" w:after="0"/>
        <w:ind w:left="872" w:right="108" w:hanging="360"/>
        <w:jc w:val="both"/>
        <w:rPr>
          <w:sz w:val="24"/>
        </w:rPr>
      </w:pPr>
      <w:r>
        <w:rPr>
          <w:sz w:val="24"/>
        </w:rPr>
        <w:t>Arsenault, JC., Girard, P., Dubreuil, D., Daignault, JR., Galarneau, J., Boisclair, Simard., Belanger, D., 2003. Prevalence of and carcass condemnation from Maedivisna, paratuberculosis and caseous lymphadenitis in culled sheep from Québec Canada. Prev. Vet. Med. 30 (59),</w:t>
      </w:r>
      <w:r>
        <w:rPr>
          <w:spacing w:val="-3"/>
          <w:sz w:val="24"/>
        </w:rPr>
        <w:t> </w:t>
      </w:r>
      <w:r>
        <w:rPr>
          <w:sz w:val="24"/>
        </w:rPr>
        <w:t>67-81.</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Baird, GJ., Fontaine, MC., 2007. Corynebacterium pseudotuberculosis and its role in ovine caseous lymphadenitis. Journal of Comparative Pathology. 137,</w:t>
      </w:r>
      <w:r>
        <w:rPr>
          <w:spacing w:val="-5"/>
          <w:sz w:val="24"/>
        </w:rPr>
        <w:t> </w:t>
      </w:r>
      <w:r>
        <w:rPr>
          <w:sz w:val="24"/>
        </w:rPr>
        <w:t>179–210.</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09" w:hanging="360"/>
        <w:jc w:val="both"/>
        <w:rPr>
          <w:sz w:val="24"/>
        </w:rPr>
      </w:pPr>
      <w:r>
        <w:rPr>
          <w:sz w:val="24"/>
        </w:rPr>
        <w:t>Barrientos, P.J.S., García, GDA., Cuellar, OJA., Garcia, VS., 1996. Distribución de lesiones de linfadenitis caseosa en ovinos Libro Resúmenes del XV Congreso Panamericano de Ciencias Veterinarias Brasil. 495,</w:t>
      </w:r>
      <w:r>
        <w:rPr>
          <w:spacing w:val="-24"/>
          <w:sz w:val="24"/>
        </w:rPr>
        <w:t> </w:t>
      </w:r>
      <w:r>
        <w:rPr>
          <w:sz w:val="24"/>
        </w:rPr>
        <w:t>252</w:t>
      </w:r>
    </w:p>
    <w:p>
      <w:pPr>
        <w:pStyle w:val="ListParagraph"/>
        <w:numPr>
          <w:ilvl w:val="1"/>
          <w:numId w:val="5"/>
        </w:numPr>
        <w:tabs>
          <w:tab w:pos="861" w:val="left" w:leader="none"/>
        </w:tabs>
        <w:spacing w:line="240" w:lineRule="auto" w:before="197" w:after="0"/>
        <w:ind w:left="872" w:right="115" w:hanging="360"/>
        <w:jc w:val="both"/>
        <w:rPr>
          <w:sz w:val="24"/>
        </w:rPr>
      </w:pPr>
      <w:r>
        <w:rPr>
          <w:sz w:val="24"/>
        </w:rPr>
        <w:t>Batey, RG., 1986. Frequency and consequence of caseous lymphadenitis in sheep and lambs slaughtered at Western Australian abattoir. American Journal of Veterinary Research. 47,</w:t>
      </w:r>
      <w:r>
        <w:rPr>
          <w:spacing w:val="-14"/>
          <w:sz w:val="24"/>
        </w:rPr>
        <w:t> </w:t>
      </w:r>
      <w:r>
        <w:rPr>
          <w:sz w:val="24"/>
        </w:rPr>
        <w:t>482-485.</w:t>
      </w:r>
    </w:p>
    <w:p>
      <w:pPr>
        <w:pStyle w:val="ListParagraph"/>
        <w:numPr>
          <w:ilvl w:val="1"/>
          <w:numId w:val="5"/>
        </w:numPr>
        <w:tabs>
          <w:tab w:pos="861" w:val="left" w:leader="none"/>
        </w:tabs>
        <w:spacing w:line="242" w:lineRule="auto" w:before="197" w:after="0"/>
        <w:ind w:left="872" w:right="115" w:hanging="360"/>
        <w:jc w:val="both"/>
        <w:rPr>
          <w:sz w:val="24"/>
        </w:rPr>
      </w:pPr>
      <w:r>
        <w:rPr>
          <w:sz w:val="24"/>
        </w:rPr>
        <w:t>Batey, RG., 1986. Pathogenesis of caseous lymphadenitis in sheep and goats. Aust. Vet. J. 63,</w:t>
      </w:r>
      <w:r>
        <w:rPr>
          <w:spacing w:val="-12"/>
          <w:sz w:val="24"/>
        </w:rPr>
        <w:t> </w:t>
      </w:r>
      <w:r>
        <w:rPr>
          <w:sz w:val="24"/>
        </w:rPr>
        <w:t>269-272.</w:t>
      </w:r>
    </w:p>
    <w:p>
      <w:pPr>
        <w:pStyle w:val="ListParagraph"/>
        <w:numPr>
          <w:ilvl w:val="1"/>
          <w:numId w:val="5"/>
        </w:numPr>
        <w:tabs>
          <w:tab w:pos="861" w:val="left" w:leader="none"/>
        </w:tabs>
        <w:spacing w:line="242" w:lineRule="auto" w:before="197" w:after="0"/>
        <w:ind w:left="872" w:right="116" w:hanging="360"/>
        <w:jc w:val="both"/>
        <w:rPr>
          <w:sz w:val="24"/>
        </w:rPr>
      </w:pPr>
      <w:r>
        <w:rPr>
          <w:sz w:val="24"/>
        </w:rPr>
        <w:t>Biberstein, EL., Knight, HD., Jang, S., 1971. Two biotypes of Corynebacterium pseudotuberculosis. Vet. Rec. 89,</w:t>
      </w:r>
      <w:r>
        <w:rPr>
          <w:spacing w:val="-20"/>
          <w:sz w:val="24"/>
        </w:rPr>
        <w:t> </w:t>
      </w:r>
      <w:r>
        <w:rPr>
          <w:sz w:val="24"/>
        </w:rPr>
        <w:t>691–692.</w:t>
      </w:r>
    </w:p>
    <w:p>
      <w:pPr>
        <w:pStyle w:val="ListParagraph"/>
        <w:numPr>
          <w:ilvl w:val="1"/>
          <w:numId w:val="5"/>
        </w:numPr>
        <w:tabs>
          <w:tab w:pos="861" w:val="left" w:leader="none"/>
        </w:tabs>
        <w:spacing w:line="240" w:lineRule="auto" w:before="194" w:after="0"/>
        <w:ind w:left="872" w:right="112" w:hanging="360"/>
        <w:jc w:val="both"/>
        <w:rPr>
          <w:sz w:val="24"/>
        </w:rPr>
      </w:pPr>
      <w:r>
        <w:rPr>
          <w:sz w:val="24"/>
        </w:rPr>
        <w:t>Billington, Stephen J., Paula, A Esmay., J, Glenn Songer., B, Helen Jost., 2002. Identication and role in virulence of putative iron acquisition genes from Corynebacterium pseudotuberculosis. FEMS Microbiology Letters.  208,</w:t>
      </w:r>
      <w:r>
        <w:rPr>
          <w:spacing w:val="-4"/>
          <w:sz w:val="24"/>
        </w:rPr>
        <w:t> </w:t>
      </w:r>
      <w:r>
        <w:rPr>
          <w:sz w:val="24"/>
        </w:rPr>
        <w:t>41-45.</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Bogdan, JR., Newlands-Monteith, CF., Ellis, JA., 1997. Nitric oxide production following in vitro stimulation of ovine pulmonary alveolar macrophages. Vet. Immunol. Immunopathol. 56,</w:t>
      </w:r>
      <w:r>
        <w:rPr>
          <w:spacing w:val="-20"/>
          <w:sz w:val="24"/>
        </w:rPr>
        <w:t> </w:t>
      </w:r>
      <w:r>
        <w:rPr>
          <w:sz w:val="24"/>
        </w:rPr>
        <w:t>299-310.</w:t>
      </w:r>
    </w:p>
    <w:p>
      <w:pPr>
        <w:pStyle w:val="ListParagraph"/>
        <w:numPr>
          <w:ilvl w:val="1"/>
          <w:numId w:val="5"/>
        </w:numPr>
        <w:tabs>
          <w:tab w:pos="861" w:val="left" w:leader="none"/>
        </w:tabs>
        <w:spacing w:line="240" w:lineRule="auto" w:before="199" w:after="0"/>
        <w:ind w:left="872" w:right="102" w:hanging="360"/>
        <w:jc w:val="both"/>
        <w:rPr>
          <w:sz w:val="24"/>
        </w:rPr>
      </w:pPr>
      <w:r>
        <w:rPr>
          <w:sz w:val="24"/>
        </w:rPr>
        <w:t>Braga, </w:t>
      </w:r>
      <w:r>
        <w:rPr>
          <w:spacing w:val="2"/>
          <w:sz w:val="24"/>
        </w:rPr>
        <w:t>W., </w:t>
      </w:r>
      <w:r>
        <w:rPr>
          <w:sz w:val="24"/>
        </w:rPr>
        <w:t>Schul, S., Nu, A., Pezo, D., Franco, E., 2007. A primary Corynebacterium pseudotuberculosis low dose infection in alpacas (Lama pacos) protects against a lethal challenge exposure. Small. Rumin. Res. 72, 81-86.</w:t>
      </w:r>
    </w:p>
    <w:p>
      <w:pPr>
        <w:pStyle w:val="ListParagraph"/>
        <w:numPr>
          <w:ilvl w:val="1"/>
          <w:numId w:val="5"/>
        </w:numPr>
        <w:tabs>
          <w:tab w:pos="861" w:val="left" w:leader="none"/>
        </w:tabs>
        <w:spacing w:line="240" w:lineRule="auto" w:before="197" w:after="0"/>
        <w:ind w:left="872" w:right="107" w:hanging="360"/>
        <w:jc w:val="both"/>
        <w:rPr>
          <w:sz w:val="24"/>
        </w:rPr>
      </w:pPr>
      <w:r>
        <w:rPr>
          <w:sz w:val="24"/>
        </w:rPr>
        <w:t>Braga, WU., Chavera, A., Gonzalez, A., 2006. Corynebacterium pseudotuberculosis infection in highland alpacas (Lama pacos) in Peru. Veterinary Record.159,</w:t>
      </w:r>
      <w:r>
        <w:rPr>
          <w:spacing w:val="-10"/>
          <w:sz w:val="24"/>
        </w:rPr>
        <w:t> </w:t>
      </w:r>
      <w:r>
        <w:rPr>
          <w:sz w:val="24"/>
        </w:rPr>
        <w:t>23–24.</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Brogden, KA., Cutlip, RC., Lehmkuhl, HD., 1984. Experimental Corynebacterium pseudotuberculosis infection in lambs. Am. J. Vet. Res.  45,</w:t>
      </w:r>
      <w:r>
        <w:rPr>
          <w:spacing w:val="-7"/>
          <w:sz w:val="24"/>
        </w:rPr>
        <w:t> </w:t>
      </w:r>
      <w:r>
        <w:rPr>
          <w:sz w:val="24"/>
        </w:rPr>
        <w:t>1532-1534.</w:t>
      </w:r>
    </w:p>
    <w:p>
      <w:pPr>
        <w:pStyle w:val="ListParagraph"/>
        <w:numPr>
          <w:ilvl w:val="1"/>
          <w:numId w:val="5"/>
        </w:numPr>
        <w:tabs>
          <w:tab w:pos="861" w:val="left" w:leader="none"/>
        </w:tabs>
        <w:spacing w:line="242" w:lineRule="auto" w:before="200" w:after="0"/>
        <w:ind w:left="872" w:right="107" w:hanging="360"/>
        <w:jc w:val="both"/>
        <w:rPr>
          <w:sz w:val="24"/>
        </w:rPr>
      </w:pPr>
      <w:r>
        <w:rPr>
          <w:sz w:val="24"/>
        </w:rPr>
        <w:t>Brown, CC., Olander, HJ., 1987. Caseous Lymphadenitis of Goat </w:t>
      </w:r>
      <w:r>
        <w:rPr>
          <w:spacing w:val="-2"/>
          <w:sz w:val="24"/>
        </w:rPr>
        <w:t>and </w:t>
      </w:r>
      <w:r>
        <w:rPr>
          <w:sz w:val="24"/>
        </w:rPr>
        <w:t>Sheep: A Review. Veterinary Bulletin. 57,</w:t>
      </w:r>
      <w:r>
        <w:rPr>
          <w:spacing w:val="-16"/>
          <w:sz w:val="24"/>
        </w:rPr>
        <w:t> </w:t>
      </w:r>
      <w:r>
        <w:rPr>
          <w:sz w:val="24"/>
        </w:rPr>
        <w:t>1-12.</w:t>
      </w:r>
    </w:p>
    <w:p>
      <w:pPr>
        <w:pStyle w:val="ListParagraph"/>
        <w:numPr>
          <w:ilvl w:val="1"/>
          <w:numId w:val="5"/>
        </w:numPr>
        <w:tabs>
          <w:tab w:pos="861" w:val="left" w:leader="none"/>
        </w:tabs>
        <w:spacing w:line="240" w:lineRule="auto" w:before="194" w:after="0"/>
        <w:ind w:left="872" w:right="110" w:hanging="360"/>
        <w:jc w:val="both"/>
        <w:rPr>
          <w:sz w:val="24"/>
        </w:rPr>
      </w:pPr>
      <w:r>
        <w:rPr>
          <w:sz w:val="24"/>
        </w:rPr>
        <w:t>Buck, GA., Cross, RE., Wong, TP., Loera, J., Groman, N., 1985. DNA relationships among some tox-bearing corynebacteriphages. Infect. Immun. 49,</w:t>
      </w:r>
      <w:r>
        <w:rPr>
          <w:spacing w:val="-6"/>
          <w:sz w:val="24"/>
        </w:rPr>
        <w:t> </w:t>
      </w:r>
      <w:r>
        <w:rPr>
          <w:sz w:val="24"/>
        </w:rPr>
        <w:t>679–684.</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Cerdeño, AM., Efstratiou, A., Dover, LG., Holden, MTG., Pallen, M., Bentley, SD., Besra, GS., Churcher, C., James, KD., De Zoysa, A., Chillingworth, T., Cronin , A., Dowd, L., Feltwell,T., Hamlin, N., Holroyd, S., Jagels, K., Moule, S., Quail, MA., Rabbinowitsch, E., Rutherford,KM., Thomson, NR.,   </w:t>
      </w:r>
      <w:r>
        <w:rPr>
          <w:spacing w:val="46"/>
          <w:sz w:val="24"/>
        </w:rPr>
        <w:t> </w:t>
      </w:r>
      <w:r>
        <w:rPr>
          <w:sz w:val="24"/>
        </w:rPr>
        <w:t>Unwin,</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BodyText"/>
        <w:spacing w:before="69"/>
        <w:ind w:left="872" w:right="115"/>
        <w:jc w:val="both"/>
      </w:pPr>
      <w:r>
        <w:rPr/>
        <w:t>L., Whitehead, S., Barrell, BG., Parkhill, J., 2003. The complete sequence and analysis of Corynebacterium diphtheriae NCTC13929. Nucleic Acids Res. 31, 6516-23.</w:t>
      </w:r>
    </w:p>
    <w:p>
      <w:pPr>
        <w:pStyle w:val="ListParagraph"/>
        <w:numPr>
          <w:ilvl w:val="1"/>
          <w:numId w:val="5"/>
        </w:numPr>
        <w:tabs>
          <w:tab w:pos="861" w:val="left" w:leader="none"/>
        </w:tabs>
        <w:spacing w:line="240" w:lineRule="auto" w:before="197" w:after="0"/>
        <w:ind w:left="872" w:right="111" w:hanging="360"/>
        <w:jc w:val="both"/>
        <w:rPr>
          <w:sz w:val="24"/>
        </w:rPr>
      </w:pPr>
      <w:r>
        <w:rPr>
          <w:sz w:val="24"/>
        </w:rPr>
        <w:t>Cetinkaya, B., Karahan, M., Atil, E., Kalin, R., De Baere, T., Vaneechoutte, M., 2002. Identification of Corynebacterium pseudotuberculosis isolates  from sheep and goats by PCR. Vet. Microbiology. 88,</w:t>
      </w:r>
      <w:r>
        <w:rPr>
          <w:spacing w:val="-20"/>
          <w:sz w:val="24"/>
        </w:rPr>
        <w:t> </w:t>
      </w:r>
      <w:r>
        <w:rPr>
          <w:sz w:val="24"/>
        </w:rPr>
        <w:t>75-83.</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Chaplin, PJ., De Rose, R., Boyle, JS., McWaters, P., Kelly, J., 1999. Targeting improves the efficacy of a DNA vaccine against Corynebacterium pseudotuberculosis in sheep. Infect. Immun. 67,</w:t>
      </w:r>
      <w:r>
        <w:rPr>
          <w:spacing w:val="-21"/>
          <w:sz w:val="24"/>
        </w:rPr>
        <w:t> </w:t>
      </w:r>
      <w:r>
        <w:rPr>
          <w:sz w:val="24"/>
        </w:rPr>
        <w:t>6434-6438.</w:t>
      </w:r>
    </w:p>
    <w:p>
      <w:pPr>
        <w:pStyle w:val="ListParagraph"/>
        <w:numPr>
          <w:ilvl w:val="1"/>
          <w:numId w:val="5"/>
        </w:numPr>
        <w:tabs>
          <w:tab w:pos="861" w:val="left" w:leader="none"/>
        </w:tabs>
        <w:spacing w:line="240" w:lineRule="auto" w:before="200" w:after="0"/>
        <w:ind w:left="872" w:right="113" w:hanging="360"/>
        <w:jc w:val="both"/>
        <w:rPr>
          <w:sz w:val="24"/>
        </w:rPr>
      </w:pPr>
      <w:r>
        <w:rPr>
          <w:sz w:val="24"/>
        </w:rPr>
        <w:t>Chirino, C., Scaramelli, A., Rey, C., 2005. Bacteriological characterization of Corynebacterium pseudotuberculosis in Venezuelan gota flocks. Small Rumin Res. In</w:t>
      </w:r>
      <w:r>
        <w:rPr>
          <w:spacing w:val="-3"/>
          <w:sz w:val="24"/>
        </w:rPr>
        <w:t> </w:t>
      </w:r>
      <w:r>
        <w:rPr>
          <w:sz w:val="24"/>
        </w:rPr>
        <w:t>Press.</w:t>
      </w:r>
    </w:p>
    <w:p>
      <w:pPr>
        <w:pStyle w:val="ListParagraph"/>
        <w:numPr>
          <w:ilvl w:val="1"/>
          <w:numId w:val="5"/>
        </w:numPr>
        <w:tabs>
          <w:tab w:pos="861" w:val="left" w:leader="none"/>
        </w:tabs>
        <w:spacing w:line="240" w:lineRule="auto" w:before="197" w:after="0"/>
        <w:ind w:left="872" w:right="111" w:hanging="360"/>
        <w:jc w:val="both"/>
        <w:rPr>
          <w:sz w:val="24"/>
        </w:rPr>
      </w:pPr>
      <w:r>
        <w:rPr>
          <w:sz w:val="24"/>
        </w:rPr>
        <w:t>Cianciotto, N., Groman, N., 1985. A beta-related corynebacteriophage which lacks a tox allele but can acquire it by recombination with phage. Infect. Immun. 49,</w:t>
      </w:r>
      <w:r>
        <w:rPr>
          <w:spacing w:val="-6"/>
          <w:sz w:val="24"/>
        </w:rPr>
        <w:t> </w:t>
      </w:r>
      <w:r>
        <w:rPr>
          <w:sz w:val="24"/>
        </w:rPr>
        <w:t>32–35.</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Cianciotto, N., Rappuoli, R., Groman, N., 1986. Detection of homology to the beta bacteriophage integration site in a wide variety of Corynebacterium ssp. J. Bacteriol. 168,</w:t>
      </w:r>
      <w:r>
        <w:rPr>
          <w:spacing w:val="-11"/>
          <w:sz w:val="24"/>
        </w:rPr>
        <w:t> </w:t>
      </w:r>
      <w:r>
        <w:rPr>
          <w:sz w:val="24"/>
        </w:rPr>
        <w:t>103–108.</w:t>
      </w:r>
    </w:p>
    <w:p>
      <w:pPr>
        <w:pStyle w:val="ListParagraph"/>
        <w:numPr>
          <w:ilvl w:val="1"/>
          <w:numId w:val="5"/>
        </w:numPr>
        <w:tabs>
          <w:tab w:pos="861" w:val="left" w:leader="none"/>
        </w:tabs>
        <w:spacing w:line="240" w:lineRule="auto" w:before="199" w:after="0"/>
        <w:ind w:left="872" w:right="108" w:hanging="360"/>
        <w:jc w:val="both"/>
        <w:rPr>
          <w:sz w:val="24"/>
        </w:rPr>
      </w:pPr>
      <w:r>
        <w:rPr>
          <w:sz w:val="24"/>
        </w:rPr>
        <w:t>Connor, KM., Quirie, MM., Baird, G., Donachie, </w:t>
      </w:r>
      <w:r>
        <w:rPr>
          <w:spacing w:val="2"/>
          <w:sz w:val="24"/>
        </w:rPr>
        <w:t>W., </w:t>
      </w:r>
      <w:r>
        <w:rPr>
          <w:sz w:val="24"/>
        </w:rPr>
        <w:t>2000. Characterization of United Kingdom Isolates of Corynebacterium pseudotuberculosis using Pulsed-Field Gel Electrophoresis. Journal of Clinical Microbiology. 38 (7), 2633-2637.</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Costa, LRR., Spier, SJ., Hirsh, DC., 1998. Comparative molecular characterization of Corynebacterium pseudotuberculosis of different origin. Vet. Microbiol. 62,</w:t>
      </w:r>
      <w:r>
        <w:rPr>
          <w:spacing w:val="-9"/>
          <w:sz w:val="24"/>
        </w:rPr>
        <w:t> </w:t>
      </w:r>
      <w:r>
        <w:rPr>
          <w:sz w:val="24"/>
        </w:rPr>
        <w:t>135–143.</w:t>
      </w:r>
    </w:p>
    <w:p>
      <w:pPr>
        <w:pStyle w:val="ListParagraph"/>
        <w:numPr>
          <w:ilvl w:val="1"/>
          <w:numId w:val="5"/>
        </w:numPr>
        <w:tabs>
          <w:tab w:pos="861" w:val="left" w:leader="none"/>
        </w:tabs>
        <w:spacing w:line="240" w:lineRule="auto" w:before="197" w:after="0"/>
        <w:ind w:left="872" w:right="109" w:hanging="360"/>
        <w:jc w:val="both"/>
        <w:rPr>
          <w:sz w:val="24"/>
        </w:rPr>
      </w:pPr>
      <w:r>
        <w:rPr>
          <w:sz w:val="24"/>
        </w:rPr>
        <w:t>Costa, MP., John, AM., Síntia, SA., Fernanda, AD, Cristina, TF., Diana, MO, Maria, FST., Ewa, L., Barbara, L., Roberto, M., Ricardo, WP., Sérgio, CO., Anderson, M and Vasco, A. 2011. Molecular characterization of the Corynebacterium pseudotuberculosis hsp60-hsp10 operon and evaluation  of the immune response and protective efficacy induced by hsp60 DNA vaccination in mice. BMC Research Notes, 4,</w:t>
      </w:r>
      <w:r>
        <w:rPr>
          <w:spacing w:val="-14"/>
          <w:sz w:val="24"/>
        </w:rPr>
        <w:t> </w:t>
      </w:r>
      <w:r>
        <w:rPr>
          <w:sz w:val="24"/>
        </w:rPr>
        <w:t>243.</w:t>
      </w:r>
    </w:p>
    <w:p>
      <w:pPr>
        <w:pStyle w:val="ListParagraph"/>
        <w:numPr>
          <w:ilvl w:val="1"/>
          <w:numId w:val="5"/>
        </w:numPr>
        <w:tabs>
          <w:tab w:pos="861" w:val="left" w:leader="none"/>
        </w:tabs>
        <w:spacing w:line="242" w:lineRule="auto" w:before="199" w:after="0"/>
        <w:ind w:left="872" w:right="114" w:hanging="360"/>
        <w:jc w:val="both"/>
        <w:rPr>
          <w:sz w:val="24"/>
        </w:rPr>
      </w:pPr>
      <w:r>
        <w:rPr>
          <w:sz w:val="24"/>
        </w:rPr>
        <w:t>Coyel, M., Lipsky, B., 1990. Coryneforme bacteria in infectious diseases: clínica and laboratory aspects. Clin. Microbiol. Rev. 3,</w:t>
      </w:r>
      <w:r>
        <w:rPr>
          <w:spacing w:val="-19"/>
          <w:sz w:val="24"/>
        </w:rPr>
        <w:t> </w:t>
      </w:r>
      <w:r>
        <w:rPr>
          <w:sz w:val="24"/>
        </w:rPr>
        <w:t>227-246.</w:t>
      </w:r>
    </w:p>
    <w:p>
      <w:pPr>
        <w:pStyle w:val="ListParagraph"/>
        <w:numPr>
          <w:ilvl w:val="1"/>
          <w:numId w:val="5"/>
        </w:numPr>
        <w:tabs>
          <w:tab w:pos="861" w:val="left" w:leader="none"/>
        </w:tabs>
        <w:spacing w:line="240" w:lineRule="auto" w:before="194" w:after="0"/>
        <w:ind w:left="872" w:right="111" w:hanging="360"/>
        <w:jc w:val="both"/>
        <w:rPr>
          <w:sz w:val="24"/>
        </w:rPr>
      </w:pPr>
      <w:r>
        <w:rPr>
          <w:sz w:val="24"/>
        </w:rPr>
        <w:t>D’Afonseca, V., Moraes, PM., Dorella, FA., Pacheco, LCG., Meyer, R., Portela,</w:t>
      </w:r>
      <w:r>
        <w:rPr>
          <w:spacing w:val="48"/>
          <w:sz w:val="24"/>
        </w:rPr>
        <w:t> </w:t>
      </w:r>
      <w:r>
        <w:rPr>
          <w:sz w:val="24"/>
        </w:rPr>
        <w:t>RW.,</w:t>
      </w:r>
      <w:r>
        <w:rPr>
          <w:spacing w:val="48"/>
          <w:sz w:val="24"/>
        </w:rPr>
        <w:t> </w:t>
      </w:r>
      <w:r>
        <w:rPr>
          <w:sz w:val="24"/>
        </w:rPr>
        <w:t>Miyoshi,</w:t>
      </w:r>
      <w:r>
        <w:rPr>
          <w:spacing w:val="53"/>
          <w:sz w:val="24"/>
        </w:rPr>
        <w:t> </w:t>
      </w:r>
      <w:r>
        <w:rPr>
          <w:sz w:val="24"/>
        </w:rPr>
        <w:t>A.,</w:t>
      </w:r>
      <w:r>
        <w:rPr>
          <w:spacing w:val="48"/>
          <w:sz w:val="24"/>
        </w:rPr>
        <w:t> </w:t>
      </w:r>
      <w:r>
        <w:rPr>
          <w:sz w:val="24"/>
        </w:rPr>
        <w:t>Azevedo,</w:t>
      </w:r>
      <w:r>
        <w:rPr>
          <w:spacing w:val="50"/>
          <w:sz w:val="24"/>
        </w:rPr>
        <w:t> </w:t>
      </w:r>
      <w:r>
        <w:rPr>
          <w:sz w:val="24"/>
        </w:rPr>
        <w:t>V.,</w:t>
      </w:r>
      <w:r>
        <w:rPr>
          <w:spacing w:val="48"/>
          <w:sz w:val="24"/>
        </w:rPr>
        <w:t> </w:t>
      </w:r>
      <w:r>
        <w:rPr>
          <w:sz w:val="24"/>
        </w:rPr>
        <w:t>2008.</w:t>
      </w:r>
      <w:r>
        <w:rPr>
          <w:spacing w:val="54"/>
          <w:sz w:val="24"/>
        </w:rPr>
        <w:t> </w:t>
      </w:r>
      <w:r>
        <w:rPr>
          <w:sz w:val="24"/>
        </w:rPr>
        <w:t>A</w:t>
      </w:r>
      <w:r>
        <w:rPr>
          <w:spacing w:val="48"/>
          <w:sz w:val="24"/>
        </w:rPr>
        <w:t> </w:t>
      </w:r>
      <w:r>
        <w:rPr>
          <w:sz w:val="24"/>
        </w:rPr>
        <w:t>description</w:t>
      </w:r>
      <w:r>
        <w:rPr>
          <w:spacing w:val="48"/>
          <w:sz w:val="24"/>
        </w:rPr>
        <w:t> </w:t>
      </w:r>
      <w:r>
        <w:rPr>
          <w:sz w:val="24"/>
        </w:rPr>
        <w:t>of</w:t>
      </w:r>
      <w:r>
        <w:rPr>
          <w:spacing w:val="50"/>
          <w:sz w:val="24"/>
        </w:rPr>
        <w:t> </w:t>
      </w:r>
      <w:r>
        <w:rPr>
          <w:sz w:val="24"/>
        </w:rPr>
        <w:t>genes</w:t>
      </w:r>
      <w:r>
        <w:rPr>
          <w:spacing w:val="48"/>
          <w:sz w:val="24"/>
        </w:rPr>
        <w:t> </w:t>
      </w:r>
      <w:r>
        <w:rPr>
          <w:sz w:val="24"/>
        </w:rPr>
        <w:t>of</w:t>
      </w:r>
    </w:p>
    <w:p>
      <w:pPr>
        <w:spacing w:after="0" w:line="240" w:lineRule="auto"/>
        <w:jc w:val="both"/>
        <w:rPr>
          <w:sz w:val="24"/>
        </w:rPr>
        <w:sectPr>
          <w:footerReference w:type="default" r:id="rId38"/>
          <w:pgSz w:w="12240" w:h="15840"/>
          <w:pgMar w:footer="1386" w:header="0" w:top="1500" w:bottom="1580" w:left="1720" w:right="1420"/>
        </w:sectPr>
      </w:pPr>
    </w:p>
    <w:p>
      <w:pPr>
        <w:pStyle w:val="BodyText"/>
        <w:spacing w:before="11"/>
        <w:rPr>
          <w:sz w:val="20"/>
        </w:rPr>
      </w:pPr>
    </w:p>
    <w:p>
      <w:pPr>
        <w:pStyle w:val="BodyText"/>
        <w:spacing w:line="242" w:lineRule="auto" w:before="69"/>
        <w:ind w:left="872" w:right="114"/>
        <w:jc w:val="both"/>
      </w:pPr>
      <w:r>
        <w:rPr/>
        <w:t>Corynebacterium pseudotuberculosis useful in diagnostics and vaccine applications. Genetics and Molecular Research. 7(1), 252-260.</w:t>
      </w:r>
    </w:p>
    <w:p>
      <w:pPr>
        <w:pStyle w:val="ListParagraph"/>
        <w:numPr>
          <w:ilvl w:val="1"/>
          <w:numId w:val="5"/>
        </w:numPr>
        <w:tabs>
          <w:tab w:pos="861" w:val="left" w:leader="none"/>
        </w:tabs>
        <w:spacing w:line="240" w:lineRule="auto" w:before="194" w:after="0"/>
        <w:ind w:left="872" w:right="113" w:hanging="360"/>
        <w:jc w:val="both"/>
        <w:rPr>
          <w:sz w:val="24"/>
        </w:rPr>
      </w:pPr>
      <w:r>
        <w:rPr>
          <w:sz w:val="24"/>
        </w:rPr>
        <w:t>De Rose, R., Tennent, J., McWaters, P., Chaplin, PJ., Wood, PR., 2002. Efficacy of DNA vaccination by different routes of immunisation in sheep. Vet. Immunol. Immunopathol. 90,</w:t>
      </w:r>
      <w:r>
        <w:rPr>
          <w:spacing w:val="-13"/>
          <w:sz w:val="24"/>
        </w:rPr>
        <w:t> </w:t>
      </w:r>
      <w:r>
        <w:rPr>
          <w:sz w:val="24"/>
        </w:rPr>
        <w:t>55-63.</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Dorella, FA., Pacheco, LGC., Oliveira, SC., 2006. Corynebacterium pseudotuberculosis, microbiology, biochemical properties, pathogenesis and molecular studies of virulence. Veterinary Research. 37,</w:t>
      </w:r>
      <w:r>
        <w:rPr>
          <w:spacing w:val="-18"/>
          <w:sz w:val="24"/>
        </w:rPr>
        <w:t> </w:t>
      </w:r>
      <w:r>
        <w:rPr>
          <w:sz w:val="24"/>
        </w:rPr>
        <w:t>201–218.</w:t>
      </w:r>
    </w:p>
    <w:p>
      <w:pPr>
        <w:pStyle w:val="ListParagraph"/>
        <w:numPr>
          <w:ilvl w:val="1"/>
          <w:numId w:val="5"/>
        </w:numPr>
        <w:tabs>
          <w:tab w:pos="873" w:val="left" w:leader="none"/>
        </w:tabs>
        <w:spacing w:line="240" w:lineRule="auto" w:before="200" w:after="0"/>
        <w:ind w:left="872" w:right="110" w:hanging="360"/>
        <w:jc w:val="both"/>
        <w:rPr>
          <w:sz w:val="24"/>
        </w:rPr>
      </w:pPr>
      <w:r>
        <w:rPr>
          <w:sz w:val="24"/>
        </w:rPr>
        <w:t>Dorneles, Elaine M. S., Jordana, A. Santana., Dayana, Ribeiro., Fernanda, Alves Dorella., Alessandro, S. Guimaraes., Mohamed, S. Moawad.,  </w:t>
      </w:r>
      <w:r>
        <w:rPr>
          <w:spacing w:val="63"/>
          <w:sz w:val="24"/>
        </w:rPr>
        <w:t> </w:t>
      </w:r>
      <w:r>
        <w:rPr>
          <w:sz w:val="24"/>
        </w:rPr>
        <w:t>Salah,</w:t>
      </w:r>
    </w:p>
    <w:p>
      <w:pPr>
        <w:pStyle w:val="ListParagraph"/>
        <w:numPr>
          <w:ilvl w:val="2"/>
          <w:numId w:val="5"/>
        </w:numPr>
        <w:tabs>
          <w:tab w:pos="1201" w:val="left" w:leader="none"/>
        </w:tabs>
        <w:spacing w:line="240" w:lineRule="auto" w:before="0" w:after="0"/>
        <w:ind w:left="872" w:right="110" w:firstLine="0"/>
        <w:jc w:val="both"/>
        <w:rPr>
          <w:sz w:val="24"/>
        </w:rPr>
      </w:pPr>
      <w:r>
        <w:rPr>
          <w:sz w:val="24"/>
        </w:rPr>
        <w:t>Selim., Ana Luiza, M. Garaldi., Anderson, Miyoshi., Márcio G. Ribeiro., Aurora, MG. Gouveia., Vasco Azevedo, Marcos, B. Heinemann., Andrey, P. Lage., 2014. Evaluation of ERIC-PCR as Genotyping Method for Corynebacterium pseudotuberculosis Isolates. PLOS ONE. 9,</w:t>
      </w:r>
      <w:r>
        <w:rPr>
          <w:spacing w:val="-17"/>
          <w:sz w:val="24"/>
        </w:rPr>
        <w:t> </w:t>
      </w:r>
      <w:r>
        <w:rPr>
          <w:sz w:val="24"/>
        </w:rPr>
        <w:t>6.</w:t>
      </w:r>
    </w:p>
    <w:p>
      <w:pPr>
        <w:pStyle w:val="BodyText"/>
      </w:pPr>
    </w:p>
    <w:p>
      <w:pPr>
        <w:pStyle w:val="ListParagraph"/>
        <w:numPr>
          <w:ilvl w:val="1"/>
          <w:numId w:val="5"/>
        </w:numPr>
        <w:tabs>
          <w:tab w:pos="861" w:val="left" w:leader="none"/>
        </w:tabs>
        <w:spacing w:line="240" w:lineRule="auto" w:before="0" w:after="0"/>
        <w:ind w:left="872" w:right="114" w:hanging="360"/>
        <w:jc w:val="both"/>
        <w:rPr>
          <w:sz w:val="24"/>
        </w:rPr>
      </w:pPr>
      <w:r>
        <w:rPr>
          <w:sz w:val="24"/>
        </w:rPr>
        <w:t>Drancourt, M., Bollet, C., Carlioz, A., Martelin, R., Gayral, JP., Raoult, D., 2001. Sequence analysis of a large collection of environmental and clinical unidentiable bacterial isolates. J. Clin. Microbiol. 38,</w:t>
      </w:r>
      <w:r>
        <w:rPr>
          <w:spacing w:val="-19"/>
          <w:sz w:val="24"/>
        </w:rPr>
        <w:t> </w:t>
      </w:r>
      <w:r>
        <w:rPr>
          <w:sz w:val="24"/>
        </w:rPr>
        <w:t>3623-30.</w:t>
      </w:r>
    </w:p>
    <w:p>
      <w:pPr>
        <w:pStyle w:val="ListParagraph"/>
        <w:numPr>
          <w:ilvl w:val="1"/>
          <w:numId w:val="5"/>
        </w:numPr>
        <w:tabs>
          <w:tab w:pos="861" w:val="left" w:leader="none"/>
        </w:tabs>
        <w:spacing w:line="240" w:lineRule="auto" w:before="197" w:after="0"/>
        <w:ind w:left="872" w:right="112" w:hanging="360"/>
        <w:jc w:val="both"/>
        <w:rPr>
          <w:sz w:val="24"/>
        </w:rPr>
      </w:pPr>
      <w:r>
        <w:rPr>
          <w:sz w:val="24"/>
        </w:rPr>
        <w:t>Eggleton, DG., Middleton, HD., Doidge, CV., Minty, DW., 1991. Immunisation against ovine caseous lymphadenitis: comparison of Corynebacterium pseudotuberculosis vaccines with and without bacterial cells. Aust. Vet. J. 68,</w:t>
      </w:r>
      <w:r>
        <w:rPr>
          <w:spacing w:val="-11"/>
          <w:sz w:val="24"/>
        </w:rPr>
        <w:t> </w:t>
      </w:r>
      <w:r>
        <w:rPr>
          <w:sz w:val="24"/>
        </w:rPr>
        <w:t>317-319.</w:t>
      </w:r>
    </w:p>
    <w:p>
      <w:pPr>
        <w:pStyle w:val="ListParagraph"/>
        <w:numPr>
          <w:ilvl w:val="1"/>
          <w:numId w:val="5"/>
        </w:numPr>
        <w:tabs>
          <w:tab w:pos="861" w:val="left" w:leader="none"/>
        </w:tabs>
        <w:spacing w:line="240" w:lineRule="auto" w:before="197" w:after="0"/>
        <w:ind w:left="872" w:right="109" w:hanging="360"/>
        <w:jc w:val="both"/>
        <w:rPr>
          <w:sz w:val="24"/>
        </w:rPr>
      </w:pPr>
      <w:r>
        <w:rPr>
          <w:sz w:val="24"/>
        </w:rPr>
        <w:t>El-Enbaawy, MI., Saad, MM., Selim, SA., 2005. Humoral and cellular immune responses of a murine model against Corynebacterium pseudotuberculosis antigens. Egypt. J. Immunol. 12,</w:t>
      </w:r>
      <w:r>
        <w:rPr>
          <w:spacing w:val="-20"/>
          <w:sz w:val="24"/>
        </w:rPr>
        <w:t> </w:t>
      </w:r>
      <w:r>
        <w:rPr>
          <w:sz w:val="24"/>
        </w:rPr>
        <w:t>13-19.</w:t>
      </w:r>
    </w:p>
    <w:p>
      <w:pPr>
        <w:pStyle w:val="ListParagraph"/>
        <w:numPr>
          <w:ilvl w:val="1"/>
          <w:numId w:val="5"/>
        </w:numPr>
        <w:tabs>
          <w:tab w:pos="861" w:val="left" w:leader="none"/>
        </w:tabs>
        <w:spacing w:line="242" w:lineRule="auto" w:before="199" w:after="0"/>
        <w:ind w:left="872" w:right="115" w:hanging="360"/>
        <w:jc w:val="both"/>
        <w:rPr>
          <w:sz w:val="24"/>
        </w:rPr>
      </w:pPr>
      <w:r>
        <w:rPr>
          <w:sz w:val="24"/>
        </w:rPr>
        <w:t>Ellis, JA., 1988. Immunophenotype of pulmonary cellular infiltrates in sheep with visceral caseous lymphadenitis. Vet. Pathol. 23,</w:t>
      </w:r>
      <w:r>
        <w:rPr>
          <w:spacing w:val="-17"/>
          <w:sz w:val="24"/>
        </w:rPr>
        <w:t> </w:t>
      </w:r>
      <w:r>
        <w:rPr>
          <w:sz w:val="24"/>
        </w:rPr>
        <w:t>362-368.</w:t>
      </w:r>
    </w:p>
    <w:p>
      <w:pPr>
        <w:pStyle w:val="ListParagraph"/>
        <w:numPr>
          <w:ilvl w:val="1"/>
          <w:numId w:val="5"/>
        </w:numPr>
        <w:tabs>
          <w:tab w:pos="861" w:val="left" w:leader="none"/>
        </w:tabs>
        <w:spacing w:line="242" w:lineRule="auto" w:before="194" w:after="0"/>
        <w:ind w:left="872" w:right="108" w:hanging="360"/>
        <w:jc w:val="both"/>
        <w:rPr>
          <w:sz w:val="24"/>
        </w:rPr>
      </w:pPr>
      <w:r>
        <w:rPr>
          <w:sz w:val="24"/>
        </w:rPr>
        <w:t>Ellis, JA., Campos, M., Snyder, M., Chelak, B., Haines, DM., 1995. Local production of tumor necrosis factor-alpha in corynebacterial pulmonary lesions in sheep. Vet. Pathol. 32,</w:t>
      </w:r>
      <w:r>
        <w:rPr>
          <w:spacing w:val="-12"/>
          <w:sz w:val="24"/>
        </w:rPr>
        <w:t> </w:t>
      </w:r>
      <w:r>
        <w:rPr>
          <w:sz w:val="24"/>
        </w:rPr>
        <w:t>68-71.</w:t>
      </w:r>
    </w:p>
    <w:p>
      <w:pPr>
        <w:pStyle w:val="ListParagraph"/>
        <w:numPr>
          <w:ilvl w:val="1"/>
          <w:numId w:val="5"/>
        </w:numPr>
        <w:tabs>
          <w:tab w:pos="861" w:val="left" w:leader="none"/>
        </w:tabs>
        <w:spacing w:line="240" w:lineRule="auto" w:before="194" w:after="0"/>
        <w:ind w:left="872" w:right="104" w:hanging="360"/>
        <w:jc w:val="both"/>
        <w:rPr>
          <w:sz w:val="24"/>
        </w:rPr>
      </w:pPr>
      <w:r>
        <w:rPr>
          <w:sz w:val="24"/>
        </w:rPr>
        <w:t>Funke, G., Von, Graevenitz., Clarridge, A., JE and Bernard, KA., 1997. Clinical Microbiology of Coryneform bacteria. Clin. Microbiol. Rev. 10, 125- 159.</w:t>
      </w:r>
    </w:p>
    <w:p>
      <w:pPr>
        <w:pStyle w:val="ListParagraph"/>
        <w:numPr>
          <w:ilvl w:val="1"/>
          <w:numId w:val="5"/>
        </w:numPr>
        <w:tabs>
          <w:tab w:pos="861" w:val="left" w:leader="none"/>
        </w:tabs>
        <w:spacing w:line="240" w:lineRule="auto" w:before="199" w:after="0"/>
        <w:ind w:left="872" w:right="109" w:hanging="360"/>
        <w:jc w:val="both"/>
        <w:rPr>
          <w:sz w:val="24"/>
        </w:rPr>
      </w:pPr>
      <w:r>
        <w:rPr>
          <w:sz w:val="24"/>
        </w:rPr>
        <w:t>González, C., Jorge, MC., Zeballos, H., West, M., Mateos, E., Yotti, C., 1991. Actualización y estudio de situación de la Linfoadenitis caseosa de  los lanares en el partido de Tandil. Veterinaria Argentina. 3(75),</w:t>
      </w:r>
      <w:r>
        <w:rPr>
          <w:spacing w:val="-26"/>
          <w:sz w:val="24"/>
        </w:rPr>
        <w:t> </w:t>
      </w:r>
      <w:r>
        <w:rPr>
          <w:sz w:val="24"/>
        </w:rPr>
        <w:t>304-310.</w:t>
      </w:r>
    </w:p>
    <w:p>
      <w:pPr>
        <w:spacing w:after="0" w:line="240" w:lineRule="auto"/>
        <w:jc w:val="both"/>
        <w:rPr>
          <w:sz w:val="24"/>
        </w:rPr>
        <w:sectPr>
          <w:footerReference w:type="default" r:id="rId39"/>
          <w:pgSz w:w="12240" w:h="15840"/>
          <w:pgMar w:footer="1386" w:header="0" w:top="1500" w:bottom="1580" w:left="1720" w:right="1420"/>
          <w:pgNumType w:start="61"/>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03" w:hanging="360"/>
        <w:jc w:val="both"/>
        <w:rPr>
          <w:sz w:val="24"/>
        </w:rPr>
      </w:pPr>
      <w:r>
        <w:rPr>
          <w:sz w:val="24"/>
        </w:rPr>
        <w:t>Groman, N., Schiller, J., Russell, J., 1984. Corynebacterium ulcerans and Corynebacterium pseudotuberculosis responses to DNA probes derived from corynephage and Corynebacterium diphtheria. Infect. Immun. 45, 511– 517.</w:t>
      </w:r>
    </w:p>
    <w:p>
      <w:pPr>
        <w:pStyle w:val="ListParagraph"/>
        <w:numPr>
          <w:ilvl w:val="1"/>
          <w:numId w:val="5"/>
        </w:numPr>
        <w:tabs>
          <w:tab w:pos="861" w:val="left" w:leader="none"/>
        </w:tabs>
        <w:spacing w:line="240" w:lineRule="auto" w:before="197" w:after="0"/>
        <w:ind w:left="872" w:right="109" w:hanging="360"/>
        <w:jc w:val="both"/>
        <w:rPr>
          <w:sz w:val="24"/>
        </w:rPr>
      </w:pPr>
      <w:r>
        <w:rPr>
          <w:sz w:val="24"/>
        </w:rPr>
        <w:t>Hodgson, ALM., Carter, K., Tachedjian, M., Krywult, J., Corner, LA., McCollMand, CA.1999. Efficacy of an ovine caseous lymphadenitis vaccine formulated using a genetically inactive form of the Corynebacterium pseudotuberculosis Phospholipase D. Vaccine. 17,</w:t>
      </w:r>
      <w:r>
        <w:rPr>
          <w:spacing w:val="-17"/>
          <w:sz w:val="24"/>
        </w:rPr>
        <w:t> </w:t>
      </w:r>
      <w:r>
        <w:rPr>
          <w:sz w:val="24"/>
        </w:rPr>
        <w:t>802-808.</w:t>
      </w:r>
    </w:p>
    <w:p>
      <w:pPr>
        <w:pStyle w:val="ListParagraph"/>
        <w:numPr>
          <w:ilvl w:val="1"/>
          <w:numId w:val="5"/>
        </w:numPr>
        <w:tabs>
          <w:tab w:pos="873" w:val="left" w:leader="none"/>
        </w:tabs>
        <w:spacing w:line="240" w:lineRule="auto" w:before="197" w:after="0"/>
        <w:ind w:left="872" w:right="110" w:hanging="360"/>
        <w:jc w:val="both"/>
        <w:rPr>
          <w:sz w:val="24"/>
        </w:rPr>
      </w:pPr>
      <w:r>
        <w:rPr>
          <w:sz w:val="24"/>
        </w:rPr>
        <w:t>Hoelzle, Ludwig E., Tanja, Scherrer., Jeanette, Muntwyler., Max, M Wittenbrink., Werner Philipp., Katharina, Hoelzle., 2013. Differences in the antigen structures of Corynebacterium pseudotuberculosis and the induced humoral immune response in sheep and goats.  Veterinary Microbiology. 164,</w:t>
      </w:r>
      <w:r>
        <w:rPr>
          <w:spacing w:val="-5"/>
          <w:sz w:val="24"/>
        </w:rPr>
        <w:t> </w:t>
      </w:r>
      <w:r>
        <w:rPr>
          <w:sz w:val="24"/>
        </w:rPr>
        <w:t>359–365.</w:t>
      </w:r>
    </w:p>
    <w:p>
      <w:pPr>
        <w:pStyle w:val="BodyText"/>
      </w:pPr>
    </w:p>
    <w:p>
      <w:pPr>
        <w:pStyle w:val="ListParagraph"/>
        <w:numPr>
          <w:ilvl w:val="1"/>
          <w:numId w:val="5"/>
        </w:numPr>
        <w:tabs>
          <w:tab w:pos="861" w:val="left" w:leader="none"/>
        </w:tabs>
        <w:spacing w:line="240" w:lineRule="auto" w:before="0" w:after="0"/>
        <w:ind w:left="872" w:right="110" w:hanging="360"/>
        <w:jc w:val="both"/>
        <w:rPr>
          <w:sz w:val="24"/>
        </w:rPr>
      </w:pPr>
      <w:r>
        <w:rPr>
          <w:sz w:val="24"/>
        </w:rPr>
        <w:t>Hommez, J., Devriese, LA., Vaneechoutte, M., Riegel, P., Butaye, P., Haesebrouck.F 1999. Identification of nonlipophilic corynebacteria isolated from dairy cows with mastitis. J. Clin. Microbiol. 37,</w:t>
      </w:r>
      <w:r>
        <w:rPr>
          <w:spacing w:val="-13"/>
          <w:sz w:val="24"/>
        </w:rPr>
        <w:t> </w:t>
      </w:r>
      <w:r>
        <w:rPr>
          <w:sz w:val="24"/>
        </w:rPr>
        <w:t>954-957</w:t>
      </w:r>
    </w:p>
    <w:p>
      <w:pPr>
        <w:pStyle w:val="ListParagraph"/>
        <w:numPr>
          <w:ilvl w:val="1"/>
          <w:numId w:val="5"/>
        </w:numPr>
        <w:tabs>
          <w:tab w:pos="861" w:val="left" w:leader="none"/>
        </w:tabs>
        <w:spacing w:line="240" w:lineRule="auto" w:before="199" w:after="0"/>
        <w:ind w:left="872" w:right="106" w:hanging="360"/>
        <w:jc w:val="both"/>
        <w:rPr>
          <w:sz w:val="24"/>
        </w:rPr>
      </w:pPr>
      <w:r>
        <w:rPr>
          <w:sz w:val="24"/>
        </w:rPr>
        <w:t>Hou, XG., Kawamura, Y., Sultana, F., Hirose, K., Miyake, M., Otsuka, Y., Misawa, S., Oguri, T., Yamamoto, H., Ezaki, T., 1997. Genetic identification of members of the genus Corynebacterium at genus and species levels with 16S rDNA-targeted probes. Microbiol. Immuno. 41,</w:t>
      </w:r>
      <w:r>
        <w:rPr>
          <w:spacing w:val="-19"/>
          <w:sz w:val="24"/>
        </w:rPr>
        <w:t> </w:t>
      </w:r>
      <w:r>
        <w:rPr>
          <w:sz w:val="24"/>
        </w:rPr>
        <w:t>453–460.</w:t>
      </w:r>
    </w:p>
    <w:p>
      <w:pPr>
        <w:pStyle w:val="ListParagraph"/>
        <w:numPr>
          <w:ilvl w:val="1"/>
          <w:numId w:val="5"/>
        </w:numPr>
        <w:tabs>
          <w:tab w:pos="861" w:val="left" w:leader="none"/>
        </w:tabs>
        <w:spacing w:line="240" w:lineRule="auto" w:before="197" w:after="0"/>
        <w:ind w:left="872" w:right="104" w:hanging="360"/>
        <w:jc w:val="both"/>
        <w:rPr>
          <w:sz w:val="24"/>
        </w:rPr>
      </w:pPr>
      <w:r>
        <w:rPr>
          <w:sz w:val="24"/>
        </w:rPr>
        <w:t>Huerta, Belén., Lidia, Gómez-Gascón., Ana, I Vela., José, F Fernández- Garayzábal., Almudena, Casamayor., Carmen, Tarradas., Alfonso, Maldonado., 2013. Comparison of two biochemical methods for identifying Corynebacterium pseudotuberculosis isolated from sheep and goats. The Veterinary Journal. 196,</w:t>
      </w:r>
      <w:r>
        <w:rPr>
          <w:spacing w:val="-13"/>
          <w:sz w:val="24"/>
        </w:rPr>
        <w:t> </w:t>
      </w:r>
      <w:r>
        <w:rPr>
          <w:sz w:val="24"/>
        </w:rPr>
        <w:t>552–554.</w:t>
      </w:r>
    </w:p>
    <w:p>
      <w:pPr>
        <w:pStyle w:val="ListParagraph"/>
        <w:numPr>
          <w:ilvl w:val="1"/>
          <w:numId w:val="5"/>
        </w:numPr>
        <w:tabs>
          <w:tab w:pos="861" w:val="left" w:leader="none"/>
        </w:tabs>
        <w:spacing w:line="240" w:lineRule="auto" w:before="197" w:after="0"/>
        <w:ind w:left="872" w:right="104" w:hanging="360"/>
        <w:jc w:val="both"/>
        <w:rPr>
          <w:sz w:val="24"/>
        </w:rPr>
      </w:pPr>
      <w:r>
        <w:rPr>
          <w:sz w:val="24"/>
        </w:rPr>
        <w:t>Irwin, MR., Knight, HD., 1975. Enhanced resistance to Corynebacterium pseudotuberculosis infections associated with reduced serum immunoglobulin levels in levamisole-treated mice. Infect. Immun. 12, 1098- 1103.</w:t>
      </w:r>
    </w:p>
    <w:p>
      <w:pPr>
        <w:pStyle w:val="ListParagraph"/>
        <w:numPr>
          <w:ilvl w:val="1"/>
          <w:numId w:val="5"/>
        </w:numPr>
        <w:tabs>
          <w:tab w:pos="861" w:val="left" w:leader="none"/>
        </w:tabs>
        <w:spacing w:line="240" w:lineRule="auto" w:before="200" w:after="0"/>
        <w:ind w:left="872" w:right="110" w:hanging="360"/>
        <w:jc w:val="both"/>
        <w:rPr>
          <w:sz w:val="24"/>
        </w:rPr>
      </w:pPr>
      <w:r>
        <w:rPr>
          <w:sz w:val="24"/>
        </w:rPr>
        <w:t>Join-Lambert, OF., Ouache, M., Canioni, D., Beretti, JL., Blanche, S., Berche, P., Kyal, S., 2006. Corynebacterium pseudotuberculosis necrotizing lymphadenitis in a twelve-year-old patient. The Pediatric Infectious Disease Journal. 25, 848-</w:t>
      </w:r>
      <w:r>
        <w:rPr>
          <w:spacing w:val="-6"/>
          <w:sz w:val="24"/>
        </w:rPr>
        <w:t> </w:t>
      </w:r>
      <w:r>
        <w:rPr>
          <w:sz w:val="24"/>
        </w:rPr>
        <w:t>851.</w:t>
      </w:r>
    </w:p>
    <w:p>
      <w:pPr>
        <w:pStyle w:val="ListParagraph"/>
        <w:numPr>
          <w:ilvl w:val="1"/>
          <w:numId w:val="5"/>
        </w:numPr>
        <w:tabs>
          <w:tab w:pos="861" w:val="left" w:leader="none"/>
        </w:tabs>
        <w:spacing w:line="240" w:lineRule="auto" w:before="197" w:after="0"/>
        <w:ind w:left="872" w:right="107" w:hanging="360"/>
        <w:jc w:val="both"/>
        <w:rPr>
          <w:sz w:val="24"/>
        </w:rPr>
      </w:pPr>
      <w:r>
        <w:rPr>
          <w:sz w:val="24"/>
        </w:rPr>
        <w:t>Jones, D., Collins, MD., 1986. Irregular, nonsporing Gram-positive rods, in: Smeath P.H.A., Mair N.S., Sharpe M.E., Holt J.G. (Eds.), Bergey’s manual  of systematic bacteriology, Williams and Wilkins,</w:t>
      </w:r>
      <w:r>
        <w:rPr>
          <w:spacing w:val="-22"/>
          <w:sz w:val="24"/>
        </w:rPr>
        <w:t> </w:t>
      </w:r>
      <w:r>
        <w:rPr>
          <w:sz w:val="24"/>
        </w:rPr>
        <w:t>Baltimore.1261–1282.</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04" w:hanging="360"/>
        <w:jc w:val="both"/>
        <w:rPr>
          <w:sz w:val="24"/>
        </w:rPr>
      </w:pPr>
      <w:r>
        <w:rPr>
          <w:sz w:val="24"/>
        </w:rPr>
        <w:t>Judson, R., Songer, JG., 1991. Corynebacterium pseudotuberculosis in vitro susceptibility to 39 antimicrobial agents. Veterinary Microbiology. 27,    </w:t>
      </w:r>
      <w:r>
        <w:rPr>
          <w:spacing w:val="3"/>
          <w:sz w:val="24"/>
        </w:rPr>
        <w:t> </w:t>
      </w:r>
      <w:r>
        <w:rPr>
          <w:spacing w:val="2"/>
          <w:sz w:val="24"/>
        </w:rPr>
        <w:t>145-</w:t>
      </w:r>
    </w:p>
    <w:p>
      <w:pPr>
        <w:pStyle w:val="BodyText"/>
        <w:spacing w:before="2"/>
        <w:ind w:left="872"/>
      </w:pPr>
      <w:r>
        <w:rPr/>
        <w:t>50.</w:t>
      </w:r>
    </w:p>
    <w:p>
      <w:pPr>
        <w:pStyle w:val="ListParagraph"/>
        <w:numPr>
          <w:ilvl w:val="1"/>
          <w:numId w:val="5"/>
        </w:numPr>
        <w:tabs>
          <w:tab w:pos="861" w:val="left" w:leader="none"/>
        </w:tabs>
        <w:spacing w:line="240" w:lineRule="auto" w:before="197" w:after="0"/>
        <w:ind w:left="872" w:right="114" w:hanging="360"/>
        <w:jc w:val="both"/>
        <w:rPr>
          <w:sz w:val="24"/>
        </w:rPr>
      </w:pPr>
      <w:r>
        <w:rPr>
          <w:sz w:val="24"/>
        </w:rPr>
        <w:t>Kaba, J., Kutschke, l., Gerlach, GF. 2001. Development of an ELISA for the diagnosis of Corynebacterium pseudotuberculosis infections in goats. Vet. Microbio. 78 (2),</w:t>
      </w:r>
      <w:r>
        <w:rPr>
          <w:spacing w:val="-8"/>
          <w:sz w:val="24"/>
        </w:rPr>
        <w:t> </w:t>
      </w:r>
      <w:r>
        <w:rPr>
          <w:sz w:val="24"/>
        </w:rPr>
        <w:t>155-63.</w:t>
      </w:r>
    </w:p>
    <w:p>
      <w:pPr>
        <w:pStyle w:val="ListParagraph"/>
        <w:numPr>
          <w:ilvl w:val="1"/>
          <w:numId w:val="5"/>
        </w:numPr>
        <w:tabs>
          <w:tab w:pos="861" w:val="left" w:leader="none"/>
        </w:tabs>
        <w:spacing w:line="242" w:lineRule="auto" w:before="197" w:after="0"/>
        <w:ind w:left="872" w:right="113" w:hanging="360"/>
        <w:jc w:val="both"/>
        <w:rPr>
          <w:sz w:val="24"/>
        </w:rPr>
      </w:pPr>
      <w:r>
        <w:rPr>
          <w:sz w:val="24"/>
        </w:rPr>
        <w:t>Khamis, A., Raoult, D., La Scola, B., 2004. rpoB gene sequencing for identification of Corynebacterium species. J. Clin. Microbiol. 42,</w:t>
      </w:r>
      <w:r>
        <w:rPr>
          <w:spacing w:val="-20"/>
          <w:sz w:val="24"/>
        </w:rPr>
        <w:t> </w:t>
      </w:r>
      <w:r>
        <w:rPr>
          <w:sz w:val="24"/>
        </w:rPr>
        <w:t>3925-31.</w:t>
      </w:r>
    </w:p>
    <w:p>
      <w:pPr>
        <w:pStyle w:val="ListParagraph"/>
        <w:numPr>
          <w:ilvl w:val="1"/>
          <w:numId w:val="5"/>
        </w:numPr>
        <w:tabs>
          <w:tab w:pos="861" w:val="left" w:leader="none"/>
        </w:tabs>
        <w:spacing w:line="240" w:lineRule="auto" w:before="197" w:after="0"/>
        <w:ind w:left="872" w:right="109" w:hanging="360"/>
        <w:jc w:val="both"/>
        <w:rPr>
          <w:sz w:val="24"/>
        </w:rPr>
      </w:pPr>
      <w:r>
        <w:rPr>
          <w:sz w:val="24"/>
        </w:rPr>
        <w:t>Khamis, A., Raoult, D., La Scola, B., 2005. Comparison between rpoB and 16S rRNA gene sequencing for molecular identification of 168 clinical isolates of Corynebacterium. J. Clin. Microbiol. 43,</w:t>
      </w:r>
      <w:r>
        <w:rPr>
          <w:spacing w:val="-18"/>
          <w:sz w:val="24"/>
        </w:rPr>
        <w:t> </w:t>
      </w:r>
      <w:r>
        <w:rPr>
          <w:sz w:val="24"/>
        </w:rPr>
        <w:t>1934-6.</w:t>
      </w:r>
    </w:p>
    <w:p>
      <w:pPr>
        <w:pStyle w:val="ListParagraph"/>
        <w:numPr>
          <w:ilvl w:val="1"/>
          <w:numId w:val="5"/>
        </w:numPr>
        <w:tabs>
          <w:tab w:pos="861" w:val="left" w:leader="none"/>
        </w:tabs>
        <w:spacing w:line="240" w:lineRule="auto" w:before="197" w:after="0"/>
        <w:ind w:left="872" w:right="103" w:hanging="360"/>
        <w:jc w:val="both"/>
        <w:rPr>
          <w:sz w:val="24"/>
        </w:rPr>
      </w:pPr>
      <w:r>
        <w:rPr>
          <w:sz w:val="24"/>
        </w:rPr>
        <w:t>Laak, EA., Bosch, J., Bijl, CG., Schreuder, BEC., 1992. Double-antibody sandwich enzyme-linked immunosorbent assay and immunoblot analysis used for control of caseous lymphadenitis in goats and sheep. American Journal of Veterinary Research. 53(7),</w:t>
      </w:r>
      <w:r>
        <w:rPr>
          <w:spacing w:val="-14"/>
          <w:sz w:val="24"/>
        </w:rPr>
        <w:t> </w:t>
      </w:r>
      <w:r>
        <w:rPr>
          <w:sz w:val="24"/>
        </w:rPr>
        <w:t>1125-1132.</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Lan, DT., Taniguchi, S., Makino, S., Shirahata, T., Nakane, A., 1998. Role of endogenous tumor necrosis factor alpha and gamma interferon in resistance to Corynebacterium pseudotuberculosis infection in mice. Microbiol. Immunol. 42,</w:t>
      </w:r>
      <w:r>
        <w:rPr>
          <w:spacing w:val="-5"/>
          <w:sz w:val="24"/>
        </w:rPr>
        <w:t> </w:t>
      </w:r>
      <w:r>
        <w:rPr>
          <w:sz w:val="24"/>
        </w:rPr>
        <w:t>863-870.</w:t>
      </w:r>
    </w:p>
    <w:p>
      <w:pPr>
        <w:pStyle w:val="ListParagraph"/>
        <w:numPr>
          <w:ilvl w:val="1"/>
          <w:numId w:val="5"/>
        </w:numPr>
        <w:tabs>
          <w:tab w:pos="861" w:val="left" w:leader="none"/>
        </w:tabs>
        <w:spacing w:line="240" w:lineRule="auto" w:before="199" w:after="0"/>
        <w:ind w:left="872" w:right="107" w:hanging="360"/>
        <w:jc w:val="both"/>
        <w:rPr>
          <w:sz w:val="24"/>
        </w:rPr>
      </w:pPr>
      <w:r>
        <w:rPr>
          <w:sz w:val="24"/>
        </w:rPr>
        <w:t>Langenegger, H., Langenegger, J., Scherer, P.O., 1991. Prevalencia e diagnóstico comparativo da linfadenite caseosa em caprinos do estado do Rio de Janeiro. Pesquise Veterinaria Brasileira. 7 1/2,</w:t>
      </w:r>
      <w:r>
        <w:rPr>
          <w:spacing w:val="-22"/>
          <w:sz w:val="24"/>
        </w:rPr>
        <w:t> </w:t>
      </w:r>
      <w:r>
        <w:rPr>
          <w:sz w:val="24"/>
        </w:rPr>
        <w:t>1-7.</w:t>
      </w:r>
    </w:p>
    <w:p>
      <w:pPr>
        <w:pStyle w:val="ListParagraph"/>
        <w:numPr>
          <w:ilvl w:val="1"/>
          <w:numId w:val="5"/>
        </w:numPr>
        <w:tabs>
          <w:tab w:pos="861" w:val="left" w:leader="none"/>
        </w:tabs>
        <w:spacing w:line="240" w:lineRule="auto" w:before="197" w:after="0"/>
        <w:ind w:left="872" w:right="108" w:hanging="360"/>
        <w:jc w:val="both"/>
        <w:rPr>
          <w:sz w:val="24"/>
        </w:rPr>
      </w:pPr>
      <w:r>
        <w:rPr>
          <w:sz w:val="24"/>
        </w:rPr>
        <w:t>Leardini, N., Prieto, M., Martinez, C., Aguerre, I., Loaysa, R., 2002. Infecciones por Bacilos Gram Positivos Aeróbicos, Corinebacterias, Bacillus y Actinomycetes. En Curso A.N.L.I.S. "Dr Carlos Malbrán. Departamento de Bacteriología, Servicio de Bacteriología</w:t>
      </w:r>
      <w:r>
        <w:rPr>
          <w:spacing w:val="-19"/>
          <w:sz w:val="24"/>
        </w:rPr>
        <w:t> </w:t>
      </w:r>
      <w:r>
        <w:rPr>
          <w:sz w:val="24"/>
        </w:rPr>
        <w:t>Especial.</w:t>
      </w:r>
    </w:p>
    <w:p>
      <w:pPr>
        <w:pStyle w:val="ListParagraph"/>
        <w:numPr>
          <w:ilvl w:val="1"/>
          <w:numId w:val="5"/>
        </w:numPr>
        <w:tabs>
          <w:tab w:pos="861" w:val="left" w:leader="none"/>
        </w:tabs>
        <w:spacing w:line="240" w:lineRule="auto" w:before="197" w:after="0"/>
        <w:ind w:left="860" w:right="0" w:hanging="348"/>
        <w:jc w:val="left"/>
        <w:rPr>
          <w:sz w:val="24"/>
        </w:rPr>
      </w:pPr>
      <w:r>
        <w:rPr>
          <w:sz w:val="24"/>
        </w:rPr>
        <w:t>León,</w:t>
      </w:r>
      <w:r>
        <w:rPr>
          <w:spacing w:val="48"/>
          <w:sz w:val="24"/>
        </w:rPr>
        <w:t> </w:t>
      </w:r>
      <w:r>
        <w:rPr>
          <w:sz w:val="24"/>
        </w:rPr>
        <w:t>l.,</w:t>
      </w:r>
      <w:r>
        <w:rPr>
          <w:spacing w:val="46"/>
          <w:sz w:val="24"/>
        </w:rPr>
        <w:t> </w:t>
      </w:r>
      <w:r>
        <w:rPr>
          <w:sz w:val="24"/>
        </w:rPr>
        <w:t>Garrido,</w:t>
      </w:r>
      <w:r>
        <w:rPr>
          <w:spacing w:val="46"/>
          <w:sz w:val="24"/>
        </w:rPr>
        <w:t> </w:t>
      </w:r>
      <w:r>
        <w:rPr>
          <w:sz w:val="24"/>
        </w:rPr>
        <w:t>F.,</w:t>
      </w:r>
      <w:r>
        <w:rPr>
          <w:spacing w:val="43"/>
          <w:sz w:val="24"/>
        </w:rPr>
        <w:t> </w:t>
      </w:r>
      <w:r>
        <w:rPr>
          <w:sz w:val="24"/>
        </w:rPr>
        <w:t>Gonzalez,</w:t>
      </w:r>
      <w:r>
        <w:rPr>
          <w:spacing w:val="52"/>
          <w:sz w:val="24"/>
        </w:rPr>
        <w:t> </w:t>
      </w:r>
      <w:r>
        <w:rPr>
          <w:sz w:val="24"/>
        </w:rPr>
        <w:t>Candela.,</w:t>
      </w:r>
      <w:r>
        <w:rPr>
          <w:spacing w:val="46"/>
          <w:sz w:val="24"/>
        </w:rPr>
        <w:t> </w:t>
      </w:r>
      <w:r>
        <w:rPr>
          <w:sz w:val="24"/>
        </w:rPr>
        <w:t>Cubero,</w:t>
      </w:r>
      <w:r>
        <w:rPr>
          <w:spacing w:val="46"/>
          <w:sz w:val="24"/>
        </w:rPr>
        <w:t> </w:t>
      </w:r>
      <w:r>
        <w:rPr>
          <w:sz w:val="24"/>
        </w:rPr>
        <w:t>M.,</w:t>
      </w:r>
      <w:r>
        <w:rPr>
          <w:spacing w:val="48"/>
          <w:sz w:val="24"/>
        </w:rPr>
        <w:t> </w:t>
      </w:r>
      <w:r>
        <w:rPr>
          <w:sz w:val="24"/>
        </w:rPr>
        <w:t>Pablo,</w:t>
      </w:r>
      <w:r>
        <w:rPr>
          <w:spacing w:val="48"/>
          <w:sz w:val="24"/>
        </w:rPr>
        <w:t> </w:t>
      </w:r>
      <w:r>
        <w:rPr>
          <w:sz w:val="24"/>
        </w:rPr>
        <w:t>MJ.,</w:t>
      </w:r>
      <w:r>
        <w:rPr>
          <w:spacing w:val="48"/>
          <w:sz w:val="24"/>
        </w:rPr>
        <w:t> </w:t>
      </w:r>
      <w:r>
        <w:rPr>
          <w:sz w:val="24"/>
        </w:rPr>
        <w:t>2002.</w:t>
      </w:r>
    </w:p>
    <w:p>
      <w:pPr>
        <w:pStyle w:val="BodyText"/>
        <w:spacing w:before="2"/>
        <w:ind w:left="872"/>
      </w:pPr>
      <w:r>
        <w:rPr/>
        <w:t>Anatomía patológica de la pseudotuberculosis. Rev. Ovis.</w:t>
      </w:r>
    </w:p>
    <w:p>
      <w:pPr>
        <w:pStyle w:val="ListParagraph"/>
        <w:numPr>
          <w:ilvl w:val="1"/>
          <w:numId w:val="5"/>
        </w:numPr>
        <w:tabs>
          <w:tab w:pos="861" w:val="left" w:leader="none"/>
        </w:tabs>
        <w:spacing w:line="242" w:lineRule="auto" w:before="200" w:after="0"/>
        <w:ind w:left="872" w:right="114" w:hanging="360"/>
        <w:jc w:val="both"/>
        <w:rPr>
          <w:sz w:val="24"/>
        </w:rPr>
      </w:pPr>
      <w:r>
        <w:rPr>
          <w:sz w:val="24"/>
        </w:rPr>
        <w:t>Lipsky, BA., Goldberger, AC., Tompkins, IS., Plorde, JS., 1982. Infections caused by nondiphtheria corynebacteria. Rev. Infect. Dis. 4,</w:t>
      </w:r>
      <w:r>
        <w:rPr>
          <w:spacing w:val="-23"/>
          <w:sz w:val="24"/>
        </w:rPr>
        <w:t> </w:t>
      </w:r>
      <w:r>
        <w:rPr>
          <w:sz w:val="24"/>
        </w:rPr>
        <w:t>1220-1235.</w:t>
      </w:r>
    </w:p>
    <w:p>
      <w:pPr>
        <w:pStyle w:val="ListParagraph"/>
        <w:numPr>
          <w:ilvl w:val="1"/>
          <w:numId w:val="5"/>
        </w:numPr>
        <w:tabs>
          <w:tab w:pos="861" w:val="left" w:leader="none"/>
        </w:tabs>
        <w:spacing w:line="240" w:lineRule="auto" w:before="194" w:after="0"/>
        <w:ind w:left="872" w:right="113" w:hanging="360"/>
        <w:jc w:val="both"/>
        <w:rPr>
          <w:sz w:val="24"/>
        </w:rPr>
      </w:pPr>
      <w:r>
        <w:rPr>
          <w:sz w:val="24"/>
        </w:rPr>
        <w:t>Literak, I., Horvathova, A., Jahnova, M., Rychlik, I, Skalka, B. 1999. Phenotype and genotype characteristics oí the Slovak and Czech Corynebacterium pseudotuberculosis strains isolated from sheep and goats. Small Ruminant Res. 32,</w:t>
      </w:r>
      <w:r>
        <w:rPr>
          <w:spacing w:val="-10"/>
          <w:sz w:val="24"/>
        </w:rPr>
        <w:t> </w:t>
      </w:r>
      <w:r>
        <w:rPr>
          <w:sz w:val="24"/>
        </w:rPr>
        <w:t>107-111.</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Lopes, Bastos., Wagner, R., Dias, P., Dorella, FA., Ribeiro, D., Seyffert, N., Castro,  TLP.,  Miyoshi,  A.,  Costa,  S.,  Meyer,  R.,  Azevedo,  V.,     </w:t>
      </w:r>
      <w:r>
        <w:rPr>
          <w:spacing w:val="47"/>
          <w:sz w:val="24"/>
        </w:rPr>
        <w:t> </w:t>
      </w:r>
      <w:r>
        <w:rPr>
          <w:sz w:val="24"/>
        </w:rPr>
        <w:t>2012.</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BodyText"/>
        <w:spacing w:line="242" w:lineRule="auto" w:before="69"/>
        <w:ind w:left="872"/>
      </w:pPr>
      <w:r>
        <w:rPr/>
        <w:t>Corynebacterium pseudotuberculosis: Immunological Responses in Animal Models and Zoonotic Potential. J. Clin. Cell. Immunol. S4.</w:t>
      </w:r>
    </w:p>
    <w:p>
      <w:pPr>
        <w:pStyle w:val="ListParagraph"/>
        <w:numPr>
          <w:ilvl w:val="1"/>
          <w:numId w:val="5"/>
        </w:numPr>
        <w:tabs>
          <w:tab w:pos="861" w:val="left" w:leader="none"/>
        </w:tabs>
        <w:spacing w:line="240" w:lineRule="auto" w:before="194" w:after="0"/>
        <w:ind w:left="872" w:right="114" w:hanging="360"/>
        <w:jc w:val="both"/>
        <w:rPr>
          <w:sz w:val="24"/>
        </w:rPr>
      </w:pPr>
      <w:r>
        <w:rPr>
          <w:sz w:val="24"/>
        </w:rPr>
        <w:t>Malone, FE., Fee, SA., Kamp, EM., King, DC., Baird, GJ., O'Reilly, KM., Murdock, FEA., 2006. A serological investigation of caseous lymphadenitis in four flocks of sheep. Irish Veterinary Journal. 59,</w:t>
      </w:r>
      <w:r>
        <w:rPr>
          <w:spacing w:val="-18"/>
          <w:sz w:val="24"/>
        </w:rPr>
        <w:t> </w:t>
      </w:r>
      <w:r>
        <w:rPr>
          <w:sz w:val="24"/>
        </w:rPr>
        <w:t>19-21.</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Menzies, PI., Muckle, CA. 1989. The use oí a microagglutination assay for the detection of antibodies to Corynebacterium pseudotuberculosis in naturally infected sheep and goat flocks. Can. J. Vet. Res. 53(3),</w:t>
      </w:r>
      <w:r>
        <w:rPr>
          <w:spacing w:val="-17"/>
          <w:sz w:val="24"/>
        </w:rPr>
        <w:t> </w:t>
      </w:r>
      <w:r>
        <w:rPr>
          <w:sz w:val="24"/>
        </w:rPr>
        <w:t>313-318.</w:t>
      </w:r>
    </w:p>
    <w:p>
      <w:pPr>
        <w:pStyle w:val="ListParagraph"/>
        <w:numPr>
          <w:ilvl w:val="1"/>
          <w:numId w:val="5"/>
        </w:numPr>
        <w:tabs>
          <w:tab w:pos="861" w:val="left" w:leader="none"/>
        </w:tabs>
        <w:spacing w:line="240" w:lineRule="auto" w:before="200" w:after="0"/>
        <w:ind w:left="860" w:right="0" w:hanging="348"/>
        <w:jc w:val="left"/>
        <w:rPr>
          <w:sz w:val="24"/>
        </w:rPr>
      </w:pPr>
      <w:r>
        <w:rPr>
          <w:sz w:val="24"/>
        </w:rPr>
        <w:t>Merchant, A., Parcker, RCA.,1980. Bacteriología y Virología Veterinaria</w:t>
      </w:r>
      <w:r>
        <w:rPr>
          <w:spacing w:val="28"/>
          <w:sz w:val="24"/>
        </w:rPr>
        <w:t> </w:t>
      </w:r>
      <w:r>
        <w:rPr>
          <w:sz w:val="24"/>
        </w:rPr>
        <w:t>3ra.</w:t>
      </w:r>
    </w:p>
    <w:p>
      <w:pPr>
        <w:pStyle w:val="BodyText"/>
        <w:spacing w:before="2"/>
        <w:ind w:left="872"/>
      </w:pPr>
      <w:r>
        <w:rPr/>
        <w:t>Edición. Acribia. Zaragoza.</w:t>
      </w:r>
    </w:p>
    <w:p>
      <w:pPr>
        <w:pStyle w:val="ListParagraph"/>
        <w:numPr>
          <w:ilvl w:val="1"/>
          <w:numId w:val="5"/>
        </w:numPr>
        <w:tabs>
          <w:tab w:pos="861" w:val="left" w:leader="none"/>
        </w:tabs>
        <w:spacing w:line="240" w:lineRule="auto" w:before="197" w:after="0"/>
        <w:ind w:left="872" w:right="114" w:hanging="360"/>
        <w:jc w:val="both"/>
        <w:rPr>
          <w:sz w:val="24"/>
        </w:rPr>
      </w:pPr>
      <w:r>
        <w:rPr>
          <w:sz w:val="24"/>
        </w:rPr>
        <w:t>Middleton, MJ., Epstein, VM., Gregory, GG., 1991. Caseous lymphadenitis on Flinder Island: prevalence and management surveys. Australian Veterinary Journal. 68 (9),</w:t>
      </w:r>
      <w:r>
        <w:rPr>
          <w:spacing w:val="-9"/>
          <w:sz w:val="24"/>
        </w:rPr>
        <w:t> </w:t>
      </w:r>
      <w:r>
        <w:rPr>
          <w:sz w:val="24"/>
        </w:rPr>
        <w:t>311-312.</w:t>
      </w:r>
    </w:p>
    <w:p>
      <w:pPr>
        <w:pStyle w:val="ListParagraph"/>
        <w:numPr>
          <w:ilvl w:val="1"/>
          <w:numId w:val="5"/>
        </w:numPr>
        <w:tabs>
          <w:tab w:pos="861" w:val="left" w:leader="none"/>
        </w:tabs>
        <w:spacing w:line="240" w:lineRule="auto" w:before="197" w:after="0"/>
        <w:ind w:left="872" w:right="105" w:hanging="360"/>
        <w:jc w:val="both"/>
        <w:rPr>
          <w:sz w:val="24"/>
        </w:rPr>
      </w:pPr>
      <w:r>
        <w:rPr>
          <w:sz w:val="24"/>
        </w:rPr>
        <w:t>Moller, K., Agerholm, JS., Ahrens, P., Jensen, NE., Nielsen, TK., 2000. Abscess disease, caseous lymphadenitis, and pulmonary adenomatosis in imported sheep. J. Vet. Med. B. 62,</w:t>
      </w:r>
      <w:r>
        <w:rPr>
          <w:spacing w:val="-16"/>
          <w:sz w:val="24"/>
        </w:rPr>
        <w:t> </w:t>
      </w:r>
      <w:r>
        <w:rPr>
          <w:sz w:val="24"/>
        </w:rPr>
        <w:t>55-62.</w:t>
      </w:r>
    </w:p>
    <w:p>
      <w:pPr>
        <w:pStyle w:val="ListParagraph"/>
        <w:numPr>
          <w:ilvl w:val="1"/>
          <w:numId w:val="5"/>
        </w:numPr>
        <w:tabs>
          <w:tab w:pos="861" w:val="left" w:leader="none"/>
        </w:tabs>
        <w:spacing w:line="242" w:lineRule="auto" w:before="199" w:after="0"/>
        <w:ind w:left="872" w:right="114" w:hanging="360"/>
        <w:jc w:val="both"/>
        <w:rPr>
          <w:sz w:val="24"/>
        </w:rPr>
      </w:pPr>
      <w:r>
        <w:rPr>
          <w:sz w:val="24"/>
        </w:rPr>
        <w:t>Muckle, C.A., Gyles, CL., 1982. Characterization of strains of Corynebacterium pseudotuberculosis. Canadian Journal of Comparative Medicine. 46,</w:t>
      </w:r>
      <w:r>
        <w:rPr>
          <w:spacing w:val="-9"/>
          <w:sz w:val="24"/>
        </w:rPr>
        <w:t> </w:t>
      </w:r>
      <w:r>
        <w:rPr>
          <w:sz w:val="24"/>
        </w:rPr>
        <w:t>206-208.</w:t>
      </w:r>
    </w:p>
    <w:p>
      <w:pPr>
        <w:pStyle w:val="ListParagraph"/>
        <w:numPr>
          <w:ilvl w:val="1"/>
          <w:numId w:val="5"/>
        </w:numPr>
        <w:tabs>
          <w:tab w:pos="861" w:val="left" w:leader="none"/>
        </w:tabs>
        <w:spacing w:line="240" w:lineRule="auto" w:before="194" w:after="0"/>
        <w:ind w:left="872" w:right="113" w:hanging="360"/>
        <w:jc w:val="both"/>
        <w:rPr>
          <w:sz w:val="24"/>
        </w:rPr>
      </w:pPr>
      <w:r>
        <w:rPr>
          <w:sz w:val="24"/>
        </w:rPr>
        <w:t>Nairn, ME., Robertson, JP., McQuade, NC., 1977. The control of caseous lymphadenitis in sheep by vacunation. Proceedings 54th Annual Conference of the Australian Veterinary Association.</w:t>
      </w:r>
      <w:r>
        <w:rPr>
          <w:spacing w:val="-17"/>
          <w:sz w:val="24"/>
        </w:rPr>
        <w:t> </w:t>
      </w:r>
      <w:r>
        <w:rPr>
          <w:sz w:val="24"/>
        </w:rPr>
        <w:t>159-161.</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Ochoa, UG., IJ, Deuces., LP, Martínez., BMR, Jiménez., RM, Pérez., 1996. “Aislamiento de agentes bacterianos a partir de exudados nasales en rebaños ovinos trashumantes de Xalatlaco México” Abstract de Libro Resúmenes del XV Congreso Panamericano de Ciencias Veterinarias. Brasil. PN9. 12909,</w:t>
      </w:r>
      <w:r>
        <w:rPr>
          <w:spacing w:val="-8"/>
          <w:sz w:val="24"/>
        </w:rPr>
        <w:t> </w:t>
      </w:r>
      <w:r>
        <w:rPr>
          <w:sz w:val="24"/>
        </w:rPr>
        <w:t>230.</w:t>
      </w:r>
    </w:p>
    <w:p>
      <w:pPr>
        <w:pStyle w:val="ListParagraph"/>
        <w:numPr>
          <w:ilvl w:val="1"/>
          <w:numId w:val="5"/>
        </w:numPr>
        <w:tabs>
          <w:tab w:pos="861" w:val="left" w:leader="none"/>
        </w:tabs>
        <w:spacing w:line="240" w:lineRule="auto" w:before="200" w:after="0"/>
        <w:ind w:left="872" w:right="109" w:hanging="360"/>
        <w:jc w:val="both"/>
        <w:rPr>
          <w:sz w:val="24"/>
        </w:rPr>
      </w:pPr>
      <w:r>
        <w:rPr>
          <w:sz w:val="24"/>
        </w:rPr>
        <w:t>Pacheco, LGC., Pena, RR., Thiago, LP., Dorella, FA., Bahia, RC., Marcılio, MC., Frota, NL., Oliveira, SC., Meyer, R., Alves, SF., Miyoshi, A., Azevedo, V., 2007. Multiplex PCR assay for identification of Corynebacterium pseudotuberculosis from pure cultures and for rapid detection of this pathogen in clinical samples. Journal of Medical Microbiology. 56,</w:t>
      </w:r>
      <w:r>
        <w:rPr>
          <w:spacing w:val="-23"/>
          <w:sz w:val="24"/>
        </w:rPr>
        <w:t> </w:t>
      </w:r>
      <w:r>
        <w:rPr>
          <w:sz w:val="24"/>
        </w:rPr>
        <w:t>480–486.</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Paton, MW., Rose, IR., Hart, RA., Sutherland, SS., Mercy, AR., Ellis, TM., 1994. New infection with Corynebacterium pseudotuberculosis reduces wool production. Aust Vet J. 71,</w:t>
      </w:r>
      <w:r>
        <w:rPr>
          <w:spacing w:val="-10"/>
          <w:sz w:val="24"/>
        </w:rPr>
        <w:t> </w:t>
      </w:r>
      <w:r>
        <w:rPr>
          <w:sz w:val="24"/>
        </w:rPr>
        <w:t>47-9.</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10" w:hanging="360"/>
        <w:jc w:val="both"/>
        <w:rPr>
          <w:sz w:val="24"/>
        </w:rPr>
      </w:pPr>
      <w:r>
        <w:rPr>
          <w:sz w:val="24"/>
        </w:rPr>
        <w:t>Paule, BJA., Azevedo, V., Regis, LF., Carminati, R., Bahia, R., 2003. Experimental Corynebacterium pseudotuberculosis primary infection in goats: kinetics of IgG and interferon-γ production, IgG avidity and antigen recognition by Western blotting. Vet. Immunol. Immunopathol. 96,</w:t>
      </w:r>
      <w:r>
        <w:rPr>
          <w:spacing w:val="-19"/>
          <w:sz w:val="24"/>
        </w:rPr>
        <w:t> </w:t>
      </w:r>
      <w:r>
        <w:rPr>
          <w:sz w:val="24"/>
        </w:rPr>
        <w:t>129-139.</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Pavan, ME., C, Robles., FM, Cairó., R, Marcellino., MJ, Pettinari., 2012. Identification of Corynebacterium pseudotuberculosis from sheep by PCR- restriction analysis using the RNA polymerase b-subunit gene (rpoB). Research in Veterinary Science. 92,</w:t>
      </w:r>
      <w:r>
        <w:rPr>
          <w:spacing w:val="-15"/>
          <w:sz w:val="24"/>
        </w:rPr>
        <w:t> </w:t>
      </w:r>
      <w:r>
        <w:rPr>
          <w:sz w:val="24"/>
        </w:rPr>
        <w:t>202–206.</w:t>
      </w:r>
    </w:p>
    <w:p>
      <w:pPr>
        <w:pStyle w:val="ListParagraph"/>
        <w:numPr>
          <w:ilvl w:val="1"/>
          <w:numId w:val="5"/>
        </w:numPr>
        <w:tabs>
          <w:tab w:pos="861" w:val="left" w:leader="none"/>
        </w:tabs>
        <w:spacing w:line="242" w:lineRule="auto" w:before="197" w:after="0"/>
        <w:ind w:left="872" w:right="114" w:hanging="360"/>
        <w:jc w:val="both"/>
        <w:rPr>
          <w:sz w:val="24"/>
        </w:rPr>
      </w:pPr>
      <w:r>
        <w:rPr>
          <w:sz w:val="24"/>
        </w:rPr>
        <w:t>Peel, MM., Palmer, GG., Stacpoole, AM., Kerr, TG., 1997. Human lymphadenitis due Corynebacterium pseudotuberculosis: "report of ten  cases from Australia and review. Clin. Infect. Dis. 24,</w:t>
      </w:r>
      <w:r>
        <w:rPr>
          <w:spacing w:val="-18"/>
          <w:sz w:val="24"/>
        </w:rPr>
        <w:t> </w:t>
      </w:r>
      <w:r>
        <w:rPr>
          <w:sz w:val="24"/>
        </w:rPr>
        <w:t>185-191.</w:t>
      </w:r>
    </w:p>
    <w:p>
      <w:pPr>
        <w:pStyle w:val="ListParagraph"/>
        <w:numPr>
          <w:ilvl w:val="1"/>
          <w:numId w:val="5"/>
        </w:numPr>
        <w:tabs>
          <w:tab w:pos="861" w:val="left" w:leader="none"/>
        </w:tabs>
        <w:spacing w:line="240" w:lineRule="auto" w:before="196" w:after="0"/>
        <w:ind w:left="860" w:right="0" w:hanging="348"/>
        <w:jc w:val="left"/>
        <w:rPr>
          <w:sz w:val="24"/>
        </w:rPr>
      </w:pPr>
      <w:r>
        <w:rPr>
          <w:sz w:val="24"/>
        </w:rPr>
        <w:t>Pekelder,   JJ.,   2000.   Caseous   lymphadenitis.   In   Diseases   of</w:t>
      </w:r>
      <w:r>
        <w:rPr>
          <w:spacing w:val="17"/>
          <w:sz w:val="24"/>
        </w:rPr>
        <w:t> </w:t>
      </w:r>
      <w:r>
        <w:rPr>
          <w:sz w:val="24"/>
        </w:rPr>
        <w:t>Sheep.</w:t>
      </w:r>
    </w:p>
    <w:p>
      <w:pPr>
        <w:pStyle w:val="BodyText"/>
        <w:spacing w:before="2"/>
        <w:ind w:left="872"/>
      </w:pPr>
      <w:r>
        <w:rPr/>
        <w:t>Blackwell Science Oxford. 270–274.</w:t>
      </w:r>
    </w:p>
    <w:p>
      <w:pPr>
        <w:pStyle w:val="ListParagraph"/>
        <w:numPr>
          <w:ilvl w:val="1"/>
          <w:numId w:val="5"/>
        </w:numPr>
        <w:tabs>
          <w:tab w:pos="861" w:val="left" w:leader="none"/>
        </w:tabs>
        <w:spacing w:line="240" w:lineRule="auto" w:before="197" w:after="0"/>
        <w:ind w:left="872" w:right="104" w:hanging="360"/>
        <w:jc w:val="both"/>
        <w:rPr>
          <w:sz w:val="24"/>
        </w:rPr>
      </w:pPr>
      <w:r>
        <w:rPr>
          <w:sz w:val="24"/>
        </w:rPr>
        <w:t>Pépin, M., Pardon, P., Marly, J., Lantier, F., 1988. Corynebacterium pseudotuberculosis infection in adult ewes by inoculation in external </w:t>
      </w:r>
      <w:r>
        <w:rPr>
          <w:spacing w:val="2"/>
          <w:sz w:val="24"/>
        </w:rPr>
        <w:t>ear. </w:t>
      </w:r>
      <w:r>
        <w:rPr>
          <w:sz w:val="24"/>
        </w:rPr>
        <w:t>American Journal of Veterinary Research. 49 (4),</w:t>
      </w:r>
      <w:r>
        <w:rPr>
          <w:spacing w:val="-16"/>
          <w:sz w:val="24"/>
        </w:rPr>
        <w:t> </w:t>
      </w:r>
      <w:r>
        <w:rPr>
          <w:sz w:val="24"/>
        </w:rPr>
        <w:t>459-463.</w:t>
      </w:r>
    </w:p>
    <w:p>
      <w:pPr>
        <w:pStyle w:val="ListParagraph"/>
        <w:numPr>
          <w:ilvl w:val="1"/>
          <w:numId w:val="5"/>
        </w:numPr>
        <w:tabs>
          <w:tab w:pos="861" w:val="left" w:leader="none"/>
        </w:tabs>
        <w:spacing w:line="240" w:lineRule="auto" w:before="197" w:after="0"/>
        <w:ind w:left="872" w:right="108" w:hanging="360"/>
        <w:jc w:val="both"/>
        <w:rPr>
          <w:sz w:val="24"/>
        </w:rPr>
      </w:pPr>
      <w:r>
        <w:rPr>
          <w:sz w:val="24"/>
        </w:rPr>
        <w:t>Pépin, M., Seow, HF., Corner, L., Rothel, JS., Hodgson, AL., 1997. Cytokine gene expression in sheep following experimental infection with various strains of Corynebacterium pseudotuberculosis differing in virulence. Vet. Res. 28,</w:t>
      </w:r>
      <w:r>
        <w:rPr>
          <w:spacing w:val="-6"/>
          <w:sz w:val="24"/>
        </w:rPr>
        <w:t> </w:t>
      </w:r>
      <w:r>
        <w:rPr>
          <w:sz w:val="24"/>
        </w:rPr>
        <w:t>149-163.</w:t>
      </w:r>
    </w:p>
    <w:p>
      <w:pPr>
        <w:pStyle w:val="ListParagraph"/>
        <w:numPr>
          <w:ilvl w:val="1"/>
          <w:numId w:val="5"/>
        </w:numPr>
        <w:tabs>
          <w:tab w:pos="861" w:val="left" w:leader="none"/>
        </w:tabs>
        <w:spacing w:line="240" w:lineRule="auto" w:before="199" w:after="0"/>
        <w:ind w:left="872" w:right="105" w:hanging="360"/>
        <w:jc w:val="both"/>
        <w:rPr>
          <w:sz w:val="24"/>
        </w:rPr>
      </w:pPr>
      <w:r>
        <w:rPr>
          <w:sz w:val="24"/>
        </w:rPr>
        <w:t>Pinto, AC., Caracciolo, PH., Gomes de Sá, R., Ramos, TJ., Barbosa, S., P Melo Barbosa, H., Ribeiro, AC., Silva, WM., Rocha, FS., Santana, MS., Castro, TLP., Miyoshi, A., Schneider, M., Silva, S., Azevedo, V., 2014. Differential transcriptional profile of Corynebacterium pseudotuberculosis in response to abiotic stresses. BMC Genomics.</w:t>
      </w:r>
      <w:r>
        <w:rPr>
          <w:spacing w:val="-18"/>
          <w:sz w:val="24"/>
        </w:rPr>
        <w:t> </w:t>
      </w:r>
      <w:r>
        <w:rPr>
          <w:sz w:val="24"/>
        </w:rPr>
        <w:t>15–14.</w:t>
      </w:r>
    </w:p>
    <w:p>
      <w:pPr>
        <w:pStyle w:val="ListParagraph"/>
        <w:numPr>
          <w:ilvl w:val="1"/>
          <w:numId w:val="5"/>
        </w:numPr>
        <w:tabs>
          <w:tab w:pos="861" w:val="left" w:leader="none"/>
        </w:tabs>
        <w:spacing w:line="240" w:lineRule="auto" w:before="197" w:after="0"/>
        <w:ind w:left="872" w:right="106" w:hanging="360"/>
        <w:jc w:val="both"/>
        <w:rPr>
          <w:sz w:val="24"/>
        </w:rPr>
      </w:pPr>
      <w:r>
        <w:rPr>
          <w:sz w:val="24"/>
        </w:rPr>
        <w:t>Real, VF., León, VL., 1990. La linfadenitis caseosa ovina por Corynebacterium pseudotuberculosis: Estudio clínico e inmunoprevención mediante BCG (Bacilo de Calmette y Guerin)” Med. Vet. 7 (12),</w:t>
      </w:r>
      <w:r>
        <w:rPr>
          <w:spacing w:val="-22"/>
          <w:sz w:val="24"/>
        </w:rPr>
        <w:t> </w:t>
      </w:r>
      <w:r>
        <w:rPr>
          <w:sz w:val="24"/>
        </w:rPr>
        <w:t>681—688.</w:t>
      </w:r>
    </w:p>
    <w:p>
      <w:pPr>
        <w:pStyle w:val="ListParagraph"/>
        <w:numPr>
          <w:ilvl w:val="1"/>
          <w:numId w:val="5"/>
        </w:numPr>
        <w:tabs>
          <w:tab w:pos="861" w:val="left" w:leader="none"/>
        </w:tabs>
        <w:spacing w:line="240" w:lineRule="auto" w:before="197" w:after="0"/>
        <w:ind w:left="872" w:right="105" w:hanging="360"/>
        <w:jc w:val="both"/>
        <w:rPr>
          <w:sz w:val="24"/>
        </w:rPr>
      </w:pPr>
      <w:r>
        <w:rPr>
          <w:sz w:val="24"/>
        </w:rPr>
        <w:t>Renaud, FN., Le, Coustumier A., Wlhem, N., Aubel, D., Riegel, P., Bollet,  C., Freney, J., 2007. Corynebacterium hansenii sp. nov., an H-glucosidase– negative bacterium related to Corynebacterium xerosis. Int. J. Syst. Evol. Microbiol. 57,</w:t>
      </w:r>
      <w:r>
        <w:rPr>
          <w:spacing w:val="-6"/>
          <w:sz w:val="24"/>
        </w:rPr>
        <w:t> </w:t>
      </w:r>
      <w:r>
        <w:rPr>
          <w:sz w:val="24"/>
        </w:rPr>
        <w:t>1113-6.</w:t>
      </w:r>
    </w:p>
    <w:p>
      <w:pPr>
        <w:pStyle w:val="ListParagraph"/>
        <w:numPr>
          <w:ilvl w:val="1"/>
          <w:numId w:val="5"/>
        </w:numPr>
        <w:tabs>
          <w:tab w:pos="861" w:val="left" w:leader="none"/>
        </w:tabs>
        <w:spacing w:line="240" w:lineRule="auto" w:before="199" w:after="0"/>
        <w:ind w:left="872" w:right="105" w:hanging="360"/>
        <w:jc w:val="both"/>
        <w:rPr>
          <w:sz w:val="24"/>
        </w:rPr>
      </w:pPr>
      <w:r>
        <w:rPr>
          <w:sz w:val="24"/>
        </w:rPr>
        <w:t>Retamal, Patricio., Marco, Ríos., Felipe, Cheuquepán., Pedro, Abalos., José, Pizarro-Lucero., Consuelo, Borie., Josefina, Gutierrez., 2011. Host associated polymorphisms in the Corynebacterium pseudotuberculosis rpoB gene sequence. Veterinary Microbiology. 151,</w:t>
      </w:r>
      <w:r>
        <w:rPr>
          <w:spacing w:val="-20"/>
          <w:sz w:val="24"/>
        </w:rPr>
        <w:t> </w:t>
      </w:r>
      <w:r>
        <w:rPr>
          <w:sz w:val="24"/>
        </w:rPr>
        <w:t>400–403.</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07" w:hanging="360"/>
        <w:jc w:val="both"/>
        <w:rPr>
          <w:sz w:val="24"/>
        </w:rPr>
      </w:pPr>
      <w:r>
        <w:rPr>
          <w:sz w:val="24"/>
        </w:rPr>
        <w:t>Rezazadeh, Zavoshti Fereydon., Amir, Babak Sioofy Khoojine., Javad, Ashrafi Helan Belal Hassanzadeh., Ali, Akbar Heydari., 2012. Frequency of caseous lymphadenitis (CLA) in sheep slaughtered in an abattoir in Tabriz: comparison of bacterial culture and pathological study. Comp. Clin. Pathol. 21,</w:t>
      </w:r>
      <w:r>
        <w:rPr>
          <w:spacing w:val="-6"/>
          <w:sz w:val="24"/>
        </w:rPr>
        <w:t> </w:t>
      </w:r>
      <w:r>
        <w:rPr>
          <w:sz w:val="24"/>
        </w:rPr>
        <w:t>667–671.</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Riegel, P., Ruimy, R., De Briel, D., Prévost, G., Jehl, F., Christen, R., Monteil, H., 1995. Taxonomy of Corynebacterium diphthteriae and related taxa, with recognition of Corynebacterium ulcerans sp. nov. nom. Rev. FEMS Microbiol. Lett. 126,</w:t>
      </w:r>
      <w:r>
        <w:rPr>
          <w:spacing w:val="-10"/>
          <w:sz w:val="24"/>
        </w:rPr>
        <w:t> </w:t>
      </w:r>
      <w:r>
        <w:rPr>
          <w:sz w:val="24"/>
        </w:rPr>
        <w:t>271–276.</w:t>
      </w:r>
    </w:p>
    <w:p>
      <w:pPr>
        <w:pStyle w:val="ListParagraph"/>
        <w:numPr>
          <w:ilvl w:val="1"/>
          <w:numId w:val="5"/>
        </w:numPr>
        <w:tabs>
          <w:tab w:pos="861" w:val="left" w:leader="none"/>
        </w:tabs>
        <w:spacing w:line="240" w:lineRule="auto" w:before="197" w:after="0"/>
        <w:ind w:left="872" w:right="108" w:hanging="360"/>
        <w:jc w:val="both"/>
        <w:rPr>
          <w:sz w:val="24"/>
        </w:rPr>
      </w:pPr>
      <w:r>
        <w:rPr>
          <w:sz w:val="24"/>
        </w:rPr>
        <w:t>Riet-Correa F. 2007. Linfadenite caseosa, In: Riet-Correa F., Schild A.L., Lemos R.A.A., Borges J.R. (Eds), Doenças de Ruminantes e Eqüídeos. 3ª ed. Pallotti, Santa Maria</w:t>
      </w:r>
      <w:r>
        <w:rPr>
          <w:i/>
          <w:sz w:val="24"/>
        </w:rPr>
        <w:t>.</w:t>
      </w:r>
      <w:r>
        <w:rPr>
          <w:i/>
          <w:spacing w:val="-12"/>
          <w:sz w:val="24"/>
        </w:rPr>
        <w:t> </w:t>
      </w:r>
      <w:r>
        <w:rPr>
          <w:sz w:val="24"/>
        </w:rPr>
        <w:t>pp.347-352.</w:t>
      </w:r>
    </w:p>
    <w:p>
      <w:pPr>
        <w:pStyle w:val="ListParagraph"/>
        <w:numPr>
          <w:ilvl w:val="1"/>
          <w:numId w:val="5"/>
        </w:numPr>
        <w:tabs>
          <w:tab w:pos="861" w:val="left" w:leader="none"/>
        </w:tabs>
        <w:spacing w:line="240" w:lineRule="auto" w:before="201" w:after="0"/>
        <w:ind w:left="860" w:right="0" w:hanging="348"/>
        <w:jc w:val="left"/>
        <w:rPr>
          <w:sz w:val="24"/>
        </w:rPr>
      </w:pPr>
      <w:r>
        <w:rPr>
          <w:sz w:val="24"/>
        </w:rPr>
        <w:t>Robles,  CA.,  2007.  South  America  Patagonia.  In  Diseases  of    </w:t>
      </w:r>
      <w:r>
        <w:rPr>
          <w:spacing w:val="15"/>
          <w:sz w:val="24"/>
        </w:rPr>
        <w:t> </w:t>
      </w:r>
      <w:r>
        <w:rPr>
          <w:sz w:val="24"/>
        </w:rPr>
        <w:t>Sheep.</w:t>
      </w:r>
    </w:p>
    <w:p>
      <w:pPr>
        <w:pStyle w:val="BodyText"/>
        <w:spacing w:before="2"/>
        <w:ind w:left="872"/>
      </w:pPr>
      <w:r>
        <w:rPr/>
        <w:t>Blackwell Publishing Ltd., Oxford. 524–534.</w:t>
      </w:r>
    </w:p>
    <w:p>
      <w:pPr>
        <w:pStyle w:val="ListParagraph"/>
        <w:numPr>
          <w:ilvl w:val="1"/>
          <w:numId w:val="5"/>
        </w:numPr>
        <w:tabs>
          <w:tab w:pos="861" w:val="left" w:leader="none"/>
        </w:tabs>
        <w:spacing w:line="240" w:lineRule="auto" w:before="197" w:after="0"/>
        <w:ind w:left="872" w:right="107" w:hanging="360"/>
        <w:jc w:val="both"/>
        <w:rPr>
          <w:sz w:val="24"/>
        </w:rPr>
      </w:pPr>
      <w:r>
        <w:rPr>
          <w:sz w:val="24"/>
        </w:rPr>
        <w:t>Ruiz, CJ., Vívian, DA., Artur, S., Amjad, A., Anne, CP., Anderson, RS., Aryanne, AMC., Rocha, DOL., Fernanda, AD., Luis, GC., Pacheco, MP., Costa, MZ., Turk, NS., Pablo MRO., Moraes, SC., Soares, SSA., Thiago, LP., Castro, VAC., Abreu, ET., Jan, B., Andreas, T., Maria, PC., Schneider, John McCulloch., Louise, T Cerdeira., Rommel, TJ Ramos., Adhemar, Zerlotini., Anderson, Dominitini., Daniela, M Resende., Elisángela, M  Coser., Luciana, M Oliveira., André, L Pedrosa., Carlos, U Vieira., Cláudia,  T Guimaraes., Daniela, C Bartholomeu., Diana, M Oliveira., Fabrício, R Santos., Élida, Mara Rabelo., Francisco, P Lobo., Glória, R Franco., Ana, Flávia Costa., Ieso, M Castro., Sílvia, Regina Costa Dias., Jesus, A Ferro., José, Miguel Ortega., Luciano, V Paiva., Luiz, R Goulart., Juliana, Franco Almeida., Maria, Inés T Ferro., Newton, P Carneiro., Paula, RK Falcao Priscila Grynberg., Santuza, MR Teixeira., Sérgio, Brommonschenkel., Sérgio, C Oliveira., Roberto, Meyer., Robert, J Moore., Anderson, Miyoshi., Guilherme, C Oliveira., Vasco, Azevedo., 2011. Evidence for Reductive Genome Evolution and Lateral Acquisition of Virulence Functions in Two Corynebacterium pseudotuberculosis Strains. PLoS ONE. 6,</w:t>
      </w:r>
      <w:r>
        <w:rPr>
          <w:spacing w:val="-21"/>
          <w:sz w:val="24"/>
        </w:rPr>
        <w:t> </w:t>
      </w:r>
      <w:r>
        <w:rPr>
          <w:sz w:val="24"/>
        </w:rPr>
        <w:t>4.</w:t>
      </w:r>
    </w:p>
    <w:p>
      <w:pPr>
        <w:pStyle w:val="ListParagraph"/>
        <w:numPr>
          <w:ilvl w:val="1"/>
          <w:numId w:val="5"/>
        </w:numPr>
        <w:tabs>
          <w:tab w:pos="861" w:val="left" w:leader="none"/>
        </w:tabs>
        <w:spacing w:line="240" w:lineRule="auto" w:before="197" w:after="0"/>
        <w:ind w:left="872" w:right="112" w:hanging="360"/>
        <w:jc w:val="both"/>
        <w:rPr>
          <w:sz w:val="24"/>
        </w:rPr>
      </w:pPr>
      <w:r>
        <w:rPr>
          <w:sz w:val="24"/>
        </w:rPr>
        <w:t>Ruiz, J., Quintana, M., Barrera, M. 1995. Aislamiento y clasificación Bioquímica de una cepa de Corynebacterium pseudotuberculosis en la provincia de La Habana. Rev. Salud. Vet.17,</w:t>
      </w:r>
      <w:r>
        <w:rPr>
          <w:spacing w:val="-15"/>
          <w:sz w:val="24"/>
        </w:rPr>
        <w:t> </w:t>
      </w:r>
      <w:r>
        <w:rPr>
          <w:sz w:val="24"/>
        </w:rPr>
        <w:t>307-309</w:t>
      </w:r>
    </w:p>
    <w:p>
      <w:pPr>
        <w:pStyle w:val="ListParagraph"/>
        <w:numPr>
          <w:ilvl w:val="1"/>
          <w:numId w:val="5"/>
        </w:numPr>
        <w:tabs>
          <w:tab w:pos="861" w:val="left" w:leader="none"/>
        </w:tabs>
        <w:spacing w:line="240" w:lineRule="auto" w:before="199" w:after="0"/>
        <w:ind w:left="872" w:right="114" w:hanging="360"/>
        <w:jc w:val="both"/>
        <w:rPr>
          <w:sz w:val="24"/>
        </w:rPr>
      </w:pPr>
      <w:r>
        <w:rPr>
          <w:sz w:val="24"/>
        </w:rPr>
        <w:t>Ruiz, L., Jerónimo, R., Barrera Valle, M., Frias, MT., 2007. Linfadenitis Caseosa I: Aspectos históricos, etiológicos y clínicos. RECVET. 2</w:t>
      </w:r>
      <w:r>
        <w:rPr>
          <w:spacing w:val="-20"/>
          <w:sz w:val="24"/>
        </w:rPr>
        <w:t> </w:t>
      </w:r>
      <w:r>
        <w:rPr>
          <w:sz w:val="24"/>
        </w:rPr>
        <w:t>(8).</w:t>
      </w:r>
    </w:p>
    <w:p>
      <w:pPr>
        <w:pStyle w:val="ListParagraph"/>
        <w:numPr>
          <w:ilvl w:val="1"/>
          <w:numId w:val="5"/>
        </w:numPr>
        <w:tabs>
          <w:tab w:pos="861" w:val="left" w:leader="none"/>
        </w:tabs>
        <w:spacing w:line="240" w:lineRule="auto" w:before="199" w:after="0"/>
        <w:ind w:left="872" w:right="106" w:hanging="360"/>
        <w:jc w:val="both"/>
        <w:rPr>
          <w:sz w:val="24"/>
        </w:rPr>
      </w:pPr>
      <w:r>
        <w:rPr>
          <w:sz w:val="24"/>
        </w:rPr>
        <w:t>Sá, de Aquino Maria da Conceição., AMC, Gisele VG., Carina da, CK., Josir, LAV., Ana, LMG and Mateus MC., 2013. Distribution of PLD and  </w:t>
      </w:r>
      <w:r>
        <w:rPr>
          <w:spacing w:val="11"/>
          <w:sz w:val="24"/>
        </w:rPr>
        <w:t> </w:t>
      </w:r>
      <w:r>
        <w:rPr>
          <w:sz w:val="24"/>
        </w:rPr>
        <w:t>Fag</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BodyText"/>
        <w:spacing w:before="69"/>
        <w:ind w:left="872" w:right="113"/>
        <w:jc w:val="both"/>
      </w:pPr>
      <w:r>
        <w:rPr/>
        <w:t>A, B, C and D genes in Corynebacterium pseudotuberculosis isolates from sheep and goats with caseus lymphadenitis. Genetics and Molecular Biology. 36, 2, 265-268.</w:t>
      </w:r>
    </w:p>
    <w:p>
      <w:pPr>
        <w:pStyle w:val="ListParagraph"/>
        <w:numPr>
          <w:ilvl w:val="1"/>
          <w:numId w:val="5"/>
        </w:numPr>
        <w:tabs>
          <w:tab w:pos="861" w:val="left" w:leader="none"/>
        </w:tabs>
        <w:spacing w:line="240" w:lineRule="auto" w:before="197" w:after="0"/>
        <w:ind w:left="872" w:right="113" w:hanging="360"/>
        <w:jc w:val="both"/>
        <w:rPr>
          <w:sz w:val="24"/>
        </w:rPr>
      </w:pPr>
      <w:r>
        <w:rPr>
          <w:sz w:val="24"/>
        </w:rPr>
        <w:t>Selim, SA., 2001. Oedematous skin disease of buffalo in Egypt. Journal of Veterinary Medicine. B. Infectious Diseases and Veterinary Public Health. 241–258.</w:t>
      </w:r>
    </w:p>
    <w:p>
      <w:pPr>
        <w:pStyle w:val="ListParagraph"/>
        <w:numPr>
          <w:ilvl w:val="1"/>
          <w:numId w:val="5"/>
        </w:numPr>
        <w:tabs>
          <w:tab w:pos="861" w:val="left" w:leader="none"/>
        </w:tabs>
        <w:spacing w:line="240" w:lineRule="auto" w:before="197" w:after="0"/>
        <w:ind w:left="872" w:right="109" w:hanging="360"/>
        <w:jc w:val="both"/>
        <w:rPr>
          <w:sz w:val="24"/>
        </w:rPr>
      </w:pPr>
      <w:r>
        <w:rPr>
          <w:sz w:val="24"/>
        </w:rPr>
        <w:t>Selvy, PE., Lavieri, RR., Lindsley, CW., Brown, HA., 2011. Phospholipase  D: enzymology, functionality, and chemical modulation. Chemical Reviews. 111,</w:t>
      </w:r>
      <w:r>
        <w:rPr>
          <w:spacing w:val="-7"/>
          <w:sz w:val="24"/>
        </w:rPr>
        <w:t> </w:t>
      </w:r>
      <w:r>
        <w:rPr>
          <w:sz w:val="24"/>
        </w:rPr>
        <w:t>6064-6119.</w:t>
      </w:r>
    </w:p>
    <w:p>
      <w:pPr>
        <w:pStyle w:val="ListParagraph"/>
        <w:numPr>
          <w:ilvl w:val="1"/>
          <w:numId w:val="5"/>
        </w:numPr>
        <w:tabs>
          <w:tab w:pos="861" w:val="left" w:leader="none"/>
        </w:tabs>
        <w:spacing w:line="240" w:lineRule="auto" w:before="200" w:after="0"/>
        <w:ind w:left="872" w:right="104" w:hanging="360"/>
        <w:jc w:val="both"/>
        <w:rPr>
          <w:sz w:val="24"/>
        </w:rPr>
      </w:pPr>
      <w:r>
        <w:rPr>
          <w:sz w:val="24"/>
        </w:rPr>
        <w:t>Shigidi, MT., 1974. Antigenic relationship of various isolates of Corynebacterium  pseudotuberculosis. Bull. Epizoot.  Dis. Afr. 22 (3),   </w:t>
      </w:r>
      <w:r>
        <w:rPr>
          <w:spacing w:val="42"/>
          <w:sz w:val="24"/>
        </w:rPr>
        <w:t> </w:t>
      </w:r>
      <w:r>
        <w:rPr>
          <w:sz w:val="24"/>
        </w:rPr>
        <w:t>263-</w:t>
      </w:r>
    </w:p>
    <w:p>
      <w:pPr>
        <w:pStyle w:val="BodyText"/>
        <w:spacing w:before="2"/>
        <w:ind w:left="872"/>
        <w:jc w:val="both"/>
      </w:pPr>
      <w:r>
        <w:rPr/>
        <w:t>269.</w:t>
      </w:r>
    </w:p>
    <w:p>
      <w:pPr>
        <w:pStyle w:val="ListParagraph"/>
        <w:numPr>
          <w:ilvl w:val="1"/>
          <w:numId w:val="5"/>
        </w:numPr>
        <w:tabs>
          <w:tab w:pos="861" w:val="left" w:leader="none"/>
        </w:tabs>
        <w:spacing w:line="240" w:lineRule="auto" w:before="197" w:after="0"/>
        <w:ind w:left="872" w:right="104" w:hanging="360"/>
        <w:jc w:val="both"/>
        <w:rPr>
          <w:sz w:val="24"/>
        </w:rPr>
      </w:pPr>
      <w:r>
        <w:rPr>
          <w:sz w:val="24"/>
        </w:rPr>
        <w:t>Silva, M., Wanderson, Núbia Seyffert, Agenor V., Santos, Thiago LP Castro., Luis, GC Pacheco., Anderson, R Santos., Alessandra, Ciprandi., Fernanda, A Dorella., Hélida, M Andrade., Debmalya, Barh., Adriano, MC Pimenta., Artur, Silva., Anderson, Miyoshi., Vasco, Azevedo., 2013. Identification of 11 new exoproteins in Corynebacterium pseudotuberculosis by comparative analysis of the exoproteome. Microbial Pathogenesis. 61- 62,</w:t>
      </w:r>
      <w:r>
        <w:rPr>
          <w:spacing w:val="-5"/>
          <w:sz w:val="24"/>
        </w:rPr>
        <w:t> </w:t>
      </w:r>
      <w:r>
        <w:rPr>
          <w:sz w:val="24"/>
        </w:rPr>
        <w:t>37-42.</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Simmons, CP., Dunstan, SJ., Tachedjian, M., Krywult, J., Hodgson, ALM. 1998. Vaccine potential of attenuated mutants of Corynebacterium pseudotuberculosis in sheep. Infect. Immun. 66,</w:t>
      </w:r>
      <w:r>
        <w:rPr>
          <w:spacing w:val="-19"/>
          <w:sz w:val="24"/>
        </w:rPr>
        <w:t> </w:t>
      </w:r>
      <w:r>
        <w:rPr>
          <w:sz w:val="24"/>
        </w:rPr>
        <w:t>474-479.</w:t>
      </w:r>
    </w:p>
    <w:p>
      <w:pPr>
        <w:pStyle w:val="ListParagraph"/>
        <w:numPr>
          <w:ilvl w:val="1"/>
          <w:numId w:val="5"/>
        </w:numPr>
        <w:tabs>
          <w:tab w:pos="861" w:val="left" w:leader="none"/>
        </w:tabs>
        <w:spacing w:line="240" w:lineRule="auto" w:before="199" w:after="0"/>
        <w:ind w:left="872" w:right="110" w:hanging="360"/>
        <w:jc w:val="both"/>
        <w:rPr>
          <w:sz w:val="24"/>
        </w:rPr>
      </w:pPr>
      <w:r>
        <w:rPr>
          <w:sz w:val="24"/>
        </w:rPr>
        <w:t>Simmons, CP., Hodgson, ALM., Strugnell, RA., 1997. Attenuation and vaccine potential of aroQ mutants of Corynebacterium pseudotuberculosis. Infect Immun. 65,</w:t>
      </w:r>
      <w:r>
        <w:rPr>
          <w:spacing w:val="-9"/>
          <w:sz w:val="24"/>
        </w:rPr>
        <w:t> </w:t>
      </w:r>
      <w:r>
        <w:rPr>
          <w:sz w:val="24"/>
        </w:rPr>
        <w:t>3048-3056.</w:t>
      </w:r>
    </w:p>
    <w:p>
      <w:pPr>
        <w:pStyle w:val="ListParagraph"/>
        <w:numPr>
          <w:ilvl w:val="1"/>
          <w:numId w:val="5"/>
        </w:numPr>
        <w:tabs>
          <w:tab w:pos="861" w:val="left" w:leader="none"/>
        </w:tabs>
        <w:spacing w:line="240" w:lineRule="auto" w:before="197" w:after="0"/>
        <w:ind w:left="872" w:right="110" w:hanging="360"/>
        <w:jc w:val="both"/>
        <w:rPr>
          <w:sz w:val="24"/>
        </w:rPr>
      </w:pPr>
      <w:r>
        <w:rPr>
          <w:sz w:val="24"/>
        </w:rPr>
        <w:t>Soares, C., Siomar, C., Eva, Trost., Rommel, TJ Ramos., Adriana, R Carneiro., Anderson, R Santos., Anne, C Pinto., Eudes, Barbosa., Flávia, Aburjaile., Amjad, Ali., Carlos, AA Diniz., Syed, S Hassan., Karina, Fiaux., Luis, C Guimarães., Syeda, M Bakhtiar., Ulisses, Pereira., Sintia, S Almeida., Vinícius, AC Abreu., Flávia, S Rocha., Fernanda, A Dorella., Anderson, Miyoshi., Artur, Silva., Vasco, Azevedo., Andreas, Tauch., 2013. Genome sequence of Corynebacterium pseudotuberculosis biovar equi strain 258 and prediction of antigenic targets to improve biotechnological vaccine production. Journal of Biotechnology. 167,</w:t>
      </w:r>
      <w:r>
        <w:rPr>
          <w:spacing w:val="-21"/>
          <w:sz w:val="24"/>
        </w:rPr>
        <w:t> </w:t>
      </w:r>
      <w:r>
        <w:rPr>
          <w:sz w:val="24"/>
        </w:rPr>
        <w:t>135–141.</w:t>
      </w:r>
    </w:p>
    <w:p>
      <w:pPr>
        <w:pStyle w:val="ListParagraph"/>
        <w:numPr>
          <w:ilvl w:val="1"/>
          <w:numId w:val="5"/>
        </w:numPr>
        <w:tabs>
          <w:tab w:pos="861" w:val="left" w:leader="none"/>
        </w:tabs>
        <w:spacing w:line="240" w:lineRule="auto" w:before="197" w:after="0"/>
        <w:ind w:left="872" w:right="107" w:hanging="360"/>
        <w:jc w:val="both"/>
        <w:rPr>
          <w:sz w:val="24"/>
        </w:rPr>
      </w:pPr>
      <w:r>
        <w:rPr>
          <w:sz w:val="24"/>
        </w:rPr>
        <w:t>Songer, GJ., Beckenbach, K., Marshall, M., Olson, GB., Kelley, L., 1988. Biochemical and genetic characterization of Corynebacterium pseudotuberculosis. American Journal of Veterinary Research. 49,</w:t>
      </w:r>
      <w:r>
        <w:rPr>
          <w:spacing w:val="-23"/>
          <w:sz w:val="24"/>
        </w:rPr>
        <w:t> </w:t>
      </w:r>
      <w:r>
        <w:rPr>
          <w:sz w:val="24"/>
        </w:rPr>
        <w:t>223-226.</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861" w:val="left" w:leader="none"/>
        </w:tabs>
        <w:spacing w:line="240" w:lineRule="auto" w:before="69" w:after="0"/>
        <w:ind w:left="872" w:right="110" w:hanging="360"/>
        <w:jc w:val="both"/>
        <w:rPr>
          <w:sz w:val="24"/>
        </w:rPr>
      </w:pPr>
      <w:r>
        <w:rPr>
          <w:sz w:val="24"/>
        </w:rPr>
        <w:t>Soriano, F., Tauch, A., 2008. Microbiological and clinical features of Corynebacterium urealyticum:urinary tract stones and genomics as the Rosetta stone. Clin. Microbiol. Infect. 14,</w:t>
      </w:r>
      <w:r>
        <w:rPr>
          <w:spacing w:val="-13"/>
          <w:sz w:val="24"/>
        </w:rPr>
        <w:t> </w:t>
      </w:r>
      <w:r>
        <w:rPr>
          <w:sz w:val="24"/>
        </w:rPr>
        <w:t>632-43.</w:t>
      </w:r>
    </w:p>
    <w:p>
      <w:pPr>
        <w:pStyle w:val="ListParagraph"/>
        <w:numPr>
          <w:ilvl w:val="1"/>
          <w:numId w:val="5"/>
        </w:numPr>
        <w:tabs>
          <w:tab w:pos="1005" w:val="left" w:leader="none"/>
        </w:tabs>
        <w:spacing w:line="242" w:lineRule="auto" w:before="197" w:after="0"/>
        <w:ind w:left="872" w:right="109" w:hanging="360"/>
        <w:jc w:val="both"/>
        <w:rPr>
          <w:sz w:val="24"/>
        </w:rPr>
      </w:pPr>
      <w:r>
        <w:rPr>
          <w:sz w:val="24"/>
        </w:rPr>
        <w:t>Soto, A., J, Zapardiel., F, Soriano., 1994. Evaluation of API Coryne system for identifying coryneform bacteria. J. Clin. Pathol. 47,</w:t>
      </w:r>
      <w:r>
        <w:rPr>
          <w:spacing w:val="-20"/>
          <w:sz w:val="24"/>
        </w:rPr>
        <w:t> </w:t>
      </w:r>
      <w:r>
        <w:rPr>
          <w:sz w:val="24"/>
        </w:rPr>
        <w:t>756-759.</w:t>
      </w:r>
    </w:p>
    <w:p>
      <w:pPr>
        <w:pStyle w:val="ListParagraph"/>
        <w:numPr>
          <w:ilvl w:val="1"/>
          <w:numId w:val="5"/>
        </w:numPr>
        <w:tabs>
          <w:tab w:pos="1005" w:val="left" w:leader="none"/>
        </w:tabs>
        <w:spacing w:line="240" w:lineRule="auto" w:before="194" w:after="0"/>
        <w:ind w:left="872" w:right="106" w:hanging="360"/>
        <w:jc w:val="both"/>
        <w:rPr>
          <w:sz w:val="24"/>
        </w:rPr>
      </w:pPr>
      <w:r>
        <w:rPr>
          <w:sz w:val="24"/>
        </w:rPr>
        <w:t>Spier, SJ., Whitcomb, MB., 2007. Miscellaneous Gram-positive bacterial infections In Corynebacterium pseudotuberculosis. Equine Infectious Diseases.</w:t>
      </w:r>
      <w:r>
        <w:rPr>
          <w:spacing w:val="-6"/>
          <w:sz w:val="24"/>
        </w:rPr>
        <w:t> </w:t>
      </w:r>
      <w:r>
        <w:rPr>
          <w:sz w:val="24"/>
        </w:rPr>
        <w:t>263–269.</w:t>
      </w:r>
    </w:p>
    <w:p>
      <w:pPr>
        <w:pStyle w:val="ListParagraph"/>
        <w:numPr>
          <w:ilvl w:val="1"/>
          <w:numId w:val="5"/>
        </w:numPr>
        <w:tabs>
          <w:tab w:pos="1005" w:val="left" w:leader="none"/>
        </w:tabs>
        <w:spacing w:line="240" w:lineRule="auto" w:before="200" w:after="0"/>
        <w:ind w:left="872" w:right="108" w:hanging="360"/>
        <w:jc w:val="both"/>
        <w:rPr>
          <w:sz w:val="24"/>
        </w:rPr>
      </w:pPr>
      <w:r>
        <w:rPr>
          <w:sz w:val="24"/>
        </w:rPr>
        <w:t>Stanford, K., Brogden, KA., McClelland, LA., Kozub, GC., Audibert, F., 1998. The incidence of caseous lymphadenitis in Alberta sheep and assessment of impact by vaccination with commercial and experimental vaccines. Can. J. Vet. Res. 1,</w:t>
      </w:r>
      <w:r>
        <w:rPr>
          <w:spacing w:val="-9"/>
          <w:sz w:val="24"/>
        </w:rPr>
        <w:t> </w:t>
      </w:r>
      <w:r>
        <w:rPr>
          <w:sz w:val="24"/>
        </w:rPr>
        <w:t>38-43.</w:t>
      </w:r>
    </w:p>
    <w:p>
      <w:pPr>
        <w:pStyle w:val="ListParagraph"/>
        <w:numPr>
          <w:ilvl w:val="1"/>
          <w:numId w:val="5"/>
        </w:numPr>
        <w:tabs>
          <w:tab w:pos="1005" w:val="left" w:leader="none"/>
        </w:tabs>
        <w:spacing w:line="240" w:lineRule="auto" w:before="197" w:after="0"/>
        <w:ind w:left="872" w:right="103" w:hanging="360"/>
        <w:jc w:val="both"/>
        <w:rPr>
          <w:sz w:val="24"/>
        </w:rPr>
      </w:pPr>
      <w:r>
        <w:rPr>
          <w:sz w:val="24"/>
        </w:rPr>
        <w:t>Stefańska, Ilona., Magdalena, Rzewuska., And Marian Binek., 2008. Evaluation of Three Methods for DNA Fingerprinting of </w:t>
      </w:r>
      <w:r>
        <w:rPr>
          <w:i/>
          <w:sz w:val="24"/>
        </w:rPr>
        <w:t>Corynebacterium </w:t>
      </w:r>
      <w:r>
        <w:rPr>
          <w:i/>
          <w:sz w:val="24"/>
        </w:rPr>
        <w:t>pseudotuberculosis </w:t>
      </w:r>
      <w:r>
        <w:rPr>
          <w:sz w:val="24"/>
        </w:rPr>
        <w:t>Strains Isolated from Goats in Poland. Polish Journal of Microbiology. 57 (2),</w:t>
      </w:r>
      <w:r>
        <w:rPr>
          <w:spacing w:val="-11"/>
          <w:sz w:val="24"/>
        </w:rPr>
        <w:t> </w:t>
      </w:r>
      <w:r>
        <w:rPr>
          <w:sz w:val="24"/>
        </w:rPr>
        <w:t>105-112.</w:t>
      </w:r>
    </w:p>
    <w:p>
      <w:pPr>
        <w:pStyle w:val="ListParagraph"/>
        <w:numPr>
          <w:ilvl w:val="1"/>
          <w:numId w:val="5"/>
        </w:numPr>
        <w:tabs>
          <w:tab w:pos="1005" w:val="left" w:leader="none"/>
        </w:tabs>
        <w:spacing w:line="242" w:lineRule="auto" w:before="197" w:after="0"/>
        <w:ind w:left="872" w:right="108" w:hanging="360"/>
        <w:jc w:val="both"/>
        <w:rPr>
          <w:sz w:val="24"/>
        </w:rPr>
      </w:pPr>
      <w:r>
        <w:rPr>
          <w:sz w:val="24"/>
        </w:rPr>
        <w:t>Stefańska, I., Gieryńska, M., Rzewuska, M., Binek, M., 2010. Survival of Corynebacterium pseudotuberculosis within macrophages and induction of phagocytes death. Pol. J. Vet. Sci. 13,</w:t>
      </w:r>
      <w:r>
        <w:rPr>
          <w:spacing w:val="-17"/>
          <w:sz w:val="24"/>
        </w:rPr>
        <w:t> </w:t>
      </w:r>
      <w:r>
        <w:rPr>
          <w:sz w:val="24"/>
        </w:rPr>
        <w:t>143-149.</w:t>
      </w:r>
    </w:p>
    <w:p>
      <w:pPr>
        <w:pStyle w:val="ListParagraph"/>
        <w:numPr>
          <w:ilvl w:val="1"/>
          <w:numId w:val="5"/>
        </w:numPr>
        <w:tabs>
          <w:tab w:pos="1005" w:val="left" w:leader="none"/>
        </w:tabs>
        <w:spacing w:line="240" w:lineRule="auto" w:before="196" w:after="0"/>
        <w:ind w:left="872" w:right="108" w:hanging="360"/>
        <w:jc w:val="both"/>
        <w:rPr>
          <w:sz w:val="24"/>
        </w:rPr>
      </w:pPr>
      <w:r>
        <w:rPr>
          <w:sz w:val="24"/>
        </w:rPr>
        <w:t>Sutherland, SS., Hart, RA., Buller, NB., 1996. Genetic differences between nitrate-negative and nitrate-positive C. pseudotuberculosis strains using restriction fragment length polymorphisms. Vet. Microbiololy. 49,</w:t>
      </w:r>
      <w:r>
        <w:rPr>
          <w:spacing w:val="-21"/>
          <w:sz w:val="24"/>
        </w:rPr>
        <w:t> </w:t>
      </w:r>
      <w:r>
        <w:rPr>
          <w:sz w:val="24"/>
        </w:rPr>
        <w:t>1–9.</w:t>
      </w:r>
    </w:p>
    <w:p>
      <w:pPr>
        <w:pStyle w:val="ListParagraph"/>
        <w:numPr>
          <w:ilvl w:val="1"/>
          <w:numId w:val="5"/>
        </w:numPr>
        <w:tabs>
          <w:tab w:pos="1005" w:val="left" w:leader="none"/>
        </w:tabs>
        <w:spacing w:line="242" w:lineRule="auto" w:before="197" w:after="0"/>
        <w:ind w:left="872" w:right="115" w:hanging="360"/>
        <w:jc w:val="both"/>
        <w:rPr>
          <w:sz w:val="24"/>
        </w:rPr>
      </w:pPr>
      <w:r>
        <w:rPr>
          <w:sz w:val="24"/>
        </w:rPr>
        <w:t>Tadich, N., Álvarez, T., Chacon, H., Godoy., 2005. Linfoadenitis Caseosa (LAC) en ovinos en la XI Región Chile. Arch. med. vet. 37 (2),</w:t>
      </w:r>
      <w:r>
        <w:rPr>
          <w:spacing w:val="-16"/>
          <w:sz w:val="24"/>
        </w:rPr>
        <w:t> </w:t>
      </w:r>
      <w:r>
        <w:rPr>
          <w:sz w:val="24"/>
        </w:rPr>
        <w:t>161-167.</w:t>
      </w:r>
    </w:p>
    <w:p>
      <w:pPr>
        <w:pStyle w:val="ListParagraph"/>
        <w:numPr>
          <w:ilvl w:val="1"/>
          <w:numId w:val="5"/>
        </w:numPr>
        <w:tabs>
          <w:tab w:pos="1005" w:val="left" w:leader="none"/>
        </w:tabs>
        <w:spacing w:line="240" w:lineRule="auto" w:before="194" w:after="0"/>
        <w:ind w:left="872" w:right="113" w:hanging="360"/>
        <w:jc w:val="both"/>
        <w:rPr>
          <w:sz w:val="24"/>
        </w:rPr>
      </w:pPr>
      <w:r>
        <w:rPr>
          <w:sz w:val="24"/>
        </w:rPr>
        <w:t>Takahashi, T., Mori, Y., Kobayashi, H., Ochi, M., Kikuchi, N., Hiramune, T., 1997. Phylogenetic positions and assignments of swine and ovine corynebacteria isolated based on the 16S rDNA sequence. Microbiol. Immunol. 41,</w:t>
      </w:r>
      <w:r>
        <w:rPr>
          <w:spacing w:val="-7"/>
          <w:sz w:val="24"/>
        </w:rPr>
        <w:t> </w:t>
      </w:r>
      <w:r>
        <w:rPr>
          <w:sz w:val="24"/>
        </w:rPr>
        <w:t>649–655.</w:t>
      </w:r>
    </w:p>
    <w:p>
      <w:pPr>
        <w:pStyle w:val="ListParagraph"/>
        <w:numPr>
          <w:ilvl w:val="1"/>
          <w:numId w:val="5"/>
        </w:numPr>
        <w:tabs>
          <w:tab w:pos="1005" w:val="left" w:leader="none"/>
        </w:tabs>
        <w:spacing w:line="240" w:lineRule="auto" w:before="200" w:after="0"/>
        <w:ind w:left="872" w:right="107" w:hanging="360"/>
        <w:jc w:val="both"/>
        <w:rPr>
          <w:sz w:val="24"/>
        </w:rPr>
      </w:pPr>
      <w:r>
        <w:rPr>
          <w:sz w:val="24"/>
        </w:rPr>
        <w:t>Tashjian, JJ., Campbell, SG., 1983. Interaction between caprine macrophages and Corynebacterium pseudotuberculosis: an electron microscopy study. Am. J. Vet. Res. 44,</w:t>
      </w:r>
      <w:r>
        <w:rPr>
          <w:spacing w:val="-16"/>
          <w:sz w:val="24"/>
        </w:rPr>
        <w:t> </w:t>
      </w:r>
      <w:r>
        <w:rPr>
          <w:sz w:val="24"/>
        </w:rPr>
        <w:t>690-693.</w:t>
      </w:r>
    </w:p>
    <w:p>
      <w:pPr>
        <w:pStyle w:val="ListParagraph"/>
        <w:numPr>
          <w:ilvl w:val="1"/>
          <w:numId w:val="5"/>
        </w:numPr>
        <w:tabs>
          <w:tab w:pos="1005" w:val="left" w:leader="none"/>
        </w:tabs>
        <w:spacing w:line="240" w:lineRule="auto" w:before="197" w:after="0"/>
        <w:ind w:left="872" w:right="111" w:hanging="360"/>
        <w:jc w:val="both"/>
        <w:rPr>
          <w:sz w:val="24"/>
        </w:rPr>
      </w:pPr>
      <w:r>
        <w:rPr>
          <w:sz w:val="24"/>
        </w:rPr>
        <w:t>Tauch, A., Trost, E., Tilker, A., Ludewig, U., Schneider, S., Goesmann, A., Bekel, T.,Brinkrolf, K., Brune, I., Götker, S., Kalinowski, J., Kamp, PB., Lobo, FP., Viehoever, P., Weisshaar, B., Soriano, F., Dröge, M., Pühler, A., 2008. The  lifestyle  of  Corynebacterium  urealyticum  derived  from  its  </w:t>
      </w:r>
      <w:r>
        <w:rPr>
          <w:spacing w:val="5"/>
          <w:sz w:val="24"/>
        </w:rPr>
        <w:t> </w:t>
      </w:r>
      <w:r>
        <w:rPr>
          <w:sz w:val="24"/>
        </w:rPr>
        <w:t>complete</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BodyText"/>
        <w:spacing w:line="242" w:lineRule="auto" w:before="69"/>
        <w:ind w:left="872" w:right="114"/>
      </w:pPr>
      <w:r>
        <w:rPr/>
        <w:t>genome sequence established by pyrosequencing. J. Biotechnol. 136, 11- 21.</w:t>
      </w:r>
    </w:p>
    <w:p>
      <w:pPr>
        <w:pStyle w:val="ListParagraph"/>
        <w:numPr>
          <w:ilvl w:val="1"/>
          <w:numId w:val="5"/>
        </w:numPr>
        <w:tabs>
          <w:tab w:pos="1005" w:val="left" w:leader="none"/>
        </w:tabs>
        <w:spacing w:line="240" w:lineRule="auto" w:before="194" w:after="0"/>
        <w:ind w:left="872" w:right="105" w:hanging="360"/>
        <w:jc w:val="both"/>
        <w:rPr>
          <w:sz w:val="24"/>
        </w:rPr>
      </w:pPr>
      <w:r>
        <w:rPr>
          <w:sz w:val="24"/>
        </w:rPr>
        <w:t>Tauch, A., Kaiser, O., Hain, T., Goesmann, A., Weisshaar, B., Albersmeier, A., Beket, T., Bischoff, N., Brune, I., Chakraborty, T., Kalinowski, J., Meyer, F., Rupp, O., Schneider, S., Viehoever, P., Pühler, A., 2005. Complete genoma sequence and analysis of the multiresistant nosocomial pathogen Corynebacterium jeikeium K411, a lipid-requering bacterium of the human skin flora. J. Bacteriol. 187,</w:t>
      </w:r>
      <w:r>
        <w:rPr>
          <w:spacing w:val="-11"/>
          <w:sz w:val="24"/>
        </w:rPr>
        <w:t> </w:t>
      </w:r>
      <w:r>
        <w:rPr>
          <w:sz w:val="24"/>
        </w:rPr>
        <w:t>4671-82.</w:t>
      </w:r>
    </w:p>
    <w:p>
      <w:pPr>
        <w:pStyle w:val="ListParagraph"/>
        <w:numPr>
          <w:ilvl w:val="1"/>
          <w:numId w:val="5"/>
        </w:numPr>
        <w:tabs>
          <w:tab w:pos="1005" w:val="left" w:leader="none"/>
        </w:tabs>
        <w:spacing w:line="240" w:lineRule="auto" w:before="197" w:after="0"/>
        <w:ind w:left="872" w:right="103" w:hanging="360"/>
        <w:jc w:val="both"/>
        <w:rPr>
          <w:sz w:val="24"/>
        </w:rPr>
      </w:pPr>
      <w:r>
        <w:rPr>
          <w:sz w:val="24"/>
        </w:rPr>
        <w:t>Ter, EA., Bosch J., bijl GC., Schreuder, BE., 1992. Double-antibody sandwich enzyme-linked immunosorbent assay and immunoblot analysis used for control of caseous lymphadenitis in goats and sheep. Am. J. Vet. Res. 53(7),</w:t>
      </w:r>
      <w:r>
        <w:rPr>
          <w:spacing w:val="-7"/>
          <w:sz w:val="24"/>
        </w:rPr>
        <w:t> </w:t>
      </w:r>
      <w:r>
        <w:rPr>
          <w:sz w:val="24"/>
        </w:rPr>
        <w:t>1125-1132.</w:t>
      </w:r>
    </w:p>
    <w:p>
      <w:pPr>
        <w:pStyle w:val="ListParagraph"/>
        <w:numPr>
          <w:ilvl w:val="1"/>
          <w:numId w:val="5"/>
        </w:numPr>
        <w:tabs>
          <w:tab w:pos="1005" w:val="left" w:leader="none"/>
        </w:tabs>
        <w:spacing w:line="240" w:lineRule="auto" w:before="199" w:after="0"/>
        <w:ind w:left="872" w:right="106" w:hanging="360"/>
        <w:jc w:val="both"/>
        <w:rPr>
          <w:sz w:val="24"/>
        </w:rPr>
      </w:pPr>
      <w:r>
        <w:rPr>
          <w:sz w:val="24"/>
        </w:rPr>
        <w:t>Valencia, MC., Villalta, MP., García J., Gironés,O., Muzquiz, JL., Alonso, JL. 1987. Técnica de inmunofluorescencia indirecta aplicada a la detección de anticuerpos frente a la célula de Corynebacterium pseudotuberculosis biovar ovis. Med. Vet. 4,</w:t>
      </w:r>
      <w:r>
        <w:rPr>
          <w:spacing w:val="-8"/>
          <w:sz w:val="24"/>
        </w:rPr>
        <w:t> </w:t>
      </w:r>
      <w:r>
        <w:rPr>
          <w:sz w:val="24"/>
        </w:rPr>
        <w:t>7-8.</w:t>
      </w:r>
    </w:p>
    <w:p>
      <w:pPr>
        <w:pStyle w:val="ListParagraph"/>
        <w:numPr>
          <w:ilvl w:val="1"/>
          <w:numId w:val="5"/>
        </w:numPr>
        <w:tabs>
          <w:tab w:pos="1005" w:val="left" w:leader="none"/>
        </w:tabs>
        <w:spacing w:line="240" w:lineRule="auto" w:before="197" w:after="0"/>
        <w:ind w:left="872" w:right="108" w:hanging="360"/>
        <w:jc w:val="both"/>
        <w:rPr>
          <w:sz w:val="24"/>
        </w:rPr>
      </w:pPr>
      <w:r>
        <w:rPr>
          <w:sz w:val="24"/>
        </w:rPr>
        <w:t>Vaneechoutte, M., Riegel, P., De Briel, D., Monteil, H., Verschraegen, G., De Rouck, A., Claeys, G., 1995. Evaluation of applicability of amplified rDNA-restriction analysis (ARDRA) to identification of species of the genus Corynebacterium, Res. Microbiol. 146,</w:t>
      </w:r>
      <w:r>
        <w:rPr>
          <w:spacing w:val="-13"/>
          <w:sz w:val="24"/>
        </w:rPr>
        <w:t> </w:t>
      </w:r>
      <w:r>
        <w:rPr>
          <w:sz w:val="24"/>
        </w:rPr>
        <w:t>633–641.</w:t>
      </w:r>
    </w:p>
    <w:p>
      <w:pPr>
        <w:pStyle w:val="ListParagraph"/>
        <w:numPr>
          <w:ilvl w:val="1"/>
          <w:numId w:val="5"/>
        </w:numPr>
        <w:tabs>
          <w:tab w:pos="1005" w:val="left" w:leader="none"/>
        </w:tabs>
        <w:spacing w:line="240" w:lineRule="auto" w:before="197" w:after="0"/>
        <w:ind w:left="872" w:right="108" w:hanging="360"/>
        <w:jc w:val="both"/>
        <w:rPr>
          <w:sz w:val="24"/>
        </w:rPr>
      </w:pPr>
      <w:r>
        <w:rPr>
          <w:sz w:val="24"/>
        </w:rPr>
        <w:t>Vaughan, B., Whitcomb MB., Pratt, SM., Spier, SJ. 2004. Ultrasonographic Appearance of Abdominal Organs in 14 Horses with Systemic Corynebacterium pseudotuberculosis Infection. In: 50th Annual Convention of the American Association of Equine Practitioners, Denver, CO, USA, (Ed.). Publisher: American Association of Equine Practitioners, Lexington KY. Internet Publisher: International Veterinary Information Service, Ithaca. NY.</w:t>
      </w:r>
    </w:p>
    <w:p>
      <w:pPr>
        <w:pStyle w:val="ListParagraph"/>
        <w:numPr>
          <w:ilvl w:val="1"/>
          <w:numId w:val="5"/>
        </w:numPr>
        <w:tabs>
          <w:tab w:pos="1005" w:val="left" w:leader="none"/>
        </w:tabs>
        <w:spacing w:line="242" w:lineRule="auto" w:before="199" w:after="0"/>
        <w:ind w:left="872" w:right="112" w:hanging="360"/>
        <w:jc w:val="both"/>
        <w:rPr>
          <w:sz w:val="24"/>
        </w:rPr>
      </w:pPr>
      <w:r>
        <w:rPr>
          <w:sz w:val="24"/>
        </w:rPr>
        <w:t>Vay, CM., Almuzara. 2002. Actualización en bacilos Gram positivos, taxonomía, identificación e importancia clínica. En II Simposio de infectología y Microbiología</w:t>
      </w:r>
      <w:r>
        <w:rPr>
          <w:spacing w:val="-15"/>
          <w:sz w:val="24"/>
        </w:rPr>
        <w:t> </w:t>
      </w:r>
      <w:r>
        <w:rPr>
          <w:sz w:val="24"/>
        </w:rPr>
        <w:t>Clínica.</w:t>
      </w:r>
    </w:p>
    <w:p>
      <w:pPr>
        <w:pStyle w:val="ListParagraph"/>
        <w:numPr>
          <w:ilvl w:val="1"/>
          <w:numId w:val="5"/>
        </w:numPr>
        <w:tabs>
          <w:tab w:pos="1005" w:val="left" w:leader="none"/>
        </w:tabs>
        <w:spacing w:line="242" w:lineRule="auto" w:before="194" w:after="0"/>
        <w:ind w:left="872" w:right="111" w:hanging="360"/>
        <w:jc w:val="both"/>
        <w:rPr>
          <w:sz w:val="24"/>
        </w:rPr>
      </w:pPr>
      <w:r>
        <w:rPr>
          <w:sz w:val="24"/>
        </w:rPr>
        <w:t>Williamson, LH., 2001. Caseous lymphadenitis in small ruminants. Veterinary Clinics of North American Food Animal Practice. 17,</w:t>
      </w:r>
      <w:r>
        <w:rPr>
          <w:spacing w:val="-23"/>
          <w:sz w:val="24"/>
        </w:rPr>
        <w:t> </w:t>
      </w:r>
      <w:r>
        <w:rPr>
          <w:sz w:val="24"/>
        </w:rPr>
        <w:t>359-371.</w:t>
      </w:r>
    </w:p>
    <w:p>
      <w:pPr>
        <w:pStyle w:val="ListParagraph"/>
        <w:numPr>
          <w:ilvl w:val="1"/>
          <w:numId w:val="5"/>
        </w:numPr>
        <w:tabs>
          <w:tab w:pos="1005" w:val="left" w:leader="none"/>
        </w:tabs>
        <w:spacing w:line="242" w:lineRule="auto" w:before="194" w:after="0"/>
        <w:ind w:left="872" w:right="115" w:hanging="360"/>
        <w:jc w:val="both"/>
        <w:rPr>
          <w:sz w:val="24"/>
        </w:rPr>
      </w:pPr>
      <w:r>
        <w:rPr>
          <w:sz w:val="24"/>
        </w:rPr>
        <w:t>Windsor, PA., 2011. Control of caseous lymphadenitis. Veterinary Clinics  of North America: Food Animal Practice. 27,</w:t>
      </w:r>
      <w:r>
        <w:rPr>
          <w:spacing w:val="-18"/>
          <w:sz w:val="24"/>
        </w:rPr>
        <w:t> </w:t>
      </w:r>
      <w:r>
        <w:rPr>
          <w:sz w:val="24"/>
        </w:rPr>
        <w:t>193–202.</w:t>
      </w:r>
    </w:p>
    <w:p>
      <w:pPr>
        <w:pStyle w:val="ListParagraph"/>
        <w:numPr>
          <w:ilvl w:val="1"/>
          <w:numId w:val="5"/>
        </w:numPr>
        <w:tabs>
          <w:tab w:pos="1005" w:val="left" w:leader="none"/>
        </w:tabs>
        <w:spacing w:line="240" w:lineRule="auto" w:before="196" w:after="0"/>
        <w:ind w:left="872" w:right="109" w:hanging="360"/>
        <w:jc w:val="both"/>
        <w:rPr>
          <w:sz w:val="24"/>
        </w:rPr>
      </w:pPr>
      <w:r>
        <w:rPr>
          <w:sz w:val="24"/>
        </w:rPr>
        <w:t>Yeruham, I., D, Elad., M, Van-Ham., NY, Shipigel., S, Perl., 1997. Corynebacterium pseudotuberculosis infection in Israeli cattle: clinical and epidemiological studies. Veterinary Record.140,</w:t>
      </w:r>
      <w:r>
        <w:rPr>
          <w:spacing w:val="-15"/>
          <w:sz w:val="24"/>
        </w:rPr>
        <w:t> </w:t>
      </w:r>
      <w:r>
        <w:rPr>
          <w:sz w:val="24"/>
        </w:rPr>
        <w:t>423-427.</w:t>
      </w:r>
    </w:p>
    <w:p>
      <w:pPr>
        <w:spacing w:after="0" w:line="24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1"/>
          <w:numId w:val="5"/>
        </w:numPr>
        <w:tabs>
          <w:tab w:pos="1005" w:val="left" w:leader="none"/>
        </w:tabs>
        <w:spacing w:line="240" w:lineRule="auto" w:before="69" w:after="0"/>
        <w:ind w:left="872" w:right="106" w:hanging="360"/>
        <w:jc w:val="both"/>
        <w:rPr>
          <w:sz w:val="24"/>
        </w:rPr>
      </w:pPr>
      <w:r>
        <w:rPr>
          <w:sz w:val="24"/>
        </w:rPr>
        <w:t>Yeruham, I., Y, Braverman., Shipigel, NG., Chizov-Ginzburg, A., Saran, A., 1996. Mastitis in dairy cattle caused by Corynebacterium  pseudotuberculosis and the feasibility of transmission by houseflies. I. Vet. Quart. 18(3),</w:t>
      </w:r>
      <w:r>
        <w:rPr>
          <w:spacing w:val="-5"/>
          <w:sz w:val="24"/>
        </w:rPr>
        <w:t> </w:t>
      </w:r>
      <w:r>
        <w:rPr>
          <w:sz w:val="24"/>
        </w:rPr>
        <w:t>87-89.</w:t>
      </w:r>
    </w:p>
    <w:p>
      <w:pPr>
        <w:pStyle w:val="ListParagraph"/>
        <w:numPr>
          <w:ilvl w:val="1"/>
          <w:numId w:val="5"/>
        </w:numPr>
        <w:tabs>
          <w:tab w:pos="1005" w:val="left" w:leader="none"/>
        </w:tabs>
        <w:spacing w:line="240" w:lineRule="auto" w:before="197" w:after="0"/>
        <w:ind w:left="872" w:right="104" w:hanging="360"/>
        <w:jc w:val="both"/>
        <w:rPr>
          <w:sz w:val="24"/>
        </w:rPr>
      </w:pPr>
      <w:r>
        <w:rPr>
          <w:sz w:val="24"/>
        </w:rPr>
        <w:t>Zaki, MM., 1976. Relation between the toxogenicity and pyogenicity of Corynebacterium ovis in experimentally infects mice. Res. Vet. Sci. 20, 197- 200.</w:t>
      </w:r>
    </w:p>
    <w:p>
      <w:pPr>
        <w:pStyle w:val="ListParagraph"/>
        <w:numPr>
          <w:ilvl w:val="1"/>
          <w:numId w:val="5"/>
        </w:numPr>
        <w:tabs>
          <w:tab w:pos="1005" w:val="left" w:leader="none"/>
        </w:tabs>
        <w:spacing w:line="240" w:lineRule="auto" w:before="197" w:after="0"/>
        <w:ind w:left="872" w:right="106" w:hanging="360"/>
        <w:jc w:val="both"/>
        <w:rPr>
          <w:sz w:val="24"/>
        </w:rPr>
      </w:pPr>
      <w:r>
        <w:rPr>
          <w:sz w:val="24"/>
        </w:rPr>
        <w:t>Zavoshti, Fereydon Rezazadeh., Amir, Babak Sioofy Khoojine., Javad, Ashrafi Helan., Belal, Hassanzadeh., Ali, Akbar Heydari., 2012. Frequency of caseous lymphadenitis (CLA) in sheep slaughtered in an abattoir in Tabriz: comparison of bacterial culture and pathological study. Comp. Clin. Pathol. 21,</w:t>
      </w:r>
      <w:r>
        <w:rPr>
          <w:spacing w:val="-7"/>
          <w:sz w:val="24"/>
        </w:rPr>
        <w:t> </w:t>
      </w:r>
      <w:r>
        <w:rPr>
          <w:sz w:val="24"/>
        </w:rPr>
        <w:t>667–671.</w:t>
      </w:r>
    </w:p>
    <w:p>
      <w:pPr>
        <w:spacing w:after="0" w:line="240" w:lineRule="auto"/>
        <w:jc w:val="both"/>
        <w:rPr>
          <w:sz w:val="24"/>
        </w:rPr>
        <w:sectPr>
          <w:footerReference w:type="default" r:id="rId40"/>
          <w:pgSz w:w="12240" w:h="15840"/>
          <w:pgMar w:footer="1386" w:header="0" w:top="1500" w:bottom="1580" w:left="1720" w:right="1420"/>
        </w:sectPr>
      </w:pPr>
    </w:p>
    <w:p>
      <w:pPr>
        <w:pStyle w:val="BodyText"/>
        <w:spacing w:before="2"/>
        <w:rPr>
          <w:sz w:val="21"/>
        </w:rPr>
      </w:pPr>
    </w:p>
    <w:p>
      <w:pPr>
        <w:spacing w:after="0"/>
        <w:rPr>
          <w:sz w:val="21"/>
        </w:rPr>
        <w:sectPr>
          <w:footerReference w:type="default" r:id="rId41"/>
          <w:pgSz w:w="12240" w:h="15840"/>
          <w:pgMar w:footer="1386" w:header="0" w:top="1500" w:bottom="1580" w:left="1720" w:right="780"/>
          <w:pgNumType w:start="71"/>
        </w:sectPr>
      </w:pPr>
    </w:p>
    <w:p>
      <w:pPr>
        <w:pStyle w:val="Heading1"/>
        <w:ind w:right="-15"/>
        <w:jc w:val="left"/>
      </w:pPr>
      <w:bookmarkStart w:name="_bookmark52" w:id="53"/>
      <w:bookmarkEnd w:id="53"/>
      <w:r>
        <w:rPr>
          <w:b w:val="0"/>
        </w:rPr>
      </w:r>
      <w:r>
        <w:rPr>
          <w:spacing w:val="-1"/>
        </w:rPr>
        <w:t>ANEXOS</w:t>
      </w:r>
    </w:p>
    <w:p>
      <w:pPr>
        <w:pStyle w:val="BodyText"/>
        <w:rPr>
          <w:b/>
        </w:rPr>
      </w:pPr>
      <w:r>
        <w:rPr/>
        <w:br w:type="column"/>
      </w:r>
      <w:r>
        <w:rPr>
          <w:b/>
        </w:rPr>
      </w:r>
    </w:p>
    <w:p>
      <w:pPr>
        <w:spacing w:before="160"/>
        <w:ind w:left="152" w:right="0" w:firstLine="0"/>
        <w:jc w:val="left"/>
        <w:rPr>
          <w:sz w:val="24"/>
        </w:rPr>
      </w:pPr>
      <w:r>
        <w:rPr>
          <w:b/>
          <w:sz w:val="24"/>
        </w:rPr>
        <w:t>Anexo 1. </w:t>
      </w:r>
      <w:r>
        <w:rPr>
          <w:sz w:val="24"/>
        </w:rPr>
        <w:t>Aislados de </w:t>
      </w:r>
      <w:r>
        <w:rPr>
          <w:i/>
          <w:sz w:val="24"/>
        </w:rPr>
        <w:t>C. pseudotuberculosis</w:t>
      </w:r>
      <w:r>
        <w:rPr>
          <w:sz w:val="24"/>
        </w:rPr>
        <w:t>.</w:t>
      </w:r>
    </w:p>
    <w:p>
      <w:pPr>
        <w:spacing w:after="0"/>
        <w:jc w:val="left"/>
        <w:rPr>
          <w:sz w:val="24"/>
        </w:rPr>
        <w:sectPr>
          <w:type w:val="continuous"/>
          <w:pgSz w:w="12240" w:h="15840"/>
          <w:pgMar w:top="1500" w:bottom="280" w:left="1720" w:right="780"/>
          <w:cols w:num="2" w:equalWidth="0">
            <w:col w:w="1334" w:space="1038"/>
            <w:col w:w="7368"/>
          </w:cols>
        </w:sectPr>
      </w:pPr>
    </w:p>
    <w:p>
      <w:pPr>
        <w:pStyle w:val="BodyText"/>
        <w:spacing w:before="7"/>
        <w:rPr>
          <w:sz w:val="17"/>
        </w:rPr>
      </w:pPr>
    </w:p>
    <w:tbl>
      <w:tblPr>
        <w:tblW w:w="0" w:type="auto"/>
        <w:jc w:val="left"/>
        <w:tblInd w:w="151" w:type="dxa"/>
        <w:tblBorders>
          <w:top w:val="single" w:sz="3" w:space="0" w:color="DADCDD"/>
          <w:left w:val="single" w:sz="3" w:space="0" w:color="DADCDD"/>
          <w:bottom w:val="single" w:sz="3" w:space="0" w:color="DADCDD"/>
          <w:right w:val="single" w:sz="3" w:space="0" w:color="DADCDD"/>
          <w:insideH w:val="single" w:sz="3" w:space="0" w:color="DADCDD"/>
          <w:insideV w:val="single" w:sz="3" w:space="0" w:color="DADCDD"/>
        </w:tblBorders>
        <w:tblLayout w:type="fixed"/>
        <w:tblCellMar>
          <w:top w:w="0" w:type="dxa"/>
          <w:left w:w="0" w:type="dxa"/>
          <w:bottom w:w="0" w:type="dxa"/>
          <w:right w:w="0" w:type="dxa"/>
        </w:tblCellMar>
        <w:tblLook w:val="01E0"/>
      </w:tblPr>
      <w:tblGrid>
        <w:gridCol w:w="864"/>
        <w:gridCol w:w="736"/>
        <w:gridCol w:w="601"/>
        <w:gridCol w:w="601"/>
        <w:gridCol w:w="894"/>
        <w:gridCol w:w="601"/>
        <w:gridCol w:w="601"/>
        <w:gridCol w:w="601"/>
        <w:gridCol w:w="781"/>
        <w:gridCol w:w="1044"/>
        <w:gridCol w:w="706"/>
        <w:gridCol w:w="601"/>
        <w:gridCol w:w="834"/>
      </w:tblGrid>
      <w:tr>
        <w:trPr>
          <w:trHeight w:val="158" w:hRule="exact"/>
        </w:trPr>
        <w:tc>
          <w:tcPr>
            <w:tcW w:w="864" w:type="dxa"/>
            <w:tcBorders>
              <w:top w:val="single" w:sz="3" w:space="0" w:color="000000"/>
              <w:left w:val="single" w:sz="3" w:space="0" w:color="000000"/>
              <w:bottom w:val="single" w:sz="9" w:space="0" w:color="000000"/>
              <w:right w:val="single" w:sz="3" w:space="0" w:color="000000"/>
            </w:tcBorders>
          </w:tcPr>
          <w:p>
            <w:pPr>
              <w:pStyle w:val="TableParagraph"/>
              <w:ind w:left="90" w:right="-12"/>
              <w:rPr>
                <w:rFonts w:ascii="Arial" w:hAnsi="Arial"/>
                <w:sz w:val="12"/>
              </w:rPr>
            </w:pPr>
            <w:r>
              <w:rPr>
                <w:rFonts w:ascii="Arial" w:hAnsi="Arial"/>
                <w:sz w:val="12"/>
              </w:rPr>
              <w:t>Identificación</w:t>
            </w:r>
          </w:p>
        </w:tc>
        <w:tc>
          <w:tcPr>
            <w:tcW w:w="736" w:type="dxa"/>
            <w:tcBorders>
              <w:left w:val="single" w:sz="3" w:space="0" w:color="000000"/>
            </w:tcBorders>
          </w:tcPr>
          <w:p>
            <w:pPr>
              <w:pStyle w:val="TableParagraph"/>
              <w:rPr>
                <w:sz w:val="11"/>
              </w:rPr>
            </w:pPr>
            <w:r>
              <w:rPr>
                <w:sz w:val="11"/>
              </w:rPr>
              <w:t>Municipio</w:t>
            </w:r>
          </w:p>
        </w:tc>
        <w:tc>
          <w:tcPr>
            <w:tcW w:w="601" w:type="dxa"/>
          </w:tcPr>
          <w:p>
            <w:pPr>
              <w:pStyle w:val="TableParagraph"/>
              <w:rPr>
                <w:sz w:val="11"/>
              </w:rPr>
            </w:pPr>
            <w:r>
              <w:rPr>
                <w:sz w:val="11"/>
              </w:rPr>
              <w:t>Estado</w:t>
            </w:r>
          </w:p>
        </w:tc>
        <w:tc>
          <w:tcPr>
            <w:tcW w:w="601" w:type="dxa"/>
          </w:tcPr>
          <w:p>
            <w:pPr>
              <w:pStyle w:val="TableParagraph"/>
              <w:rPr>
                <w:sz w:val="11"/>
              </w:rPr>
            </w:pPr>
            <w:r>
              <w:rPr>
                <w:sz w:val="11"/>
              </w:rPr>
              <w:t>Localidad</w:t>
            </w:r>
          </w:p>
        </w:tc>
        <w:tc>
          <w:tcPr>
            <w:tcW w:w="894" w:type="dxa"/>
          </w:tcPr>
          <w:p>
            <w:pPr>
              <w:pStyle w:val="TableParagraph"/>
              <w:ind w:right="-20"/>
              <w:rPr>
                <w:sz w:val="11"/>
              </w:rPr>
            </w:pPr>
            <w:r>
              <w:rPr>
                <w:sz w:val="11"/>
              </w:rPr>
              <w:t>Condicion</w:t>
            </w:r>
            <w:r>
              <w:rPr>
                <w:spacing w:val="14"/>
                <w:sz w:val="11"/>
              </w:rPr>
              <w:t> </w:t>
            </w:r>
            <w:r>
              <w:rPr>
                <w:sz w:val="11"/>
              </w:rPr>
              <w:t>Corporal</w:t>
            </w:r>
          </w:p>
        </w:tc>
        <w:tc>
          <w:tcPr>
            <w:tcW w:w="601" w:type="dxa"/>
          </w:tcPr>
          <w:p>
            <w:pPr>
              <w:pStyle w:val="TableParagraph"/>
              <w:ind w:left="14"/>
              <w:rPr>
                <w:sz w:val="11"/>
              </w:rPr>
            </w:pPr>
            <w:r>
              <w:rPr>
                <w:sz w:val="11"/>
              </w:rPr>
              <w:t>Especie</w:t>
            </w:r>
          </w:p>
        </w:tc>
        <w:tc>
          <w:tcPr>
            <w:tcW w:w="601" w:type="dxa"/>
          </w:tcPr>
          <w:p>
            <w:pPr>
              <w:pStyle w:val="TableParagraph"/>
              <w:ind w:left="14"/>
              <w:rPr>
                <w:sz w:val="11"/>
              </w:rPr>
            </w:pPr>
            <w:r>
              <w:rPr>
                <w:sz w:val="11"/>
              </w:rPr>
              <w:t>Sexo</w:t>
            </w:r>
          </w:p>
        </w:tc>
        <w:tc>
          <w:tcPr>
            <w:tcW w:w="601" w:type="dxa"/>
          </w:tcPr>
          <w:p>
            <w:pPr>
              <w:pStyle w:val="TableParagraph"/>
              <w:ind w:right="-27"/>
              <w:rPr>
                <w:sz w:val="11"/>
              </w:rPr>
            </w:pPr>
            <w:r>
              <w:rPr>
                <w:sz w:val="11"/>
              </w:rPr>
              <w:t>Raza</w:t>
            </w:r>
          </w:p>
        </w:tc>
        <w:tc>
          <w:tcPr>
            <w:tcW w:w="781" w:type="dxa"/>
          </w:tcPr>
          <w:p>
            <w:pPr>
              <w:pStyle w:val="TableParagraph"/>
              <w:ind w:left="14" w:right="-34"/>
              <w:rPr>
                <w:sz w:val="11"/>
              </w:rPr>
            </w:pPr>
            <w:r>
              <w:rPr>
                <w:sz w:val="11"/>
              </w:rPr>
              <w:t>lugar obtencion</w:t>
            </w:r>
          </w:p>
        </w:tc>
        <w:tc>
          <w:tcPr>
            <w:tcW w:w="1044" w:type="dxa"/>
          </w:tcPr>
          <w:p>
            <w:pPr>
              <w:pStyle w:val="TableParagraph"/>
              <w:ind w:left="14"/>
              <w:rPr>
                <w:sz w:val="11"/>
              </w:rPr>
            </w:pPr>
            <w:r>
              <w:rPr>
                <w:sz w:val="11"/>
              </w:rPr>
              <w:t>Tamaño de absceso</w:t>
            </w:r>
          </w:p>
        </w:tc>
        <w:tc>
          <w:tcPr>
            <w:tcW w:w="706" w:type="dxa"/>
          </w:tcPr>
          <w:p>
            <w:pPr>
              <w:pStyle w:val="TableParagraph"/>
              <w:rPr>
                <w:sz w:val="11"/>
              </w:rPr>
            </w:pPr>
            <w:r>
              <w:rPr>
                <w:sz w:val="11"/>
              </w:rPr>
              <w:t>Caracteristicas</w:t>
            </w:r>
          </w:p>
        </w:tc>
        <w:tc>
          <w:tcPr>
            <w:tcW w:w="601" w:type="dxa"/>
          </w:tcPr>
          <w:p>
            <w:pPr>
              <w:pStyle w:val="TableParagraph"/>
              <w:ind w:left="14"/>
              <w:rPr>
                <w:sz w:val="11"/>
              </w:rPr>
            </w:pPr>
            <w:r>
              <w:rPr>
                <w:sz w:val="11"/>
              </w:rPr>
              <w:t>Color</w:t>
            </w:r>
          </w:p>
        </w:tc>
        <w:tc>
          <w:tcPr>
            <w:tcW w:w="834" w:type="dxa"/>
          </w:tcPr>
          <w:p>
            <w:pPr>
              <w:pStyle w:val="TableParagraph"/>
              <w:ind w:left="14" w:right="-2"/>
              <w:rPr>
                <w:sz w:val="11"/>
              </w:rPr>
            </w:pPr>
            <w:r>
              <w:rPr>
                <w:sz w:val="11"/>
              </w:rPr>
              <w:t>Tipo de exudado</w:t>
            </w:r>
          </w:p>
        </w:tc>
      </w:tr>
      <w:tr>
        <w:trPr>
          <w:trHeight w:val="157" w:hRule="exact"/>
        </w:trPr>
        <w:tc>
          <w:tcPr>
            <w:tcW w:w="864" w:type="dxa"/>
            <w:tcBorders>
              <w:top w:val="single" w:sz="9" w:space="0" w:color="000000"/>
            </w:tcBorders>
          </w:tcPr>
          <w:p>
            <w:pPr>
              <w:pStyle w:val="TableParagraph"/>
              <w:ind w:left="165" w:right="-12"/>
              <w:rPr>
                <w:sz w:val="11"/>
              </w:rPr>
            </w:pPr>
            <w:r>
              <w:rPr>
                <w:color w:val="FF0000"/>
                <w:sz w:val="11"/>
              </w:rPr>
              <w:t>(2-4)668478</w:t>
            </w:r>
          </w:p>
        </w:tc>
        <w:tc>
          <w:tcPr>
            <w:tcW w:w="736" w:type="dxa"/>
          </w:tcPr>
          <w:p>
            <w:pPr>
              <w:pStyle w:val="TableParagraph"/>
              <w:spacing w:before="15"/>
              <w:rPr>
                <w:sz w:val="11"/>
              </w:rPr>
            </w:pPr>
            <w:r>
              <w:rPr>
                <w:sz w:val="11"/>
              </w:rPr>
              <w:t>ZAPOTLANEJO</w:t>
            </w:r>
          </w:p>
        </w:tc>
        <w:tc>
          <w:tcPr>
            <w:tcW w:w="601" w:type="dxa"/>
          </w:tcPr>
          <w:p>
            <w:pPr>
              <w:pStyle w:val="TableParagraph"/>
              <w:spacing w:before="15"/>
              <w:rPr>
                <w:sz w:val="11"/>
              </w:rPr>
            </w:pPr>
            <w:r>
              <w:rPr>
                <w:sz w:val="11"/>
              </w:rPr>
              <w:t>JALISCO</w:t>
            </w:r>
          </w:p>
        </w:tc>
        <w:tc>
          <w:tcPr>
            <w:tcW w:w="601" w:type="dxa"/>
          </w:tcPr>
          <w:p>
            <w:pPr>
              <w:pStyle w:val="TableParagraph"/>
              <w:spacing w:before="15"/>
              <w:rPr>
                <w:sz w:val="11"/>
              </w:rPr>
            </w:pPr>
            <w:r>
              <w:rPr>
                <w:sz w:val="11"/>
              </w:rPr>
              <w:t>Santa FE</w:t>
            </w:r>
          </w:p>
        </w:tc>
        <w:tc>
          <w:tcPr>
            <w:tcW w:w="894" w:type="dxa"/>
          </w:tcPr>
          <w:p>
            <w:pPr>
              <w:pStyle w:val="TableParagraph"/>
              <w:spacing w:before="15"/>
              <w:ind w:right="-20"/>
              <w:rPr>
                <w:sz w:val="11"/>
              </w:rPr>
            </w:pPr>
            <w:r>
              <w:rPr>
                <w:sz w:val="11"/>
              </w:rPr>
              <w:t>BUENA</w:t>
            </w:r>
          </w:p>
        </w:tc>
        <w:tc>
          <w:tcPr>
            <w:tcW w:w="601" w:type="dxa"/>
          </w:tcPr>
          <w:p>
            <w:pPr>
              <w:pStyle w:val="TableParagraph"/>
              <w:spacing w:before="15"/>
              <w:ind w:left="14"/>
              <w:rPr>
                <w:sz w:val="11"/>
              </w:rPr>
            </w:pPr>
            <w:r>
              <w:rPr>
                <w:sz w:val="11"/>
              </w:rPr>
              <w:t>CAPRINO</w:t>
            </w:r>
          </w:p>
        </w:tc>
        <w:tc>
          <w:tcPr>
            <w:tcW w:w="601" w:type="dxa"/>
          </w:tcPr>
          <w:p>
            <w:pPr>
              <w:pStyle w:val="TableParagraph"/>
              <w:spacing w:before="15"/>
              <w:ind w:left="14"/>
              <w:rPr>
                <w:sz w:val="11"/>
              </w:rPr>
            </w:pPr>
            <w:r>
              <w:rPr>
                <w:sz w:val="11"/>
              </w:rPr>
              <w:t>HEMBRA</w:t>
            </w:r>
          </w:p>
        </w:tc>
        <w:tc>
          <w:tcPr>
            <w:tcW w:w="601" w:type="dxa"/>
          </w:tcPr>
          <w:p>
            <w:pPr>
              <w:pStyle w:val="TableParagraph"/>
              <w:spacing w:before="15"/>
              <w:ind w:right="-27"/>
              <w:rPr>
                <w:sz w:val="11"/>
              </w:rPr>
            </w:pPr>
            <w:r>
              <w:rPr>
                <w:sz w:val="11"/>
              </w:rPr>
              <w:t>ALPINA</w:t>
            </w:r>
          </w:p>
        </w:tc>
        <w:tc>
          <w:tcPr>
            <w:tcW w:w="781" w:type="dxa"/>
          </w:tcPr>
          <w:p>
            <w:pPr>
              <w:pStyle w:val="TableParagraph"/>
              <w:spacing w:before="15"/>
              <w:ind w:left="14" w:right="-34"/>
              <w:rPr>
                <w:sz w:val="11"/>
              </w:rPr>
            </w:pPr>
            <w:r>
              <w:rPr>
                <w:sz w:val="11"/>
              </w:rPr>
              <w:t>CABEZA</w:t>
            </w:r>
          </w:p>
        </w:tc>
        <w:tc>
          <w:tcPr>
            <w:tcW w:w="1044" w:type="dxa"/>
          </w:tcPr>
          <w:p>
            <w:pPr>
              <w:pStyle w:val="TableParagraph"/>
              <w:spacing w:before="15"/>
              <w:ind w:left="14"/>
              <w:rPr>
                <w:sz w:val="11"/>
              </w:rPr>
            </w:pPr>
            <w:r>
              <w:rPr>
                <w:sz w:val="11"/>
              </w:rPr>
              <w:t>MENOR 5 CM</w:t>
            </w:r>
          </w:p>
        </w:tc>
        <w:tc>
          <w:tcPr>
            <w:tcW w:w="706" w:type="dxa"/>
          </w:tcPr>
          <w:p>
            <w:pPr>
              <w:pStyle w:val="TableParagraph"/>
              <w:spacing w:before="15"/>
              <w:rPr>
                <w:sz w:val="11"/>
              </w:rPr>
            </w:pPr>
            <w:r>
              <w:rPr>
                <w:sz w:val="11"/>
              </w:rPr>
              <w:t>SUAVE</w:t>
            </w:r>
          </w:p>
        </w:tc>
        <w:tc>
          <w:tcPr>
            <w:tcW w:w="601" w:type="dxa"/>
          </w:tcPr>
          <w:p>
            <w:pPr>
              <w:pStyle w:val="TableParagraph"/>
              <w:spacing w:before="15"/>
              <w:ind w:left="14"/>
              <w:rPr>
                <w:sz w:val="11"/>
              </w:rPr>
            </w:pPr>
            <w:r>
              <w:rPr>
                <w:sz w:val="11"/>
              </w:rPr>
              <w:t>VERDE</w:t>
            </w:r>
          </w:p>
        </w:tc>
        <w:tc>
          <w:tcPr>
            <w:tcW w:w="834" w:type="dxa"/>
          </w:tcPr>
          <w:p>
            <w:pPr>
              <w:pStyle w:val="TableParagraph"/>
              <w:spacing w:before="15"/>
              <w:ind w:left="14" w:right="-2"/>
              <w:rPr>
                <w:sz w:val="11"/>
              </w:rPr>
            </w:pPr>
            <w:r>
              <w:rPr>
                <w:sz w:val="11"/>
              </w:rPr>
              <w:t>SEROPURULENTO</w:t>
            </w:r>
          </w:p>
        </w:tc>
      </w:tr>
      <w:tr>
        <w:trPr>
          <w:trHeight w:val="150" w:hRule="exact"/>
        </w:trPr>
        <w:tc>
          <w:tcPr>
            <w:tcW w:w="864" w:type="dxa"/>
          </w:tcPr>
          <w:p>
            <w:pPr>
              <w:pStyle w:val="TableParagraph"/>
              <w:ind w:left="266" w:right="267"/>
              <w:jc w:val="center"/>
              <w:rPr>
                <w:sz w:val="11"/>
              </w:rPr>
            </w:pPr>
            <w:r>
              <w:rPr>
                <w:color w:val="FF0000"/>
                <w:sz w:val="11"/>
              </w:rPr>
              <w:t>(9-19)</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Matatlan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ind w:left="105" w:right="-12"/>
              <w:rPr>
                <w:sz w:val="11"/>
              </w:rPr>
            </w:pPr>
            <w:r>
              <w:rPr>
                <w:color w:val="FF0000"/>
                <w:sz w:val="11"/>
              </w:rPr>
              <w:t>((031)) 682064</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ind w:left="187" w:right="-12"/>
              <w:rPr>
                <w:sz w:val="11"/>
              </w:rPr>
            </w:pPr>
            <w:r>
              <w:rPr>
                <w:color w:val="FF0000"/>
                <w:sz w:val="11"/>
              </w:rPr>
              <w:t>((045)) 270</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ind w:left="187" w:right="-12"/>
              <w:rPr>
                <w:sz w:val="11"/>
              </w:rPr>
            </w:pPr>
            <w:r>
              <w:rPr>
                <w:color w:val="FF0000"/>
                <w:sz w:val="11"/>
              </w:rPr>
              <w:t>((039)) 978</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BLACKPELLY</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PURULENTO</w:t>
            </w:r>
          </w:p>
        </w:tc>
      </w:tr>
      <w:tr>
        <w:trPr>
          <w:trHeight w:val="150" w:hRule="exact"/>
        </w:trPr>
        <w:tc>
          <w:tcPr>
            <w:tcW w:w="864" w:type="dxa"/>
            <w:tcBorders>
              <w:bottom w:val="single" w:sz="3" w:space="0" w:color="DADCDD"/>
            </w:tcBorders>
          </w:tcPr>
          <w:p>
            <w:pPr>
              <w:pStyle w:val="TableParagraph"/>
              <w:ind w:left="97" w:right="-12"/>
              <w:rPr>
                <w:sz w:val="11"/>
              </w:rPr>
            </w:pPr>
            <w:r>
              <w:rPr>
                <w:color w:val="FF0000"/>
                <w:sz w:val="11"/>
              </w:rPr>
              <w:t>((002))  671673</w:t>
            </w:r>
          </w:p>
        </w:tc>
        <w:tc>
          <w:tcPr>
            <w:tcW w:w="736" w:type="dxa"/>
            <w:tcBorders>
              <w:bottom w:val="single" w:sz="3" w:space="0" w:color="DADCDD"/>
            </w:tcBorders>
          </w:tcPr>
          <w:p>
            <w:pPr>
              <w:pStyle w:val="TableParagraph"/>
              <w:rPr>
                <w:sz w:val="11"/>
              </w:rPr>
            </w:pPr>
            <w:r>
              <w:rPr>
                <w:sz w:val="11"/>
              </w:rPr>
              <w:t>ZAPOTLANEJO</w:t>
            </w:r>
          </w:p>
        </w:tc>
        <w:tc>
          <w:tcPr>
            <w:tcW w:w="601" w:type="dxa"/>
            <w:tcBorders>
              <w:bottom w:val="single" w:sz="3" w:space="0" w:color="DADCDD"/>
            </w:tcBorders>
          </w:tcPr>
          <w:p>
            <w:pPr>
              <w:pStyle w:val="TableParagraph"/>
              <w:rPr>
                <w:sz w:val="11"/>
              </w:rPr>
            </w:pPr>
            <w:r>
              <w:rPr>
                <w:sz w:val="11"/>
              </w:rPr>
              <w:t>JALISCO</w:t>
            </w:r>
          </w:p>
        </w:tc>
        <w:tc>
          <w:tcPr>
            <w:tcW w:w="601" w:type="dxa"/>
            <w:tcBorders>
              <w:bottom w:val="single" w:sz="3" w:space="0" w:color="DADCDD"/>
            </w:tcBorders>
          </w:tcPr>
          <w:p>
            <w:pPr>
              <w:pStyle w:val="TableParagraph"/>
              <w:rPr>
                <w:sz w:val="11"/>
              </w:rPr>
            </w:pPr>
            <w:r>
              <w:rPr>
                <w:sz w:val="11"/>
              </w:rPr>
              <w:t>Coyotes</w:t>
            </w:r>
          </w:p>
        </w:tc>
        <w:tc>
          <w:tcPr>
            <w:tcW w:w="894" w:type="dxa"/>
            <w:tcBorders>
              <w:bottom w:val="single" w:sz="3" w:space="0" w:color="DADCDD"/>
            </w:tcBorders>
          </w:tcPr>
          <w:p>
            <w:pPr>
              <w:pStyle w:val="TableParagraph"/>
              <w:ind w:right="-20"/>
              <w:rPr>
                <w:sz w:val="11"/>
              </w:rPr>
            </w:pPr>
            <w:r>
              <w:rPr>
                <w:sz w:val="11"/>
              </w:rPr>
              <w:t>BUENA</w:t>
            </w:r>
          </w:p>
        </w:tc>
        <w:tc>
          <w:tcPr>
            <w:tcW w:w="601" w:type="dxa"/>
            <w:tcBorders>
              <w:bottom w:val="single" w:sz="3" w:space="0" w:color="DADCDD"/>
            </w:tcBorders>
          </w:tcPr>
          <w:p>
            <w:pPr>
              <w:pStyle w:val="TableParagraph"/>
              <w:ind w:left="14"/>
              <w:rPr>
                <w:sz w:val="11"/>
              </w:rPr>
            </w:pPr>
            <w:r>
              <w:rPr>
                <w:sz w:val="11"/>
              </w:rPr>
              <w:t>OVINO</w:t>
            </w:r>
          </w:p>
        </w:tc>
        <w:tc>
          <w:tcPr>
            <w:tcW w:w="601" w:type="dxa"/>
            <w:tcBorders>
              <w:bottom w:val="single" w:sz="3" w:space="0" w:color="DADCDD"/>
            </w:tcBorders>
          </w:tcPr>
          <w:p>
            <w:pPr>
              <w:pStyle w:val="TableParagraph"/>
              <w:ind w:left="14"/>
              <w:rPr>
                <w:sz w:val="11"/>
              </w:rPr>
            </w:pPr>
            <w:r>
              <w:rPr>
                <w:sz w:val="11"/>
              </w:rPr>
              <w:t>HEMBRA</w:t>
            </w:r>
          </w:p>
        </w:tc>
        <w:tc>
          <w:tcPr>
            <w:tcW w:w="601" w:type="dxa"/>
            <w:tcBorders>
              <w:bottom w:val="single" w:sz="3" w:space="0" w:color="DADCDD"/>
            </w:tcBorders>
          </w:tcPr>
          <w:p>
            <w:pPr>
              <w:pStyle w:val="TableParagraph"/>
              <w:ind w:right="-27"/>
              <w:rPr>
                <w:sz w:val="11"/>
              </w:rPr>
            </w:pPr>
            <w:r>
              <w:rPr>
                <w:sz w:val="11"/>
              </w:rPr>
              <w:t>PELIFORK</w:t>
            </w:r>
          </w:p>
        </w:tc>
        <w:tc>
          <w:tcPr>
            <w:tcW w:w="781" w:type="dxa"/>
            <w:tcBorders>
              <w:bottom w:val="single" w:sz="3" w:space="0" w:color="DADCDD"/>
            </w:tcBorders>
          </w:tcPr>
          <w:p>
            <w:pPr>
              <w:pStyle w:val="TableParagraph"/>
              <w:ind w:left="14" w:right="-34"/>
              <w:rPr>
                <w:sz w:val="11"/>
              </w:rPr>
            </w:pPr>
            <w:r>
              <w:rPr>
                <w:sz w:val="11"/>
              </w:rPr>
              <w:t>CAUDAL</w:t>
            </w:r>
          </w:p>
        </w:tc>
        <w:tc>
          <w:tcPr>
            <w:tcW w:w="1044" w:type="dxa"/>
            <w:tcBorders>
              <w:bottom w:val="single" w:sz="3" w:space="0" w:color="DADCDD"/>
            </w:tcBorders>
          </w:tcPr>
          <w:p>
            <w:pPr>
              <w:pStyle w:val="TableParagraph"/>
              <w:ind w:left="14"/>
              <w:rPr>
                <w:sz w:val="11"/>
              </w:rPr>
            </w:pPr>
            <w:r>
              <w:rPr>
                <w:sz w:val="11"/>
              </w:rPr>
              <w:t>MENOR 5 CM</w:t>
            </w:r>
          </w:p>
        </w:tc>
        <w:tc>
          <w:tcPr>
            <w:tcW w:w="706" w:type="dxa"/>
            <w:tcBorders>
              <w:bottom w:val="single" w:sz="3" w:space="0" w:color="DADCDD"/>
            </w:tcBorders>
          </w:tcPr>
          <w:p>
            <w:pPr>
              <w:pStyle w:val="TableParagraph"/>
              <w:rPr>
                <w:sz w:val="11"/>
              </w:rPr>
            </w:pPr>
            <w:r>
              <w:rPr>
                <w:sz w:val="11"/>
              </w:rPr>
              <w:t>DURA</w:t>
            </w:r>
          </w:p>
        </w:tc>
        <w:tc>
          <w:tcPr>
            <w:tcW w:w="601" w:type="dxa"/>
            <w:tcBorders>
              <w:bottom w:val="single" w:sz="3" w:space="0" w:color="DADCDD"/>
            </w:tcBorders>
          </w:tcPr>
          <w:p>
            <w:pPr>
              <w:pStyle w:val="TableParagraph"/>
              <w:ind w:left="14"/>
              <w:rPr>
                <w:sz w:val="11"/>
              </w:rPr>
            </w:pPr>
            <w:r>
              <w:rPr>
                <w:sz w:val="11"/>
              </w:rPr>
              <w:t>VERDE</w:t>
            </w:r>
          </w:p>
        </w:tc>
        <w:tc>
          <w:tcPr>
            <w:tcW w:w="834" w:type="dxa"/>
            <w:tcBorders>
              <w:bottom w:val="single" w:sz="3" w:space="0" w:color="DADCDD"/>
            </w:tcBorders>
          </w:tcPr>
          <w:p>
            <w:pPr>
              <w:pStyle w:val="TableParagraph"/>
              <w:ind w:left="14" w:right="-2"/>
              <w:rPr>
                <w:sz w:val="11"/>
              </w:rPr>
            </w:pPr>
            <w:r>
              <w:rPr>
                <w:sz w:val="11"/>
              </w:rPr>
              <w:t>PURULENTO</w:t>
            </w:r>
          </w:p>
        </w:tc>
      </w:tr>
      <w:tr>
        <w:trPr>
          <w:trHeight w:val="150" w:hRule="exact"/>
        </w:trPr>
        <w:tc>
          <w:tcPr>
            <w:tcW w:w="864" w:type="dxa"/>
            <w:tcBorders>
              <w:top w:val="single" w:sz="3" w:space="0" w:color="DADCDD"/>
            </w:tcBorders>
          </w:tcPr>
          <w:p>
            <w:pPr>
              <w:pStyle w:val="TableParagraph"/>
              <w:ind w:left="266" w:right="266"/>
              <w:jc w:val="center"/>
              <w:rPr>
                <w:sz w:val="11"/>
              </w:rPr>
            </w:pPr>
            <w:r>
              <w:rPr>
                <w:color w:val="FF0000"/>
                <w:sz w:val="11"/>
              </w:rPr>
              <w:t>51AA</w:t>
            </w:r>
          </w:p>
        </w:tc>
        <w:tc>
          <w:tcPr>
            <w:tcW w:w="736" w:type="dxa"/>
            <w:tcBorders>
              <w:top w:val="single" w:sz="3" w:space="0" w:color="DADCDD"/>
            </w:tcBorders>
          </w:tcPr>
          <w:p>
            <w:pPr/>
          </w:p>
        </w:tc>
        <w:tc>
          <w:tcPr>
            <w:tcW w:w="601" w:type="dxa"/>
            <w:tcBorders>
              <w:top w:val="single" w:sz="3" w:space="0" w:color="DADCDD"/>
            </w:tcBorders>
          </w:tcPr>
          <w:p>
            <w:pPr/>
          </w:p>
        </w:tc>
        <w:tc>
          <w:tcPr>
            <w:tcW w:w="601" w:type="dxa"/>
            <w:tcBorders>
              <w:top w:val="single" w:sz="3" w:space="0" w:color="DADCDD"/>
            </w:tcBorders>
          </w:tcPr>
          <w:p>
            <w:pPr/>
          </w:p>
        </w:tc>
        <w:tc>
          <w:tcPr>
            <w:tcW w:w="894" w:type="dxa"/>
            <w:tcBorders>
              <w:top w:val="single" w:sz="3" w:space="0" w:color="DADCDD"/>
            </w:tcBorders>
          </w:tcPr>
          <w:p>
            <w:pPr/>
          </w:p>
        </w:tc>
        <w:tc>
          <w:tcPr>
            <w:tcW w:w="601" w:type="dxa"/>
            <w:tcBorders>
              <w:top w:val="single" w:sz="3" w:space="0" w:color="DADCDD"/>
            </w:tcBorders>
          </w:tcPr>
          <w:p>
            <w:pPr/>
          </w:p>
        </w:tc>
        <w:tc>
          <w:tcPr>
            <w:tcW w:w="601" w:type="dxa"/>
            <w:tcBorders>
              <w:top w:val="single" w:sz="3" w:space="0" w:color="DADCDD"/>
            </w:tcBorders>
          </w:tcPr>
          <w:p>
            <w:pPr/>
          </w:p>
        </w:tc>
        <w:tc>
          <w:tcPr>
            <w:tcW w:w="601" w:type="dxa"/>
            <w:tcBorders>
              <w:top w:val="single" w:sz="3" w:space="0" w:color="DADCDD"/>
            </w:tcBorders>
          </w:tcPr>
          <w:p>
            <w:pPr/>
          </w:p>
        </w:tc>
        <w:tc>
          <w:tcPr>
            <w:tcW w:w="781" w:type="dxa"/>
            <w:tcBorders>
              <w:top w:val="single" w:sz="3" w:space="0" w:color="DADCDD"/>
            </w:tcBorders>
          </w:tcPr>
          <w:p>
            <w:pPr/>
          </w:p>
        </w:tc>
        <w:tc>
          <w:tcPr>
            <w:tcW w:w="1044" w:type="dxa"/>
            <w:tcBorders>
              <w:top w:val="single" w:sz="3" w:space="0" w:color="DADCDD"/>
            </w:tcBorders>
          </w:tcPr>
          <w:p>
            <w:pPr/>
          </w:p>
        </w:tc>
        <w:tc>
          <w:tcPr>
            <w:tcW w:w="706" w:type="dxa"/>
            <w:tcBorders>
              <w:top w:val="single" w:sz="3" w:space="0" w:color="DADCDD"/>
            </w:tcBorders>
          </w:tcPr>
          <w:p>
            <w:pPr/>
          </w:p>
        </w:tc>
        <w:tc>
          <w:tcPr>
            <w:tcW w:w="601" w:type="dxa"/>
            <w:tcBorders>
              <w:top w:val="single" w:sz="3" w:space="0" w:color="DADCDD"/>
            </w:tcBorders>
          </w:tcPr>
          <w:p>
            <w:pPr/>
          </w:p>
        </w:tc>
        <w:tc>
          <w:tcPr>
            <w:tcW w:w="834" w:type="dxa"/>
            <w:tcBorders>
              <w:top w:val="single" w:sz="3" w:space="0" w:color="DADCDD"/>
            </w:tcBorders>
          </w:tcPr>
          <w:p>
            <w:pPr/>
          </w:p>
        </w:tc>
      </w:tr>
      <w:tr>
        <w:trPr>
          <w:trHeight w:val="150" w:hRule="exact"/>
        </w:trPr>
        <w:tc>
          <w:tcPr>
            <w:tcW w:w="864" w:type="dxa"/>
          </w:tcPr>
          <w:p>
            <w:pPr>
              <w:pStyle w:val="TableParagraph"/>
              <w:ind w:left="30" w:right="-12"/>
              <w:rPr>
                <w:sz w:val="11"/>
              </w:rPr>
            </w:pPr>
            <w:r>
              <w:rPr>
                <w:color w:val="FF0000"/>
                <w:sz w:val="11"/>
              </w:rPr>
              <w:t>((005)) B48W2009</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El Trapiche</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30" w:right="-12"/>
              <w:rPr>
                <w:sz w:val="11"/>
              </w:rPr>
            </w:pPr>
            <w:r>
              <w:rPr>
                <w:color w:val="FF0000"/>
                <w:sz w:val="11"/>
              </w:rPr>
              <w:t>((005)) B48W2009</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El Trapiche</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CASEOSO</w:t>
            </w:r>
          </w:p>
        </w:tc>
      </w:tr>
      <w:tr>
        <w:trPr>
          <w:trHeight w:val="150" w:hRule="exact"/>
        </w:trPr>
        <w:tc>
          <w:tcPr>
            <w:tcW w:w="864" w:type="dxa"/>
          </w:tcPr>
          <w:p>
            <w:pPr>
              <w:pStyle w:val="TableParagraph"/>
              <w:ind w:left="266" w:right="267"/>
              <w:jc w:val="center"/>
              <w:rPr>
                <w:sz w:val="11"/>
              </w:rPr>
            </w:pPr>
            <w:r>
              <w:rPr>
                <w:color w:val="FF0000"/>
                <w:sz w:val="11"/>
              </w:rPr>
              <w:t>(9-15)</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Matatlan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70" w:right="-12"/>
              <w:rPr>
                <w:sz w:val="11"/>
              </w:rPr>
            </w:pPr>
            <w:r>
              <w:rPr>
                <w:color w:val="FF0000"/>
                <w:sz w:val="11"/>
              </w:rPr>
              <w:t>728917</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127" w:right="-12"/>
              <w:rPr>
                <w:sz w:val="11"/>
              </w:rPr>
            </w:pPr>
            <w:r>
              <w:rPr>
                <w:color w:val="FF0000"/>
                <w:sz w:val="11"/>
              </w:rPr>
              <w:t>((023B)) 8144</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CAUDAL</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AMARILLO</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spacing w:before="8"/>
              <w:ind w:left="105" w:right="-12"/>
              <w:rPr>
                <w:sz w:val="11"/>
              </w:rPr>
            </w:pPr>
            <w:r>
              <w:rPr>
                <w:color w:val="FF0000"/>
                <w:sz w:val="11"/>
              </w:rPr>
              <w:t>((044)) 732612</w:t>
            </w:r>
          </w:p>
        </w:tc>
        <w:tc>
          <w:tcPr>
            <w:tcW w:w="736" w:type="dxa"/>
          </w:tcPr>
          <w:p>
            <w:pPr>
              <w:pStyle w:val="TableParagraph"/>
              <w:spacing w:before="8"/>
              <w:rPr>
                <w:sz w:val="11"/>
              </w:rPr>
            </w:pPr>
            <w:r>
              <w:rPr>
                <w:sz w:val="11"/>
              </w:rPr>
              <w:t>ZAPOPAN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Tesistan</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AMARILLO</w:t>
            </w:r>
          </w:p>
        </w:tc>
        <w:tc>
          <w:tcPr>
            <w:tcW w:w="834" w:type="dxa"/>
          </w:tcPr>
          <w:p>
            <w:pPr>
              <w:pStyle w:val="TableParagraph"/>
              <w:spacing w:before="8"/>
              <w:ind w:left="14" w:right="-2"/>
              <w:rPr>
                <w:sz w:val="11"/>
              </w:rPr>
            </w:pPr>
            <w:r>
              <w:rPr>
                <w:sz w:val="11"/>
              </w:rPr>
              <w:t>SEROSO</w:t>
            </w:r>
          </w:p>
        </w:tc>
      </w:tr>
      <w:tr>
        <w:trPr>
          <w:trHeight w:val="150" w:hRule="exact"/>
        </w:trPr>
        <w:tc>
          <w:tcPr>
            <w:tcW w:w="864" w:type="dxa"/>
          </w:tcPr>
          <w:p>
            <w:pPr>
              <w:pStyle w:val="TableParagraph"/>
              <w:ind w:left="127" w:right="-12"/>
              <w:rPr>
                <w:sz w:val="11"/>
              </w:rPr>
            </w:pPr>
            <w:r>
              <w:rPr>
                <w:color w:val="FF0000"/>
                <w:sz w:val="11"/>
              </w:rPr>
              <w:t>(2-6) 5588122</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Santa FE</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CAPRINO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ALPINA</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32" w:right="-12"/>
              <w:rPr>
                <w:sz w:val="11"/>
              </w:rPr>
            </w:pPr>
            <w:r>
              <w:rPr>
                <w:color w:val="FF0000"/>
                <w:sz w:val="11"/>
              </w:rPr>
              <w:t>(8-3) 474</w:t>
            </w:r>
          </w:p>
        </w:tc>
        <w:tc>
          <w:tcPr>
            <w:tcW w:w="736" w:type="dxa"/>
          </w:tcPr>
          <w:p>
            <w:pPr>
              <w:pStyle w:val="TableParagraph"/>
              <w:spacing w:before="8"/>
              <w:rPr>
                <w:sz w:val="11"/>
              </w:rPr>
            </w:pPr>
            <w:r>
              <w:rPr>
                <w:sz w:val="11"/>
              </w:rPr>
              <w:t>ACATIC</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Acatic</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PELIGUEY</w:t>
            </w:r>
          </w:p>
        </w:tc>
        <w:tc>
          <w:tcPr>
            <w:tcW w:w="781" w:type="dxa"/>
          </w:tcPr>
          <w:p>
            <w:pPr>
              <w:pStyle w:val="TableParagraph"/>
              <w:spacing w:before="8"/>
              <w:ind w:left="14" w:right="-34"/>
              <w:rPr>
                <w:sz w:val="11"/>
              </w:rPr>
            </w:pPr>
            <w:r>
              <w:rPr>
                <w:sz w:val="11"/>
              </w:rPr>
              <w:t>CABEZA</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66" w:right="267"/>
              <w:jc w:val="center"/>
              <w:rPr>
                <w:sz w:val="11"/>
              </w:rPr>
            </w:pPr>
            <w:r>
              <w:rPr>
                <w:color w:val="FF0000"/>
                <w:sz w:val="11"/>
              </w:rPr>
              <w:t>(9-12)</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Matatlan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66" w:right="266"/>
              <w:jc w:val="center"/>
              <w:rPr>
                <w:sz w:val="11"/>
              </w:rPr>
            </w:pPr>
            <w:r>
              <w:rPr>
                <w:color w:val="FF0000"/>
                <w:sz w:val="11"/>
              </w:rPr>
              <w:t>3579</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Santa FE</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70" w:right="-12"/>
              <w:rPr>
                <w:sz w:val="11"/>
              </w:rPr>
            </w:pPr>
            <w:r>
              <w:rPr>
                <w:color w:val="FF0000"/>
                <w:sz w:val="11"/>
              </w:rPr>
              <w:t>632935</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Lomas de Sa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75" w:right="-12"/>
              <w:rPr>
                <w:sz w:val="11"/>
              </w:rPr>
            </w:pPr>
            <w:r>
              <w:rPr>
                <w:color w:val="FF0000"/>
                <w:sz w:val="11"/>
              </w:rPr>
              <w:t>((033B)) 635816</w:t>
            </w:r>
          </w:p>
        </w:tc>
        <w:tc>
          <w:tcPr>
            <w:tcW w:w="736" w:type="dxa"/>
          </w:tcPr>
          <w:p>
            <w:pPr>
              <w:pStyle w:val="TableParagraph"/>
              <w:spacing w:before="8"/>
              <w:rPr>
                <w:sz w:val="11"/>
              </w:rPr>
            </w:pPr>
            <w:r>
              <w:rPr>
                <w:sz w:val="11"/>
              </w:rPr>
              <w:t>ZAPOPAN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Tesistan</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SEROSO</w:t>
            </w:r>
          </w:p>
        </w:tc>
      </w:tr>
      <w:tr>
        <w:trPr>
          <w:trHeight w:val="150" w:hRule="exact"/>
        </w:trPr>
        <w:tc>
          <w:tcPr>
            <w:tcW w:w="864" w:type="dxa"/>
          </w:tcPr>
          <w:p>
            <w:pPr>
              <w:pStyle w:val="TableParagraph"/>
              <w:ind w:left="157" w:right="-12"/>
              <w:rPr>
                <w:sz w:val="11"/>
              </w:rPr>
            </w:pPr>
            <w:r>
              <w:rPr>
                <w:color w:val="FF0000"/>
                <w:sz w:val="11"/>
              </w:rPr>
              <w:t>((024)) T116</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MACHO</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spacing w:before="8"/>
              <w:ind w:left="255" w:right="-12"/>
              <w:rPr>
                <w:sz w:val="11"/>
              </w:rPr>
            </w:pPr>
            <w:r>
              <w:rPr>
                <w:color w:val="FF0000"/>
                <w:sz w:val="11"/>
              </w:rPr>
              <w:t>52 (4-4)</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Tauquilla</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CABEZA</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SANGUINOLENTO</w:t>
            </w:r>
          </w:p>
        </w:tc>
      </w:tr>
      <w:tr>
        <w:trPr>
          <w:trHeight w:val="150" w:hRule="exact"/>
        </w:trPr>
        <w:tc>
          <w:tcPr>
            <w:tcW w:w="864" w:type="dxa"/>
          </w:tcPr>
          <w:p>
            <w:pPr>
              <w:pStyle w:val="TableParagraph"/>
              <w:ind w:left="266" w:right="266"/>
              <w:jc w:val="center"/>
              <w:rPr>
                <w:sz w:val="11"/>
              </w:rPr>
            </w:pPr>
            <w:r>
              <w:rPr>
                <w:color w:val="FF0000"/>
                <w:sz w:val="11"/>
              </w:rPr>
              <w:t>3582</w:t>
            </w:r>
          </w:p>
        </w:tc>
        <w:tc>
          <w:tcPr>
            <w:tcW w:w="736" w:type="dxa"/>
          </w:tcPr>
          <w:p>
            <w:pPr>
              <w:pStyle w:val="TableParagraph"/>
              <w:rPr>
                <w:sz w:val="11"/>
              </w:rPr>
            </w:pPr>
            <w:r>
              <w:rPr>
                <w:sz w:val="11"/>
              </w:rPr>
              <w:t>TEPATITLAN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Pescadero</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55" w:right="-12"/>
              <w:rPr>
                <w:sz w:val="11"/>
              </w:rPr>
            </w:pPr>
            <w:r>
              <w:rPr>
                <w:color w:val="FF0000"/>
                <w:sz w:val="11"/>
              </w:rPr>
              <w:t>59 (1-6)</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Santa FE</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CAPRINO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SAANEN</w:t>
            </w:r>
          </w:p>
        </w:tc>
        <w:tc>
          <w:tcPr>
            <w:tcW w:w="781" w:type="dxa"/>
          </w:tcPr>
          <w:p>
            <w:pPr>
              <w:pStyle w:val="TableParagraph"/>
              <w:spacing w:before="8"/>
              <w:ind w:left="14" w:right="-34"/>
              <w:rPr>
                <w:sz w:val="11"/>
              </w:rPr>
            </w:pPr>
            <w:r>
              <w:rPr>
                <w:sz w:val="11"/>
              </w:rPr>
              <w:t>INGUINAL</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37" w:right="-12"/>
              <w:rPr>
                <w:sz w:val="11"/>
              </w:rPr>
            </w:pPr>
            <w:r>
              <w:rPr>
                <w:color w:val="FF0000"/>
                <w:spacing w:val="-5"/>
                <w:sz w:val="11"/>
              </w:rPr>
              <w:t>728402 </w:t>
            </w:r>
            <w:r>
              <w:rPr>
                <w:color w:val="FF0000"/>
                <w:sz w:val="11"/>
              </w:rPr>
              <w:t>(5-8)  </w:t>
            </w:r>
            <w:r>
              <w:rPr>
                <w:color w:val="FF0000"/>
                <w:spacing w:val="-4"/>
                <w:sz w:val="11"/>
              </w:rPr>
              <w:t>5923</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Zapotlanejo</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202" w:right="-12"/>
              <w:rPr>
                <w:sz w:val="11"/>
              </w:rPr>
            </w:pPr>
            <w:r>
              <w:rPr>
                <w:color w:val="FF0000"/>
                <w:sz w:val="11"/>
              </w:rPr>
              <w:t>(4-3) 1134</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La Purisima</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LA MANCHA</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AMARILLO</w:t>
            </w:r>
          </w:p>
        </w:tc>
        <w:tc>
          <w:tcPr>
            <w:tcW w:w="834" w:type="dxa"/>
          </w:tcPr>
          <w:p>
            <w:pPr>
              <w:pStyle w:val="TableParagraph"/>
              <w:spacing w:before="8"/>
              <w:ind w:left="14" w:right="-2"/>
              <w:rPr>
                <w:sz w:val="11"/>
              </w:rPr>
            </w:pPr>
            <w:r>
              <w:rPr>
                <w:sz w:val="11"/>
              </w:rPr>
              <w:t>PURULENTO</w:t>
            </w:r>
          </w:p>
        </w:tc>
      </w:tr>
      <w:tr>
        <w:trPr>
          <w:trHeight w:val="150" w:hRule="exact"/>
        </w:trPr>
        <w:tc>
          <w:tcPr>
            <w:tcW w:w="864" w:type="dxa"/>
          </w:tcPr>
          <w:p>
            <w:pPr>
              <w:pStyle w:val="TableParagraph"/>
              <w:ind w:left="266" w:right="267"/>
              <w:jc w:val="center"/>
              <w:rPr>
                <w:sz w:val="11"/>
              </w:rPr>
            </w:pPr>
            <w:r>
              <w:rPr>
                <w:color w:val="FF0000"/>
                <w:sz w:val="11"/>
              </w:rPr>
              <w:t>9575R</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Santa Anita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spacing w:before="8"/>
              <w:ind w:left="75" w:right="-12"/>
              <w:rPr>
                <w:sz w:val="11"/>
              </w:rPr>
            </w:pPr>
            <w:r>
              <w:rPr>
                <w:color w:val="FF0000"/>
                <w:sz w:val="11"/>
              </w:rPr>
              <w:t>((033B)) 635816</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Tesistan</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SEROSO</w:t>
            </w:r>
          </w:p>
        </w:tc>
      </w:tr>
      <w:tr>
        <w:trPr>
          <w:trHeight w:val="150" w:hRule="exact"/>
        </w:trPr>
        <w:tc>
          <w:tcPr>
            <w:tcW w:w="864" w:type="dxa"/>
          </w:tcPr>
          <w:p>
            <w:pPr>
              <w:pStyle w:val="TableParagraph"/>
              <w:ind w:left="105" w:right="-12"/>
              <w:rPr>
                <w:sz w:val="11"/>
              </w:rPr>
            </w:pPr>
            <w:r>
              <w:rPr>
                <w:color w:val="FF0000"/>
                <w:sz w:val="11"/>
              </w:rPr>
              <w:t>((027)) 716187</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262" w:right="-12"/>
              <w:rPr>
                <w:sz w:val="11"/>
              </w:rPr>
            </w:pPr>
            <w:r>
              <w:rPr>
                <w:color w:val="FF0000"/>
                <w:sz w:val="11"/>
              </w:rPr>
              <w:t>3612PK</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5.1 A 10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70" w:right="-12"/>
              <w:rPr>
                <w:sz w:val="11"/>
              </w:rPr>
            </w:pPr>
            <w:r>
              <w:rPr>
                <w:color w:val="FF0000"/>
                <w:sz w:val="11"/>
              </w:rPr>
              <w:t>651793</w:t>
            </w:r>
          </w:p>
        </w:tc>
        <w:tc>
          <w:tcPr>
            <w:tcW w:w="736" w:type="dxa"/>
          </w:tcPr>
          <w:p>
            <w:pPr>
              <w:pStyle w:val="TableParagraph"/>
              <w:rPr>
                <w:sz w:val="11"/>
              </w:rPr>
            </w:pPr>
            <w:r>
              <w:rPr>
                <w:sz w:val="11"/>
              </w:rPr>
              <w:t>TEPATITLAN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Capilla de M</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DORPER</w:t>
            </w:r>
            <w:r>
              <w:rPr>
                <w:spacing w:val="1"/>
                <w:sz w:val="11"/>
              </w:rPr>
              <w:t> </w:t>
            </w:r>
            <w:r>
              <w:rPr>
                <w:sz w:val="11"/>
              </w:rPr>
              <w:t>CRU</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66" w:right="263"/>
              <w:jc w:val="center"/>
              <w:rPr>
                <w:sz w:val="11"/>
              </w:rPr>
            </w:pPr>
            <w:r>
              <w:rPr>
                <w:color w:val="FF0000"/>
                <w:sz w:val="11"/>
              </w:rPr>
              <w:t>(6-4)</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CABEZA</w:t>
            </w:r>
          </w:p>
        </w:tc>
        <w:tc>
          <w:tcPr>
            <w:tcW w:w="1044" w:type="dxa"/>
          </w:tcPr>
          <w:p>
            <w:pPr>
              <w:pStyle w:val="TableParagraph"/>
              <w:spacing w:before="8"/>
              <w:ind w:left="14"/>
              <w:rPr>
                <w:sz w:val="11"/>
              </w:rPr>
            </w:pPr>
            <w:r>
              <w:rPr>
                <w:sz w:val="11"/>
              </w:rPr>
              <w:t>5.1 A 10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AMARILLO</w:t>
            </w:r>
          </w:p>
        </w:tc>
        <w:tc>
          <w:tcPr>
            <w:tcW w:w="834" w:type="dxa"/>
          </w:tcPr>
          <w:p>
            <w:pPr>
              <w:pStyle w:val="TableParagraph"/>
              <w:spacing w:before="8"/>
              <w:ind w:left="14" w:right="-2"/>
              <w:rPr>
                <w:sz w:val="11"/>
              </w:rPr>
            </w:pPr>
            <w:r>
              <w:rPr>
                <w:sz w:val="11"/>
              </w:rPr>
              <w:t>CASEOSO</w:t>
            </w:r>
          </w:p>
        </w:tc>
      </w:tr>
      <w:tr>
        <w:trPr>
          <w:trHeight w:val="150" w:hRule="exact"/>
        </w:trPr>
        <w:tc>
          <w:tcPr>
            <w:tcW w:w="864" w:type="dxa"/>
          </w:tcPr>
          <w:p>
            <w:pPr>
              <w:pStyle w:val="TableParagraph"/>
              <w:ind w:left="67" w:right="-12"/>
              <w:rPr>
                <w:sz w:val="11"/>
              </w:rPr>
            </w:pPr>
            <w:r>
              <w:rPr>
                <w:color w:val="FF0000"/>
                <w:sz w:val="11"/>
              </w:rPr>
              <w:t>((0016DR)) 8351</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pacing w:val="-1"/>
                <w:sz w:val="11"/>
              </w:rPr>
              <w:t>GLANDULA</w:t>
            </w:r>
            <w:r>
              <w:rPr>
                <w:spacing w:val="6"/>
                <w:sz w:val="11"/>
              </w:rPr>
              <w:t> </w:t>
            </w:r>
            <w:r>
              <w:rPr>
                <w:sz w:val="11"/>
              </w:rPr>
              <w:t>MAM</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BLANCO</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266" w:right="261"/>
              <w:jc w:val="center"/>
              <w:rPr>
                <w:sz w:val="11"/>
              </w:rPr>
            </w:pPr>
            <w:r>
              <w:rPr>
                <w:color w:val="FF0000"/>
                <w:sz w:val="11"/>
              </w:rPr>
              <w:t>H14X</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CABEZA</w:t>
            </w:r>
          </w:p>
        </w:tc>
        <w:tc>
          <w:tcPr>
            <w:tcW w:w="1044" w:type="dxa"/>
          </w:tcPr>
          <w:p>
            <w:pPr>
              <w:pStyle w:val="TableParagraph"/>
              <w:spacing w:before="8"/>
              <w:ind w:left="14"/>
              <w:rPr>
                <w:sz w:val="11"/>
              </w:rPr>
            </w:pPr>
            <w:r>
              <w:rPr>
                <w:sz w:val="11"/>
              </w:rPr>
              <w:t>5.1 A 10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PURULENTO</w:t>
            </w:r>
          </w:p>
        </w:tc>
      </w:tr>
      <w:tr>
        <w:trPr>
          <w:trHeight w:val="150" w:hRule="exact"/>
        </w:trPr>
        <w:tc>
          <w:tcPr>
            <w:tcW w:w="864" w:type="dxa"/>
          </w:tcPr>
          <w:p>
            <w:pPr>
              <w:pStyle w:val="TableParagraph"/>
              <w:ind w:left="270" w:right="-12"/>
              <w:rPr>
                <w:sz w:val="11"/>
              </w:rPr>
            </w:pPr>
            <w:r>
              <w:rPr>
                <w:color w:val="FF0000"/>
                <w:sz w:val="11"/>
              </w:rPr>
              <w:t>734503</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Lomas de Sa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MACHO</w:t>
            </w:r>
          </w:p>
        </w:tc>
        <w:tc>
          <w:tcPr>
            <w:tcW w:w="601" w:type="dxa"/>
          </w:tcPr>
          <w:p>
            <w:pPr>
              <w:pStyle w:val="TableParagraph"/>
              <w:ind w:right="-27"/>
              <w:rPr>
                <w:sz w:val="11"/>
              </w:rPr>
            </w:pPr>
            <w:r>
              <w:rPr>
                <w:sz w:val="11"/>
              </w:rPr>
              <w:t>BOER</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spacing w:before="8"/>
              <w:ind w:left="105" w:right="-12"/>
              <w:rPr>
                <w:sz w:val="11"/>
              </w:rPr>
            </w:pPr>
            <w:r>
              <w:rPr>
                <w:color w:val="FF0000"/>
                <w:sz w:val="11"/>
              </w:rPr>
              <w:t>((026)) 635669</w:t>
            </w:r>
          </w:p>
        </w:tc>
        <w:tc>
          <w:tcPr>
            <w:tcW w:w="736" w:type="dxa"/>
          </w:tcPr>
          <w:p>
            <w:pPr>
              <w:pStyle w:val="TableParagraph"/>
              <w:spacing w:before="8"/>
              <w:rPr>
                <w:sz w:val="11"/>
              </w:rPr>
            </w:pPr>
            <w:r>
              <w:rPr>
                <w:sz w:val="11"/>
              </w:rPr>
              <w:t>ZAPOPAN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Tesistan</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MACHO</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CABEZA Y CUELL</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PURULENTO</w:t>
            </w:r>
          </w:p>
        </w:tc>
      </w:tr>
      <w:tr>
        <w:trPr>
          <w:trHeight w:val="150" w:hRule="exact"/>
        </w:trPr>
        <w:tc>
          <w:tcPr>
            <w:tcW w:w="864" w:type="dxa"/>
          </w:tcPr>
          <w:p>
            <w:pPr>
              <w:pStyle w:val="TableParagraph"/>
              <w:ind w:left="157" w:right="-12"/>
              <w:rPr>
                <w:sz w:val="11"/>
              </w:rPr>
            </w:pPr>
            <w:r>
              <w:rPr>
                <w:color w:val="FF0000"/>
                <w:sz w:val="11"/>
              </w:rPr>
              <w:t>((030)) 8150</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ind w:left="105" w:right="-12"/>
              <w:rPr>
                <w:sz w:val="11"/>
              </w:rPr>
            </w:pPr>
            <w:r>
              <w:rPr>
                <w:color w:val="FF0000"/>
                <w:sz w:val="11"/>
              </w:rPr>
              <w:t>((019)) 585440</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INGUINAL</w:t>
            </w:r>
          </w:p>
        </w:tc>
        <w:tc>
          <w:tcPr>
            <w:tcW w:w="1044" w:type="dxa"/>
          </w:tcPr>
          <w:p>
            <w:pPr>
              <w:pStyle w:val="TableParagraph"/>
              <w:ind w:left="14"/>
              <w:rPr>
                <w:sz w:val="11"/>
              </w:rPr>
            </w:pPr>
            <w:r>
              <w:rPr>
                <w:sz w:val="11"/>
              </w:rPr>
              <w:t>5.1 A 10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AMARILLO</w:t>
            </w:r>
          </w:p>
        </w:tc>
        <w:tc>
          <w:tcPr>
            <w:tcW w:w="834" w:type="dxa"/>
          </w:tcPr>
          <w:p>
            <w:pPr>
              <w:pStyle w:val="TableParagraph"/>
              <w:ind w:left="14" w:right="-2"/>
              <w:rPr>
                <w:sz w:val="11"/>
              </w:rPr>
            </w:pPr>
            <w:r>
              <w:rPr>
                <w:sz w:val="11"/>
              </w:rPr>
              <w:t>PURULENTO</w:t>
            </w:r>
          </w:p>
        </w:tc>
      </w:tr>
      <w:tr>
        <w:trPr>
          <w:trHeight w:val="150" w:hRule="exact"/>
        </w:trPr>
        <w:tc>
          <w:tcPr>
            <w:tcW w:w="864" w:type="dxa"/>
          </w:tcPr>
          <w:p>
            <w:pPr>
              <w:pStyle w:val="TableParagraph"/>
              <w:ind w:left="157" w:right="-12"/>
              <w:rPr>
                <w:sz w:val="11"/>
              </w:rPr>
            </w:pPr>
            <w:r>
              <w:rPr>
                <w:color w:val="FF0000"/>
                <w:sz w:val="11"/>
              </w:rPr>
              <w:t>((006)) S34Y</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El Trapiche</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AMARILLO</w:t>
            </w:r>
          </w:p>
        </w:tc>
        <w:tc>
          <w:tcPr>
            <w:tcW w:w="834" w:type="dxa"/>
          </w:tcPr>
          <w:p>
            <w:pPr>
              <w:pStyle w:val="TableParagraph"/>
              <w:ind w:left="14" w:right="-2"/>
              <w:rPr>
                <w:sz w:val="11"/>
              </w:rPr>
            </w:pPr>
            <w:r>
              <w:rPr>
                <w:sz w:val="11"/>
              </w:rPr>
              <w:t>SANGUINOLENTO</w:t>
            </w:r>
          </w:p>
        </w:tc>
      </w:tr>
      <w:tr>
        <w:trPr>
          <w:trHeight w:val="150" w:hRule="exact"/>
        </w:trPr>
        <w:tc>
          <w:tcPr>
            <w:tcW w:w="864" w:type="dxa"/>
          </w:tcPr>
          <w:p>
            <w:pPr>
              <w:pStyle w:val="TableParagraph"/>
              <w:ind w:left="270" w:right="-12"/>
              <w:rPr>
                <w:sz w:val="11"/>
              </w:rPr>
            </w:pPr>
            <w:r>
              <w:rPr>
                <w:color w:val="FF0000"/>
                <w:sz w:val="11"/>
              </w:rPr>
              <w:t>585790</w:t>
            </w:r>
          </w:p>
        </w:tc>
        <w:tc>
          <w:tcPr>
            <w:tcW w:w="736" w:type="dxa"/>
          </w:tcPr>
          <w:p>
            <w:pPr>
              <w:pStyle w:val="TableParagraph"/>
              <w:rPr>
                <w:sz w:val="11"/>
              </w:rPr>
            </w:pPr>
            <w:r>
              <w:rPr>
                <w:sz w:val="11"/>
              </w:rPr>
              <w:t>TEPATITLAN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Capilla de M</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ind w:left="210" w:right="-12"/>
              <w:rPr>
                <w:sz w:val="11"/>
              </w:rPr>
            </w:pPr>
            <w:r>
              <w:rPr>
                <w:color w:val="FF0000"/>
                <w:sz w:val="11"/>
              </w:rPr>
              <w:t>694986PK</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Lomas de Sa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ind w:left="45" w:right="-12"/>
              <w:rPr>
                <w:sz w:val="11"/>
              </w:rPr>
            </w:pPr>
            <w:r>
              <w:rPr>
                <w:color w:val="FF0000"/>
                <w:sz w:val="11"/>
              </w:rPr>
              <w:t>(4-2. 2LJ ) 345929</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Tauquilla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AMARILLO</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ind w:left="262" w:right="-12"/>
              <w:rPr>
                <w:sz w:val="11"/>
              </w:rPr>
            </w:pPr>
            <w:r>
              <w:rPr>
                <w:color w:val="FF0000"/>
                <w:sz w:val="11"/>
              </w:rPr>
              <w:t>5601PK</w:t>
            </w:r>
          </w:p>
        </w:tc>
        <w:tc>
          <w:tcPr>
            <w:tcW w:w="736" w:type="dxa"/>
          </w:tcPr>
          <w:p>
            <w:pPr/>
          </w:p>
        </w:tc>
        <w:tc>
          <w:tcPr>
            <w:tcW w:w="601" w:type="dxa"/>
          </w:tcPr>
          <w:p>
            <w:pPr/>
          </w:p>
        </w:tc>
        <w:tc>
          <w:tcPr>
            <w:tcW w:w="601" w:type="dxa"/>
          </w:tcPr>
          <w:p>
            <w:pPr/>
          </w:p>
        </w:tc>
        <w:tc>
          <w:tcPr>
            <w:tcW w:w="894" w:type="dxa"/>
          </w:tcPr>
          <w:p>
            <w:pP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r>
        <w:trPr>
          <w:trHeight w:val="150" w:hRule="exact"/>
        </w:trPr>
        <w:tc>
          <w:tcPr>
            <w:tcW w:w="864" w:type="dxa"/>
            <w:tcBorders>
              <w:bottom w:val="single" w:sz="3" w:space="0" w:color="DADCDD"/>
            </w:tcBorders>
          </w:tcPr>
          <w:p>
            <w:pPr>
              <w:pStyle w:val="TableParagraph"/>
              <w:ind w:left="120" w:right="-12"/>
              <w:rPr>
                <w:sz w:val="11"/>
              </w:rPr>
            </w:pPr>
            <w:r>
              <w:rPr>
                <w:color w:val="FF0000"/>
                <w:sz w:val="11"/>
              </w:rPr>
              <w:t>(4-5-2L-J.) 7-0</w:t>
            </w:r>
          </w:p>
        </w:tc>
        <w:tc>
          <w:tcPr>
            <w:tcW w:w="736" w:type="dxa"/>
            <w:tcBorders>
              <w:bottom w:val="single" w:sz="3" w:space="0" w:color="DADCDD"/>
            </w:tcBorders>
          </w:tcPr>
          <w:p>
            <w:pPr>
              <w:pStyle w:val="TableParagraph"/>
              <w:rPr>
                <w:sz w:val="11"/>
              </w:rPr>
            </w:pPr>
            <w:r>
              <w:rPr>
                <w:sz w:val="11"/>
              </w:rPr>
              <w:t>ZAPOTLANEJO</w:t>
            </w:r>
          </w:p>
        </w:tc>
        <w:tc>
          <w:tcPr>
            <w:tcW w:w="601" w:type="dxa"/>
            <w:tcBorders>
              <w:bottom w:val="single" w:sz="3" w:space="0" w:color="DADCDD"/>
            </w:tcBorders>
          </w:tcPr>
          <w:p>
            <w:pPr>
              <w:pStyle w:val="TableParagraph"/>
              <w:rPr>
                <w:sz w:val="11"/>
              </w:rPr>
            </w:pPr>
            <w:r>
              <w:rPr>
                <w:sz w:val="11"/>
              </w:rPr>
              <w:t>JALISCO</w:t>
            </w:r>
          </w:p>
        </w:tc>
        <w:tc>
          <w:tcPr>
            <w:tcW w:w="601" w:type="dxa"/>
            <w:tcBorders>
              <w:bottom w:val="single" w:sz="3" w:space="0" w:color="DADCDD"/>
            </w:tcBorders>
          </w:tcPr>
          <w:p>
            <w:pPr>
              <w:pStyle w:val="TableParagraph"/>
              <w:rPr>
                <w:sz w:val="11"/>
              </w:rPr>
            </w:pPr>
            <w:r>
              <w:rPr>
                <w:sz w:val="11"/>
              </w:rPr>
              <w:t>Tauquilla</w:t>
            </w:r>
          </w:p>
        </w:tc>
        <w:tc>
          <w:tcPr>
            <w:tcW w:w="894" w:type="dxa"/>
            <w:tcBorders>
              <w:bottom w:val="single" w:sz="3" w:space="0" w:color="DADCDD"/>
            </w:tcBorders>
          </w:tcPr>
          <w:p>
            <w:pPr>
              <w:pStyle w:val="TableParagraph"/>
              <w:ind w:right="-20"/>
              <w:rPr>
                <w:sz w:val="11"/>
              </w:rPr>
            </w:pPr>
            <w:r>
              <w:rPr>
                <w:sz w:val="11"/>
              </w:rPr>
              <w:t>BUENA</w:t>
            </w:r>
          </w:p>
        </w:tc>
        <w:tc>
          <w:tcPr>
            <w:tcW w:w="601" w:type="dxa"/>
            <w:tcBorders>
              <w:bottom w:val="single" w:sz="3" w:space="0" w:color="DADCDD"/>
            </w:tcBorders>
          </w:tcPr>
          <w:p>
            <w:pPr>
              <w:pStyle w:val="TableParagraph"/>
              <w:ind w:left="14"/>
              <w:rPr>
                <w:sz w:val="11"/>
              </w:rPr>
            </w:pPr>
            <w:r>
              <w:rPr>
                <w:sz w:val="11"/>
              </w:rPr>
              <w:t>OVINO</w:t>
            </w:r>
          </w:p>
        </w:tc>
        <w:tc>
          <w:tcPr>
            <w:tcW w:w="601" w:type="dxa"/>
            <w:tcBorders>
              <w:bottom w:val="single" w:sz="3" w:space="0" w:color="DADCDD"/>
            </w:tcBorders>
          </w:tcPr>
          <w:p>
            <w:pPr>
              <w:pStyle w:val="TableParagraph"/>
              <w:ind w:left="14"/>
              <w:rPr>
                <w:sz w:val="11"/>
              </w:rPr>
            </w:pPr>
            <w:r>
              <w:rPr>
                <w:sz w:val="11"/>
              </w:rPr>
              <w:t>HEMBRA</w:t>
            </w:r>
          </w:p>
        </w:tc>
        <w:tc>
          <w:tcPr>
            <w:tcW w:w="601" w:type="dxa"/>
            <w:tcBorders>
              <w:bottom w:val="single" w:sz="3" w:space="0" w:color="DADCDD"/>
            </w:tcBorders>
          </w:tcPr>
          <w:p>
            <w:pPr>
              <w:pStyle w:val="TableParagraph"/>
              <w:ind w:right="-27"/>
              <w:rPr>
                <w:sz w:val="11"/>
              </w:rPr>
            </w:pPr>
            <w:r>
              <w:rPr>
                <w:sz w:val="11"/>
              </w:rPr>
              <w:t>PELIFORK</w:t>
            </w:r>
          </w:p>
        </w:tc>
        <w:tc>
          <w:tcPr>
            <w:tcW w:w="781" w:type="dxa"/>
            <w:tcBorders>
              <w:bottom w:val="single" w:sz="3" w:space="0" w:color="DADCDD"/>
            </w:tcBorders>
          </w:tcPr>
          <w:p>
            <w:pPr>
              <w:pStyle w:val="TableParagraph"/>
              <w:ind w:left="14" w:right="-34"/>
              <w:rPr>
                <w:sz w:val="11"/>
              </w:rPr>
            </w:pPr>
            <w:r>
              <w:rPr>
                <w:sz w:val="11"/>
              </w:rPr>
              <w:t>CABEZA</w:t>
            </w:r>
          </w:p>
        </w:tc>
        <w:tc>
          <w:tcPr>
            <w:tcW w:w="1044" w:type="dxa"/>
            <w:tcBorders>
              <w:bottom w:val="single" w:sz="3" w:space="0" w:color="DADCDD"/>
            </w:tcBorders>
          </w:tcPr>
          <w:p>
            <w:pPr>
              <w:pStyle w:val="TableParagraph"/>
              <w:ind w:left="14"/>
              <w:rPr>
                <w:sz w:val="11"/>
              </w:rPr>
            </w:pPr>
            <w:r>
              <w:rPr>
                <w:sz w:val="11"/>
              </w:rPr>
              <w:t>MENOR 5 CM</w:t>
            </w:r>
          </w:p>
        </w:tc>
        <w:tc>
          <w:tcPr>
            <w:tcW w:w="706" w:type="dxa"/>
            <w:tcBorders>
              <w:bottom w:val="single" w:sz="3" w:space="0" w:color="DADCDD"/>
            </w:tcBorders>
          </w:tcPr>
          <w:p>
            <w:pPr>
              <w:pStyle w:val="TableParagraph"/>
              <w:rPr>
                <w:sz w:val="11"/>
              </w:rPr>
            </w:pPr>
            <w:r>
              <w:rPr>
                <w:sz w:val="11"/>
              </w:rPr>
              <w:t>DURA</w:t>
            </w:r>
          </w:p>
        </w:tc>
        <w:tc>
          <w:tcPr>
            <w:tcW w:w="601" w:type="dxa"/>
            <w:tcBorders>
              <w:bottom w:val="single" w:sz="3" w:space="0" w:color="DADCDD"/>
            </w:tcBorders>
          </w:tcPr>
          <w:p>
            <w:pPr>
              <w:pStyle w:val="TableParagraph"/>
              <w:ind w:left="14"/>
              <w:rPr>
                <w:sz w:val="11"/>
              </w:rPr>
            </w:pPr>
            <w:r>
              <w:rPr>
                <w:sz w:val="11"/>
              </w:rPr>
              <w:t>VERDE</w:t>
            </w:r>
          </w:p>
        </w:tc>
        <w:tc>
          <w:tcPr>
            <w:tcW w:w="834" w:type="dxa"/>
            <w:tcBorders>
              <w:bottom w:val="single" w:sz="3" w:space="0" w:color="DADCDD"/>
            </w:tcBorders>
          </w:tcPr>
          <w:p>
            <w:pPr>
              <w:pStyle w:val="TableParagraph"/>
              <w:ind w:left="14" w:right="-2"/>
              <w:rPr>
                <w:sz w:val="11"/>
              </w:rPr>
            </w:pPr>
            <w:r>
              <w:rPr>
                <w:sz w:val="11"/>
              </w:rPr>
              <w:t>SEROPURULENTO</w:t>
            </w:r>
          </w:p>
        </w:tc>
      </w:tr>
      <w:tr>
        <w:trPr>
          <w:trHeight w:val="150" w:hRule="exact"/>
        </w:trPr>
        <w:tc>
          <w:tcPr>
            <w:tcW w:w="864" w:type="dxa"/>
            <w:tcBorders>
              <w:top w:val="single" w:sz="3" w:space="0" w:color="DADCDD"/>
            </w:tcBorders>
          </w:tcPr>
          <w:p>
            <w:pPr>
              <w:pStyle w:val="TableParagraph"/>
              <w:ind w:left="270" w:right="-12"/>
              <w:rPr>
                <w:sz w:val="11"/>
              </w:rPr>
            </w:pPr>
            <w:r>
              <w:rPr>
                <w:color w:val="FF0000"/>
                <w:sz w:val="11"/>
              </w:rPr>
              <w:t>694978</w:t>
            </w:r>
          </w:p>
        </w:tc>
        <w:tc>
          <w:tcPr>
            <w:tcW w:w="736" w:type="dxa"/>
            <w:tcBorders>
              <w:top w:val="single" w:sz="3" w:space="0" w:color="DADCDD"/>
            </w:tcBorders>
          </w:tcPr>
          <w:p>
            <w:pPr>
              <w:pStyle w:val="TableParagraph"/>
              <w:rPr>
                <w:sz w:val="11"/>
              </w:rPr>
            </w:pPr>
            <w:r>
              <w:rPr>
                <w:sz w:val="11"/>
              </w:rPr>
              <w:t>ZAPOTLANEJO</w:t>
            </w:r>
          </w:p>
        </w:tc>
        <w:tc>
          <w:tcPr>
            <w:tcW w:w="601" w:type="dxa"/>
            <w:tcBorders>
              <w:top w:val="single" w:sz="3" w:space="0" w:color="DADCDD"/>
            </w:tcBorders>
          </w:tcPr>
          <w:p>
            <w:pPr>
              <w:pStyle w:val="TableParagraph"/>
              <w:rPr>
                <w:sz w:val="11"/>
              </w:rPr>
            </w:pPr>
            <w:r>
              <w:rPr>
                <w:sz w:val="11"/>
              </w:rPr>
              <w:t>JALISCO</w:t>
            </w:r>
          </w:p>
        </w:tc>
        <w:tc>
          <w:tcPr>
            <w:tcW w:w="601" w:type="dxa"/>
            <w:tcBorders>
              <w:top w:val="single" w:sz="3" w:space="0" w:color="DADCDD"/>
            </w:tcBorders>
          </w:tcPr>
          <w:p>
            <w:pPr>
              <w:pStyle w:val="TableParagraph"/>
              <w:rPr>
                <w:sz w:val="11"/>
              </w:rPr>
            </w:pPr>
            <w:r>
              <w:rPr>
                <w:sz w:val="11"/>
              </w:rPr>
              <w:t>Lomas de Sa</w:t>
            </w:r>
          </w:p>
        </w:tc>
        <w:tc>
          <w:tcPr>
            <w:tcW w:w="894" w:type="dxa"/>
            <w:tcBorders>
              <w:top w:val="single" w:sz="3" w:space="0" w:color="DADCDD"/>
            </w:tcBorders>
          </w:tcPr>
          <w:p>
            <w:pPr>
              <w:pStyle w:val="TableParagraph"/>
              <w:ind w:right="-20"/>
              <w:rPr>
                <w:sz w:val="11"/>
              </w:rPr>
            </w:pPr>
            <w:r>
              <w:rPr>
                <w:sz w:val="11"/>
              </w:rPr>
              <w:t>BUENA</w:t>
            </w:r>
          </w:p>
        </w:tc>
        <w:tc>
          <w:tcPr>
            <w:tcW w:w="601" w:type="dxa"/>
            <w:tcBorders>
              <w:top w:val="single" w:sz="3" w:space="0" w:color="DADCDD"/>
            </w:tcBorders>
          </w:tcPr>
          <w:p>
            <w:pPr>
              <w:pStyle w:val="TableParagraph"/>
              <w:ind w:left="14"/>
              <w:rPr>
                <w:sz w:val="11"/>
              </w:rPr>
            </w:pPr>
            <w:r>
              <w:rPr>
                <w:sz w:val="11"/>
              </w:rPr>
              <w:t>OVINO</w:t>
            </w:r>
          </w:p>
        </w:tc>
        <w:tc>
          <w:tcPr>
            <w:tcW w:w="601" w:type="dxa"/>
            <w:tcBorders>
              <w:top w:val="single" w:sz="3" w:space="0" w:color="DADCDD"/>
            </w:tcBorders>
          </w:tcPr>
          <w:p>
            <w:pPr>
              <w:pStyle w:val="TableParagraph"/>
              <w:ind w:left="14"/>
              <w:rPr>
                <w:sz w:val="11"/>
              </w:rPr>
            </w:pPr>
            <w:r>
              <w:rPr>
                <w:sz w:val="11"/>
              </w:rPr>
              <w:t>MACHO</w:t>
            </w:r>
          </w:p>
        </w:tc>
        <w:tc>
          <w:tcPr>
            <w:tcW w:w="601" w:type="dxa"/>
            <w:tcBorders>
              <w:top w:val="single" w:sz="3" w:space="0" w:color="DADCDD"/>
            </w:tcBorders>
          </w:tcPr>
          <w:p>
            <w:pPr>
              <w:pStyle w:val="TableParagraph"/>
              <w:ind w:right="-27"/>
              <w:rPr>
                <w:sz w:val="11"/>
              </w:rPr>
            </w:pPr>
            <w:r>
              <w:rPr>
                <w:sz w:val="11"/>
              </w:rPr>
              <w:t>PELIFORK</w:t>
            </w:r>
          </w:p>
        </w:tc>
        <w:tc>
          <w:tcPr>
            <w:tcW w:w="781" w:type="dxa"/>
            <w:tcBorders>
              <w:top w:val="single" w:sz="3" w:space="0" w:color="DADCDD"/>
            </w:tcBorders>
          </w:tcPr>
          <w:p>
            <w:pPr>
              <w:pStyle w:val="TableParagraph"/>
              <w:ind w:left="14" w:right="-34"/>
              <w:rPr>
                <w:sz w:val="11"/>
              </w:rPr>
            </w:pPr>
            <w:r>
              <w:rPr>
                <w:sz w:val="11"/>
              </w:rPr>
              <w:t>CUELLO</w:t>
            </w:r>
          </w:p>
        </w:tc>
        <w:tc>
          <w:tcPr>
            <w:tcW w:w="1044" w:type="dxa"/>
            <w:tcBorders>
              <w:top w:val="single" w:sz="3" w:space="0" w:color="DADCDD"/>
            </w:tcBorders>
          </w:tcPr>
          <w:p>
            <w:pPr>
              <w:pStyle w:val="TableParagraph"/>
              <w:ind w:left="14"/>
              <w:rPr>
                <w:sz w:val="11"/>
              </w:rPr>
            </w:pPr>
            <w:r>
              <w:rPr>
                <w:sz w:val="11"/>
              </w:rPr>
              <w:t>MENOR 5 CM</w:t>
            </w:r>
          </w:p>
        </w:tc>
        <w:tc>
          <w:tcPr>
            <w:tcW w:w="706" w:type="dxa"/>
            <w:tcBorders>
              <w:top w:val="single" w:sz="3" w:space="0" w:color="DADCDD"/>
            </w:tcBorders>
          </w:tcPr>
          <w:p>
            <w:pPr>
              <w:pStyle w:val="TableParagraph"/>
              <w:rPr>
                <w:sz w:val="11"/>
              </w:rPr>
            </w:pPr>
            <w:r>
              <w:rPr>
                <w:sz w:val="11"/>
              </w:rPr>
              <w:t>DURA</w:t>
            </w:r>
          </w:p>
        </w:tc>
        <w:tc>
          <w:tcPr>
            <w:tcW w:w="601" w:type="dxa"/>
            <w:tcBorders>
              <w:top w:val="single" w:sz="3" w:space="0" w:color="DADCDD"/>
            </w:tcBorders>
          </w:tcPr>
          <w:p>
            <w:pPr>
              <w:pStyle w:val="TableParagraph"/>
              <w:ind w:left="14"/>
              <w:rPr>
                <w:sz w:val="11"/>
              </w:rPr>
            </w:pPr>
            <w:r>
              <w:rPr>
                <w:sz w:val="11"/>
              </w:rPr>
              <w:t>VERDE</w:t>
            </w:r>
          </w:p>
        </w:tc>
        <w:tc>
          <w:tcPr>
            <w:tcW w:w="834" w:type="dxa"/>
            <w:tcBorders>
              <w:top w:val="single" w:sz="3" w:space="0" w:color="DADCDD"/>
            </w:tcBorders>
          </w:tcPr>
          <w:p>
            <w:pPr>
              <w:pStyle w:val="TableParagraph"/>
              <w:ind w:left="14" w:right="-2"/>
              <w:rPr>
                <w:sz w:val="11"/>
              </w:rPr>
            </w:pPr>
            <w:r>
              <w:rPr>
                <w:sz w:val="11"/>
              </w:rPr>
              <w:t>SEROSO</w:t>
            </w:r>
          </w:p>
        </w:tc>
      </w:tr>
      <w:tr>
        <w:trPr>
          <w:trHeight w:val="150" w:hRule="exact"/>
        </w:trPr>
        <w:tc>
          <w:tcPr>
            <w:tcW w:w="864" w:type="dxa"/>
          </w:tcPr>
          <w:p>
            <w:pPr>
              <w:pStyle w:val="TableParagraph"/>
              <w:ind w:left="266" w:right="266"/>
              <w:jc w:val="center"/>
              <w:rPr>
                <w:sz w:val="11"/>
              </w:rPr>
            </w:pPr>
            <w:r>
              <w:rPr>
                <w:color w:val="FF0000"/>
                <w:sz w:val="11"/>
              </w:rPr>
              <w:t>13AA</w:t>
            </w:r>
          </w:p>
        </w:tc>
        <w:tc>
          <w:tcPr>
            <w:tcW w:w="736" w:type="dxa"/>
          </w:tcPr>
          <w:p>
            <w:pPr/>
          </w:p>
        </w:tc>
        <w:tc>
          <w:tcPr>
            <w:tcW w:w="601" w:type="dxa"/>
          </w:tcPr>
          <w:p>
            <w:pPr/>
          </w:p>
        </w:tc>
        <w:tc>
          <w:tcPr>
            <w:tcW w:w="601" w:type="dxa"/>
          </w:tcPr>
          <w:p>
            <w:pPr/>
          </w:p>
        </w:tc>
        <w:tc>
          <w:tcPr>
            <w:tcW w:w="894" w:type="dxa"/>
          </w:tcPr>
          <w:p>
            <w:pP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r>
        <w:trPr>
          <w:trHeight w:val="150" w:hRule="exact"/>
        </w:trPr>
        <w:tc>
          <w:tcPr>
            <w:tcW w:w="864" w:type="dxa"/>
          </w:tcPr>
          <w:p>
            <w:pPr>
              <w:pStyle w:val="TableParagraph"/>
              <w:spacing w:before="8"/>
              <w:ind w:left="270" w:right="-12"/>
              <w:rPr>
                <w:sz w:val="11"/>
              </w:rPr>
            </w:pPr>
            <w:r>
              <w:rPr>
                <w:color w:val="FF0000"/>
                <w:sz w:val="11"/>
              </w:rPr>
              <w:t>701127</w:t>
            </w:r>
          </w:p>
        </w:tc>
        <w:tc>
          <w:tcPr>
            <w:tcW w:w="736" w:type="dxa"/>
          </w:tcPr>
          <w:p>
            <w:pPr/>
          </w:p>
        </w:tc>
        <w:tc>
          <w:tcPr>
            <w:tcW w:w="601" w:type="dxa"/>
          </w:tcPr>
          <w:p>
            <w:pPr/>
          </w:p>
        </w:tc>
        <w:tc>
          <w:tcPr>
            <w:tcW w:w="601" w:type="dxa"/>
          </w:tcPr>
          <w:p>
            <w:pPr/>
          </w:p>
        </w:tc>
        <w:tc>
          <w:tcPr>
            <w:tcW w:w="894" w:type="dxa"/>
          </w:tcPr>
          <w:p>
            <w:pP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r>
        <w:trPr>
          <w:trHeight w:val="150" w:hRule="exact"/>
        </w:trPr>
        <w:tc>
          <w:tcPr>
            <w:tcW w:w="864" w:type="dxa"/>
          </w:tcPr>
          <w:p>
            <w:pPr>
              <w:pStyle w:val="TableParagraph"/>
              <w:ind w:left="270" w:right="-12"/>
              <w:rPr>
                <w:sz w:val="11"/>
              </w:rPr>
            </w:pPr>
            <w:r>
              <w:rPr>
                <w:color w:val="FF0000"/>
                <w:sz w:val="11"/>
              </w:rPr>
              <w:t>728930</w:t>
            </w:r>
          </w:p>
        </w:tc>
        <w:tc>
          <w:tcPr>
            <w:tcW w:w="736" w:type="dxa"/>
          </w:tcPr>
          <w:p>
            <w:pPr>
              <w:pStyle w:val="TableParagraph"/>
              <w:rPr>
                <w:sz w:val="11"/>
              </w:rPr>
            </w:pPr>
            <w:r>
              <w:rPr>
                <w:sz w:val="11"/>
              </w:rPr>
              <w:t>TEPATITLAN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Capilla de M</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12"/>
              <w:rPr>
                <w:sz w:val="11"/>
              </w:rPr>
            </w:pPr>
            <w:r>
              <w:rPr>
                <w:sz w:val="11"/>
              </w:rPr>
              <w:t>BLACK BELLY</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SEROPURULENTO</w:t>
            </w:r>
          </w:p>
        </w:tc>
      </w:tr>
      <w:tr>
        <w:trPr>
          <w:trHeight w:val="150" w:hRule="exact"/>
        </w:trPr>
        <w:tc>
          <w:tcPr>
            <w:tcW w:w="864" w:type="dxa"/>
          </w:tcPr>
          <w:p>
            <w:pPr>
              <w:pStyle w:val="TableParagraph"/>
              <w:spacing w:before="8"/>
              <w:ind w:left="262" w:right="-12"/>
              <w:rPr>
                <w:sz w:val="11"/>
              </w:rPr>
            </w:pPr>
            <w:r>
              <w:rPr>
                <w:color w:val="FF0000"/>
                <w:sz w:val="11"/>
              </w:rPr>
              <w:t>1322PK</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Lomas de Sa</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MACHO</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CABEZA</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CASEOSO</w:t>
            </w:r>
          </w:p>
        </w:tc>
      </w:tr>
      <w:tr>
        <w:trPr>
          <w:trHeight w:val="150" w:hRule="exact"/>
        </w:trPr>
        <w:tc>
          <w:tcPr>
            <w:tcW w:w="864" w:type="dxa"/>
          </w:tcPr>
          <w:p>
            <w:pPr>
              <w:pStyle w:val="TableParagraph"/>
              <w:ind w:left="210" w:right="-12"/>
              <w:rPr>
                <w:sz w:val="11"/>
              </w:rPr>
            </w:pPr>
            <w:r>
              <w:rPr>
                <w:color w:val="FF0000"/>
                <w:sz w:val="11"/>
              </w:rPr>
              <w:t>691331PK</w:t>
            </w:r>
          </w:p>
        </w:tc>
        <w:tc>
          <w:tcPr>
            <w:tcW w:w="736" w:type="dxa"/>
          </w:tcPr>
          <w:p>
            <w:pPr/>
          </w:p>
        </w:tc>
        <w:tc>
          <w:tcPr>
            <w:tcW w:w="601" w:type="dxa"/>
          </w:tcPr>
          <w:p>
            <w:pPr>
              <w:pStyle w:val="TableParagraph"/>
              <w:rPr>
                <w:sz w:val="11"/>
              </w:rPr>
            </w:pPr>
            <w:r>
              <w:rPr>
                <w:sz w:val="11"/>
              </w:rPr>
              <w:t>JALISCO</w:t>
            </w:r>
          </w:p>
        </w:tc>
        <w:tc>
          <w:tcPr>
            <w:tcW w:w="601" w:type="dxa"/>
          </w:tcPr>
          <w:p>
            <w:pPr/>
          </w:p>
        </w:tc>
        <w:tc>
          <w:tcPr>
            <w:tcW w:w="894" w:type="dxa"/>
          </w:tcPr>
          <w:p>
            <w:pPr>
              <w:pStyle w:val="TableParagraph"/>
              <w:ind w:right="-20"/>
              <w:rPr>
                <w:sz w:val="11"/>
              </w:rPr>
            </w:pPr>
            <w:r>
              <w:rPr>
                <w:sz w:val="11"/>
              </w:rPr>
              <w:t>BUENA</w:t>
            </w: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r>
        <w:trPr>
          <w:trHeight w:val="150" w:hRule="exact"/>
        </w:trPr>
        <w:tc>
          <w:tcPr>
            <w:tcW w:w="864" w:type="dxa"/>
          </w:tcPr>
          <w:p>
            <w:pPr>
              <w:pStyle w:val="TableParagraph"/>
              <w:spacing w:before="8"/>
              <w:ind w:left="135" w:right="-12"/>
              <w:rPr>
                <w:sz w:val="11"/>
              </w:rPr>
            </w:pPr>
            <w:r>
              <w:rPr>
                <w:color w:val="FF0000"/>
                <w:sz w:val="11"/>
              </w:rPr>
              <w:t>((047)) 104W</w:t>
            </w:r>
          </w:p>
        </w:tc>
        <w:tc>
          <w:tcPr>
            <w:tcW w:w="736" w:type="dxa"/>
          </w:tcPr>
          <w:p>
            <w:pPr>
              <w:pStyle w:val="TableParagraph"/>
              <w:spacing w:before="8"/>
              <w:rPr>
                <w:sz w:val="11"/>
              </w:rPr>
            </w:pPr>
            <w:r>
              <w:rPr>
                <w:sz w:val="11"/>
              </w:rPr>
              <w:t>ZAPOPAN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La Mojanera</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PELIGUEY</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PURULENTO</w:t>
            </w:r>
          </w:p>
        </w:tc>
      </w:tr>
      <w:tr>
        <w:trPr>
          <w:trHeight w:val="150" w:hRule="exact"/>
        </w:trPr>
        <w:tc>
          <w:tcPr>
            <w:tcW w:w="864" w:type="dxa"/>
          </w:tcPr>
          <w:p>
            <w:pPr>
              <w:pStyle w:val="TableParagraph"/>
              <w:ind w:left="7" w:right="-12"/>
              <w:rPr>
                <w:sz w:val="11"/>
              </w:rPr>
            </w:pPr>
            <w:r>
              <w:rPr>
                <w:color w:val="FF0000"/>
                <w:sz w:val="11"/>
              </w:rPr>
              <w:t>((028))  </w:t>
            </w:r>
            <w:r>
              <w:rPr>
                <w:color w:val="FF0000"/>
                <w:spacing w:val="-4"/>
                <w:sz w:val="11"/>
              </w:rPr>
              <w:t>T122V2008</w:t>
            </w:r>
          </w:p>
        </w:tc>
        <w:tc>
          <w:tcPr>
            <w:tcW w:w="736" w:type="dxa"/>
          </w:tcPr>
          <w:p>
            <w:pPr>
              <w:pStyle w:val="TableParagraph"/>
              <w:rPr>
                <w:sz w:val="11"/>
              </w:rPr>
            </w:pPr>
            <w:r>
              <w:rPr>
                <w:sz w:val="11"/>
              </w:rPr>
              <w:t>ZAPOPAN</w:t>
            </w:r>
          </w:p>
        </w:tc>
        <w:tc>
          <w:tcPr>
            <w:tcW w:w="601" w:type="dxa"/>
          </w:tcPr>
          <w:p>
            <w:pPr>
              <w:pStyle w:val="TableParagraph"/>
              <w:rPr>
                <w:sz w:val="11"/>
              </w:rPr>
            </w:pPr>
            <w:r>
              <w:rPr>
                <w:sz w:val="11"/>
              </w:rPr>
              <w:t>JALISCO</w:t>
            </w:r>
          </w:p>
        </w:tc>
        <w:tc>
          <w:tcPr>
            <w:tcW w:w="601" w:type="dxa"/>
          </w:tcPr>
          <w:p>
            <w:pPr>
              <w:pStyle w:val="TableParagraph"/>
              <w:rPr>
                <w:sz w:val="11"/>
              </w:rPr>
            </w:pPr>
            <w:r>
              <w:rPr>
                <w:sz w:val="11"/>
              </w:rPr>
              <w:t>Tesistan</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BLANCO</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spacing w:before="8"/>
              <w:ind w:left="266" w:right="266"/>
              <w:jc w:val="center"/>
              <w:rPr>
                <w:sz w:val="11"/>
              </w:rPr>
            </w:pPr>
            <w:r>
              <w:rPr>
                <w:color w:val="FF0000"/>
                <w:sz w:val="11"/>
              </w:rPr>
              <w:t>3552</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70" w:right="-12"/>
              <w:rPr>
                <w:sz w:val="11"/>
              </w:rPr>
            </w:pPr>
            <w:r>
              <w:rPr>
                <w:color w:val="FF0000"/>
                <w:sz w:val="11"/>
              </w:rPr>
              <w:t>632835</w:t>
            </w:r>
          </w:p>
        </w:tc>
        <w:tc>
          <w:tcPr>
            <w:tcW w:w="736" w:type="dxa"/>
          </w:tcPr>
          <w:p>
            <w:pPr/>
          </w:p>
        </w:tc>
        <w:tc>
          <w:tcPr>
            <w:tcW w:w="601" w:type="dxa"/>
          </w:tcPr>
          <w:p>
            <w:pPr/>
          </w:p>
        </w:tc>
        <w:tc>
          <w:tcPr>
            <w:tcW w:w="601" w:type="dxa"/>
          </w:tcPr>
          <w:p>
            <w:pPr/>
          </w:p>
        </w:tc>
        <w:tc>
          <w:tcPr>
            <w:tcW w:w="894" w:type="dxa"/>
          </w:tcPr>
          <w:p>
            <w:pP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r>
        <w:trPr>
          <w:trHeight w:val="150" w:hRule="exact"/>
        </w:trPr>
        <w:tc>
          <w:tcPr>
            <w:tcW w:w="864" w:type="dxa"/>
          </w:tcPr>
          <w:p>
            <w:pPr>
              <w:pStyle w:val="TableParagraph"/>
              <w:spacing w:before="8"/>
              <w:ind w:left="90" w:right="-12"/>
              <w:rPr>
                <w:sz w:val="11"/>
              </w:rPr>
            </w:pPr>
            <w:r>
              <w:rPr>
                <w:color w:val="FF0000"/>
                <w:sz w:val="11"/>
              </w:rPr>
              <w:t>((6-18)) 728919</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CAUDAL</w:t>
            </w:r>
          </w:p>
        </w:tc>
        <w:tc>
          <w:tcPr>
            <w:tcW w:w="1044" w:type="dxa"/>
          </w:tcPr>
          <w:p>
            <w:pPr>
              <w:pStyle w:val="TableParagraph"/>
              <w:spacing w:before="8"/>
              <w:ind w:left="14"/>
              <w:rPr>
                <w:sz w:val="11"/>
              </w:rPr>
            </w:pPr>
            <w:r>
              <w:rPr>
                <w:sz w:val="11"/>
              </w:rPr>
              <w:t>5.1 A 10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70" w:right="-12"/>
              <w:rPr>
                <w:sz w:val="11"/>
              </w:rPr>
            </w:pPr>
            <w:r>
              <w:rPr>
                <w:color w:val="FF0000"/>
                <w:sz w:val="11"/>
              </w:rPr>
              <w:t>694977</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Lomas de Sa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MACHO</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CASEOSO</w:t>
            </w:r>
          </w:p>
        </w:tc>
      </w:tr>
      <w:tr>
        <w:trPr>
          <w:trHeight w:val="150" w:hRule="exact"/>
        </w:trPr>
        <w:tc>
          <w:tcPr>
            <w:tcW w:w="864" w:type="dxa"/>
          </w:tcPr>
          <w:p>
            <w:pPr>
              <w:pStyle w:val="TableParagraph"/>
              <w:spacing w:before="8"/>
              <w:ind w:left="270" w:right="-12"/>
              <w:rPr>
                <w:sz w:val="11"/>
              </w:rPr>
            </w:pPr>
            <w:r>
              <w:rPr>
                <w:color w:val="FF0000"/>
                <w:sz w:val="11"/>
              </w:rPr>
              <w:t>728905</w:t>
            </w:r>
          </w:p>
        </w:tc>
        <w:tc>
          <w:tcPr>
            <w:tcW w:w="736" w:type="dxa"/>
          </w:tcPr>
          <w:p>
            <w:pPr>
              <w:pStyle w:val="TableParagraph"/>
              <w:spacing w:before="8"/>
              <w:rPr>
                <w:sz w:val="11"/>
              </w:rPr>
            </w:pPr>
            <w:r>
              <w:rPr>
                <w:sz w:val="11"/>
              </w:rPr>
              <w:t>TEPATITLAN</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Capilla de M</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OVINO</w:t>
            </w:r>
          </w:p>
        </w:tc>
        <w:tc>
          <w:tcPr>
            <w:tcW w:w="601" w:type="dxa"/>
          </w:tcPr>
          <w:p>
            <w:pPr>
              <w:pStyle w:val="TableParagraph"/>
              <w:spacing w:before="8"/>
              <w:ind w:left="14"/>
              <w:rPr>
                <w:sz w:val="11"/>
              </w:rPr>
            </w:pPr>
            <w:r>
              <w:rPr>
                <w:sz w:val="11"/>
              </w:rPr>
              <w:t>MACHO</w:t>
            </w:r>
          </w:p>
        </w:tc>
        <w:tc>
          <w:tcPr>
            <w:tcW w:w="601" w:type="dxa"/>
          </w:tcPr>
          <w:p>
            <w:pPr>
              <w:pStyle w:val="TableParagraph"/>
              <w:spacing w:before="8"/>
              <w:ind w:right="-27"/>
              <w:rPr>
                <w:sz w:val="11"/>
              </w:rPr>
            </w:pPr>
            <w:r>
              <w:rPr>
                <w:sz w:val="11"/>
              </w:rPr>
              <w:t>PELIFORK</w:t>
            </w:r>
          </w:p>
        </w:tc>
        <w:tc>
          <w:tcPr>
            <w:tcW w:w="781" w:type="dxa"/>
          </w:tcPr>
          <w:p>
            <w:pPr>
              <w:pStyle w:val="TableParagraph"/>
              <w:spacing w:before="8"/>
              <w:ind w:left="14" w:right="-34"/>
              <w:rPr>
                <w:sz w:val="11"/>
              </w:rPr>
            </w:pPr>
            <w:r>
              <w:rPr>
                <w:sz w:val="11"/>
              </w:rPr>
              <w:t>CUELLO</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DURA</w:t>
            </w:r>
          </w:p>
        </w:tc>
        <w:tc>
          <w:tcPr>
            <w:tcW w:w="601" w:type="dxa"/>
          </w:tcPr>
          <w:p>
            <w:pPr>
              <w:pStyle w:val="TableParagraph"/>
              <w:spacing w:before="8"/>
              <w:ind w:left="14"/>
              <w:rPr>
                <w:sz w:val="11"/>
              </w:rPr>
            </w:pPr>
            <w:r>
              <w:rPr>
                <w:sz w:val="11"/>
              </w:rPr>
              <w:t>VERDE</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66" w:right="266"/>
              <w:jc w:val="center"/>
              <w:rPr>
                <w:sz w:val="11"/>
              </w:rPr>
            </w:pPr>
            <w:r>
              <w:rPr>
                <w:color w:val="FF0000"/>
                <w:sz w:val="11"/>
              </w:rPr>
              <w:t>3540</w:t>
            </w:r>
          </w:p>
        </w:tc>
        <w:tc>
          <w:tcPr>
            <w:tcW w:w="736" w:type="dxa"/>
          </w:tcPr>
          <w:p>
            <w:pPr>
              <w:pStyle w:val="TableParagraph"/>
              <w:rPr>
                <w:sz w:val="11"/>
              </w:rPr>
            </w:pPr>
            <w:r>
              <w:rPr>
                <w:sz w:val="11"/>
              </w:rPr>
              <w:t>TLATEPAQUE</w:t>
            </w:r>
          </w:p>
        </w:tc>
        <w:tc>
          <w:tcPr>
            <w:tcW w:w="601" w:type="dxa"/>
          </w:tcPr>
          <w:p>
            <w:pPr>
              <w:pStyle w:val="TableParagraph"/>
              <w:rPr>
                <w:sz w:val="11"/>
              </w:rPr>
            </w:pPr>
            <w:r>
              <w:rPr>
                <w:sz w:val="11"/>
              </w:rPr>
              <w:t>JALISCO</w:t>
            </w:r>
          </w:p>
        </w:tc>
        <w:tc>
          <w:tcPr>
            <w:tcW w:w="601" w:type="dxa"/>
          </w:tcPr>
          <w:p>
            <w:pPr>
              <w:pStyle w:val="TableParagraph"/>
              <w:rPr>
                <w:sz w:val="11"/>
              </w:rPr>
            </w:pPr>
            <w:r>
              <w:rPr>
                <w:sz w:val="11"/>
              </w:rPr>
              <w:t>Santa Anita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HEMBRA</w:t>
            </w:r>
          </w:p>
        </w:tc>
        <w:tc>
          <w:tcPr>
            <w:tcW w:w="601" w:type="dxa"/>
          </w:tcPr>
          <w:p>
            <w:pPr>
              <w:pStyle w:val="TableParagraph"/>
              <w:ind w:right="-27"/>
              <w:rPr>
                <w:sz w:val="11"/>
              </w:rPr>
            </w:pPr>
            <w:r>
              <w:rPr>
                <w:sz w:val="11"/>
              </w:rPr>
              <w:t>DORPER</w:t>
            </w:r>
          </w:p>
        </w:tc>
        <w:tc>
          <w:tcPr>
            <w:tcW w:w="781" w:type="dxa"/>
          </w:tcPr>
          <w:p>
            <w:pPr>
              <w:pStyle w:val="TableParagraph"/>
              <w:ind w:left="14" w:right="-34"/>
              <w:rPr>
                <w:sz w:val="11"/>
              </w:rPr>
            </w:pPr>
            <w:r>
              <w:rPr>
                <w:sz w:val="11"/>
              </w:rPr>
              <w:t>CUELLO</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SUAVE</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spacing w:before="8"/>
              <w:ind w:left="172" w:right="-12"/>
              <w:rPr>
                <w:sz w:val="11"/>
              </w:rPr>
            </w:pPr>
            <w:r>
              <w:rPr>
                <w:color w:val="FF0000"/>
                <w:sz w:val="11"/>
              </w:rPr>
              <w:t>58 (1-2-2LJ)</w:t>
            </w:r>
          </w:p>
        </w:tc>
        <w:tc>
          <w:tcPr>
            <w:tcW w:w="736" w:type="dxa"/>
          </w:tcPr>
          <w:p>
            <w:pPr>
              <w:pStyle w:val="TableParagraph"/>
              <w:spacing w:before="8"/>
              <w:rPr>
                <w:sz w:val="11"/>
              </w:rPr>
            </w:pPr>
            <w:r>
              <w:rPr>
                <w:sz w:val="11"/>
              </w:rPr>
              <w:t>ZAPOTLANEJO</w:t>
            </w:r>
          </w:p>
        </w:tc>
        <w:tc>
          <w:tcPr>
            <w:tcW w:w="601" w:type="dxa"/>
          </w:tcPr>
          <w:p>
            <w:pPr>
              <w:pStyle w:val="TableParagraph"/>
              <w:spacing w:before="8"/>
              <w:rPr>
                <w:sz w:val="11"/>
              </w:rPr>
            </w:pPr>
            <w:r>
              <w:rPr>
                <w:sz w:val="11"/>
              </w:rPr>
              <w:t>JALISCO</w:t>
            </w:r>
          </w:p>
        </w:tc>
        <w:tc>
          <w:tcPr>
            <w:tcW w:w="601" w:type="dxa"/>
          </w:tcPr>
          <w:p>
            <w:pPr>
              <w:pStyle w:val="TableParagraph"/>
              <w:spacing w:before="8"/>
              <w:rPr>
                <w:sz w:val="11"/>
              </w:rPr>
            </w:pPr>
            <w:r>
              <w:rPr>
                <w:sz w:val="11"/>
              </w:rPr>
              <w:t>Santa FE</w:t>
            </w:r>
          </w:p>
        </w:tc>
        <w:tc>
          <w:tcPr>
            <w:tcW w:w="894" w:type="dxa"/>
          </w:tcPr>
          <w:p>
            <w:pPr>
              <w:pStyle w:val="TableParagraph"/>
              <w:spacing w:before="8"/>
              <w:ind w:right="-20"/>
              <w:rPr>
                <w:sz w:val="11"/>
              </w:rPr>
            </w:pPr>
            <w:r>
              <w:rPr>
                <w:sz w:val="11"/>
              </w:rPr>
              <w:t>BUENA</w:t>
            </w:r>
          </w:p>
        </w:tc>
        <w:tc>
          <w:tcPr>
            <w:tcW w:w="601" w:type="dxa"/>
          </w:tcPr>
          <w:p>
            <w:pPr>
              <w:pStyle w:val="TableParagraph"/>
              <w:spacing w:before="8"/>
              <w:ind w:left="14"/>
              <w:rPr>
                <w:sz w:val="11"/>
              </w:rPr>
            </w:pPr>
            <w:r>
              <w:rPr>
                <w:sz w:val="11"/>
              </w:rPr>
              <w:t>CAPRINO</w:t>
            </w:r>
          </w:p>
        </w:tc>
        <w:tc>
          <w:tcPr>
            <w:tcW w:w="601" w:type="dxa"/>
          </w:tcPr>
          <w:p>
            <w:pPr>
              <w:pStyle w:val="TableParagraph"/>
              <w:spacing w:before="8"/>
              <w:ind w:left="14"/>
              <w:rPr>
                <w:sz w:val="11"/>
              </w:rPr>
            </w:pPr>
            <w:r>
              <w:rPr>
                <w:sz w:val="11"/>
              </w:rPr>
              <w:t>HEMBRA</w:t>
            </w:r>
          </w:p>
        </w:tc>
        <w:tc>
          <w:tcPr>
            <w:tcW w:w="601" w:type="dxa"/>
          </w:tcPr>
          <w:p>
            <w:pPr>
              <w:pStyle w:val="TableParagraph"/>
              <w:spacing w:before="8"/>
              <w:ind w:right="-27"/>
              <w:rPr>
                <w:sz w:val="11"/>
              </w:rPr>
            </w:pPr>
            <w:r>
              <w:rPr>
                <w:sz w:val="11"/>
              </w:rPr>
              <w:t>SAANEN</w:t>
            </w:r>
          </w:p>
        </w:tc>
        <w:tc>
          <w:tcPr>
            <w:tcW w:w="781" w:type="dxa"/>
          </w:tcPr>
          <w:p>
            <w:pPr>
              <w:pStyle w:val="TableParagraph"/>
              <w:spacing w:before="8"/>
              <w:ind w:left="14" w:right="-34"/>
              <w:rPr>
                <w:sz w:val="11"/>
              </w:rPr>
            </w:pPr>
            <w:r>
              <w:rPr>
                <w:sz w:val="11"/>
              </w:rPr>
              <w:t>INGUINAL</w:t>
            </w:r>
          </w:p>
        </w:tc>
        <w:tc>
          <w:tcPr>
            <w:tcW w:w="1044" w:type="dxa"/>
          </w:tcPr>
          <w:p>
            <w:pPr>
              <w:pStyle w:val="TableParagraph"/>
              <w:spacing w:before="8"/>
              <w:ind w:left="14"/>
              <w:rPr>
                <w:sz w:val="11"/>
              </w:rPr>
            </w:pPr>
            <w:r>
              <w:rPr>
                <w:sz w:val="11"/>
              </w:rPr>
              <w:t>MENOR 5 CM</w:t>
            </w:r>
          </w:p>
        </w:tc>
        <w:tc>
          <w:tcPr>
            <w:tcW w:w="706" w:type="dxa"/>
          </w:tcPr>
          <w:p>
            <w:pPr>
              <w:pStyle w:val="TableParagraph"/>
              <w:spacing w:before="8"/>
              <w:rPr>
                <w:sz w:val="11"/>
              </w:rPr>
            </w:pPr>
            <w:r>
              <w:rPr>
                <w:sz w:val="11"/>
              </w:rPr>
              <w:t>SUAVE</w:t>
            </w:r>
          </w:p>
        </w:tc>
        <w:tc>
          <w:tcPr>
            <w:tcW w:w="601" w:type="dxa"/>
          </w:tcPr>
          <w:p>
            <w:pPr>
              <w:pStyle w:val="TableParagraph"/>
              <w:spacing w:before="8"/>
              <w:ind w:left="14"/>
              <w:rPr>
                <w:sz w:val="11"/>
              </w:rPr>
            </w:pPr>
            <w:r>
              <w:rPr>
                <w:sz w:val="11"/>
              </w:rPr>
              <w:t>AMARILLO</w:t>
            </w:r>
          </w:p>
        </w:tc>
        <w:tc>
          <w:tcPr>
            <w:tcW w:w="834" w:type="dxa"/>
          </w:tcPr>
          <w:p>
            <w:pPr>
              <w:pStyle w:val="TableParagraph"/>
              <w:spacing w:before="8"/>
              <w:ind w:left="14" w:right="-2"/>
              <w:rPr>
                <w:sz w:val="11"/>
              </w:rPr>
            </w:pPr>
            <w:r>
              <w:rPr>
                <w:sz w:val="11"/>
              </w:rPr>
              <w:t>SEROPURULENTO</w:t>
            </w:r>
          </w:p>
        </w:tc>
      </w:tr>
      <w:tr>
        <w:trPr>
          <w:trHeight w:val="150" w:hRule="exact"/>
        </w:trPr>
        <w:tc>
          <w:tcPr>
            <w:tcW w:w="864" w:type="dxa"/>
          </w:tcPr>
          <w:p>
            <w:pPr>
              <w:pStyle w:val="TableParagraph"/>
              <w:ind w:left="247" w:right="-12"/>
              <w:rPr>
                <w:sz w:val="11"/>
              </w:rPr>
            </w:pPr>
            <w:r>
              <w:rPr>
                <w:color w:val="FF0000"/>
                <w:sz w:val="11"/>
              </w:rPr>
              <w:t>61 61 26</w:t>
            </w:r>
          </w:p>
        </w:tc>
        <w:tc>
          <w:tcPr>
            <w:tcW w:w="736" w:type="dxa"/>
          </w:tcPr>
          <w:p>
            <w:pPr>
              <w:pStyle w:val="TableParagraph"/>
              <w:rPr>
                <w:sz w:val="11"/>
              </w:rPr>
            </w:pPr>
            <w:r>
              <w:rPr>
                <w:sz w:val="11"/>
              </w:rPr>
              <w:t>ZAPOTLANEJO</w:t>
            </w:r>
          </w:p>
        </w:tc>
        <w:tc>
          <w:tcPr>
            <w:tcW w:w="601" w:type="dxa"/>
          </w:tcPr>
          <w:p>
            <w:pPr>
              <w:pStyle w:val="TableParagraph"/>
              <w:rPr>
                <w:sz w:val="11"/>
              </w:rPr>
            </w:pPr>
            <w:r>
              <w:rPr>
                <w:sz w:val="11"/>
              </w:rPr>
              <w:t>JALISCO</w:t>
            </w:r>
          </w:p>
        </w:tc>
        <w:tc>
          <w:tcPr>
            <w:tcW w:w="601" w:type="dxa"/>
          </w:tcPr>
          <w:p>
            <w:pPr>
              <w:pStyle w:val="TableParagraph"/>
              <w:rPr>
                <w:sz w:val="11"/>
              </w:rPr>
            </w:pPr>
            <w:r>
              <w:rPr>
                <w:sz w:val="11"/>
              </w:rPr>
              <w:t>Lomas de Sa</w:t>
            </w:r>
          </w:p>
        </w:tc>
        <w:tc>
          <w:tcPr>
            <w:tcW w:w="894" w:type="dxa"/>
          </w:tcPr>
          <w:p>
            <w:pPr>
              <w:pStyle w:val="TableParagraph"/>
              <w:ind w:right="-20"/>
              <w:rPr>
                <w:sz w:val="11"/>
              </w:rPr>
            </w:pPr>
            <w:r>
              <w:rPr>
                <w:sz w:val="11"/>
              </w:rPr>
              <w:t>BUENA</w:t>
            </w:r>
          </w:p>
        </w:tc>
        <w:tc>
          <w:tcPr>
            <w:tcW w:w="601" w:type="dxa"/>
          </w:tcPr>
          <w:p>
            <w:pPr>
              <w:pStyle w:val="TableParagraph"/>
              <w:ind w:left="14"/>
              <w:rPr>
                <w:sz w:val="11"/>
              </w:rPr>
            </w:pPr>
            <w:r>
              <w:rPr>
                <w:sz w:val="11"/>
              </w:rPr>
              <w:t>OVINO</w:t>
            </w:r>
          </w:p>
        </w:tc>
        <w:tc>
          <w:tcPr>
            <w:tcW w:w="601" w:type="dxa"/>
          </w:tcPr>
          <w:p>
            <w:pPr>
              <w:pStyle w:val="TableParagraph"/>
              <w:ind w:left="14"/>
              <w:rPr>
                <w:sz w:val="11"/>
              </w:rPr>
            </w:pPr>
            <w:r>
              <w:rPr>
                <w:sz w:val="11"/>
              </w:rPr>
              <w:t>MACHO</w:t>
            </w:r>
          </w:p>
        </w:tc>
        <w:tc>
          <w:tcPr>
            <w:tcW w:w="601" w:type="dxa"/>
          </w:tcPr>
          <w:p>
            <w:pPr>
              <w:pStyle w:val="TableParagraph"/>
              <w:ind w:right="-27"/>
              <w:rPr>
                <w:sz w:val="11"/>
              </w:rPr>
            </w:pPr>
            <w:r>
              <w:rPr>
                <w:sz w:val="11"/>
              </w:rPr>
              <w:t>PELIFORK</w:t>
            </w:r>
          </w:p>
        </w:tc>
        <w:tc>
          <w:tcPr>
            <w:tcW w:w="781" w:type="dxa"/>
          </w:tcPr>
          <w:p>
            <w:pPr>
              <w:pStyle w:val="TableParagraph"/>
              <w:ind w:left="14" w:right="-34"/>
              <w:rPr>
                <w:sz w:val="11"/>
              </w:rPr>
            </w:pPr>
            <w:r>
              <w:rPr>
                <w:sz w:val="11"/>
              </w:rPr>
              <w:t>CABEZA</w:t>
            </w:r>
          </w:p>
        </w:tc>
        <w:tc>
          <w:tcPr>
            <w:tcW w:w="1044" w:type="dxa"/>
          </w:tcPr>
          <w:p>
            <w:pPr>
              <w:pStyle w:val="TableParagraph"/>
              <w:ind w:left="14"/>
              <w:rPr>
                <w:sz w:val="11"/>
              </w:rPr>
            </w:pPr>
            <w:r>
              <w:rPr>
                <w:sz w:val="11"/>
              </w:rPr>
              <w:t>MENOR 5 CM</w:t>
            </w:r>
          </w:p>
        </w:tc>
        <w:tc>
          <w:tcPr>
            <w:tcW w:w="706" w:type="dxa"/>
          </w:tcPr>
          <w:p>
            <w:pPr>
              <w:pStyle w:val="TableParagraph"/>
              <w:rPr>
                <w:sz w:val="11"/>
              </w:rPr>
            </w:pPr>
            <w:r>
              <w:rPr>
                <w:sz w:val="11"/>
              </w:rPr>
              <w:t>DURA</w:t>
            </w:r>
          </w:p>
        </w:tc>
        <w:tc>
          <w:tcPr>
            <w:tcW w:w="601" w:type="dxa"/>
          </w:tcPr>
          <w:p>
            <w:pPr>
              <w:pStyle w:val="TableParagraph"/>
              <w:ind w:left="14"/>
              <w:rPr>
                <w:sz w:val="11"/>
              </w:rPr>
            </w:pPr>
            <w:r>
              <w:rPr>
                <w:sz w:val="11"/>
              </w:rPr>
              <w:t>VERDE</w:t>
            </w:r>
          </w:p>
        </w:tc>
        <w:tc>
          <w:tcPr>
            <w:tcW w:w="834" w:type="dxa"/>
          </w:tcPr>
          <w:p>
            <w:pPr>
              <w:pStyle w:val="TableParagraph"/>
              <w:ind w:left="14" w:right="-2"/>
              <w:rPr>
                <w:sz w:val="11"/>
              </w:rPr>
            </w:pPr>
            <w:r>
              <w:rPr>
                <w:sz w:val="11"/>
              </w:rPr>
              <w:t>SEROSO</w:t>
            </w:r>
          </w:p>
        </w:tc>
      </w:tr>
      <w:tr>
        <w:trPr>
          <w:trHeight w:val="150" w:hRule="exact"/>
        </w:trPr>
        <w:tc>
          <w:tcPr>
            <w:tcW w:w="864" w:type="dxa"/>
          </w:tcPr>
          <w:p>
            <w:pPr>
              <w:pStyle w:val="TableParagraph"/>
              <w:spacing w:before="8"/>
              <w:ind w:left="262" w:right="-12"/>
              <w:rPr>
                <w:sz w:val="11"/>
              </w:rPr>
            </w:pPr>
            <w:r>
              <w:rPr>
                <w:color w:val="FF0000"/>
                <w:sz w:val="11"/>
              </w:rPr>
              <w:t>69 4992</w:t>
            </w:r>
          </w:p>
        </w:tc>
        <w:tc>
          <w:tcPr>
            <w:tcW w:w="736" w:type="dxa"/>
          </w:tcPr>
          <w:p>
            <w:pPr/>
          </w:p>
        </w:tc>
        <w:tc>
          <w:tcPr>
            <w:tcW w:w="601" w:type="dxa"/>
          </w:tcPr>
          <w:p>
            <w:pPr>
              <w:pStyle w:val="TableParagraph"/>
              <w:spacing w:before="8"/>
              <w:rPr>
                <w:sz w:val="11"/>
              </w:rPr>
            </w:pPr>
            <w:r>
              <w:rPr>
                <w:sz w:val="11"/>
              </w:rPr>
              <w:t>JALISCO</w:t>
            </w:r>
          </w:p>
        </w:tc>
        <w:tc>
          <w:tcPr>
            <w:tcW w:w="601" w:type="dxa"/>
          </w:tcPr>
          <w:p>
            <w:pPr/>
          </w:p>
        </w:tc>
        <w:tc>
          <w:tcPr>
            <w:tcW w:w="894" w:type="dxa"/>
          </w:tcPr>
          <w:p>
            <w:pPr>
              <w:pStyle w:val="TableParagraph"/>
              <w:spacing w:before="8"/>
              <w:ind w:right="-20"/>
              <w:rPr>
                <w:sz w:val="11"/>
              </w:rPr>
            </w:pPr>
            <w:r>
              <w:rPr>
                <w:sz w:val="11"/>
              </w:rPr>
              <w:t>BUENA</w:t>
            </w:r>
          </w:p>
        </w:tc>
        <w:tc>
          <w:tcPr>
            <w:tcW w:w="601" w:type="dxa"/>
          </w:tcPr>
          <w:p>
            <w:pPr/>
          </w:p>
        </w:tc>
        <w:tc>
          <w:tcPr>
            <w:tcW w:w="601" w:type="dxa"/>
          </w:tcPr>
          <w:p>
            <w:pPr/>
          </w:p>
        </w:tc>
        <w:tc>
          <w:tcPr>
            <w:tcW w:w="601" w:type="dxa"/>
          </w:tcPr>
          <w:p>
            <w:pPr/>
          </w:p>
        </w:tc>
        <w:tc>
          <w:tcPr>
            <w:tcW w:w="781" w:type="dxa"/>
          </w:tcPr>
          <w:p>
            <w:pPr/>
          </w:p>
        </w:tc>
        <w:tc>
          <w:tcPr>
            <w:tcW w:w="1044" w:type="dxa"/>
          </w:tcPr>
          <w:p>
            <w:pPr/>
          </w:p>
        </w:tc>
        <w:tc>
          <w:tcPr>
            <w:tcW w:w="706" w:type="dxa"/>
          </w:tcPr>
          <w:p>
            <w:pPr/>
          </w:p>
        </w:tc>
        <w:tc>
          <w:tcPr>
            <w:tcW w:w="601" w:type="dxa"/>
          </w:tcPr>
          <w:p>
            <w:pPr/>
          </w:p>
        </w:tc>
        <w:tc>
          <w:tcPr>
            <w:tcW w:w="834" w:type="dxa"/>
          </w:tcPr>
          <w:p>
            <w:pPr/>
          </w:p>
        </w:tc>
      </w:tr>
    </w:tbl>
    <w:p>
      <w:pPr>
        <w:spacing w:after="0"/>
        <w:sectPr>
          <w:type w:val="continuous"/>
          <w:pgSz w:w="12240" w:h="15840"/>
          <w:pgMar w:top="1500" w:bottom="280" w:left="1720" w:right="780"/>
        </w:sectPr>
      </w:pPr>
    </w:p>
    <w:p>
      <w:pPr>
        <w:pStyle w:val="BodyText"/>
        <w:spacing w:before="2"/>
        <w:rPr>
          <w:sz w:val="21"/>
        </w:rPr>
      </w:pPr>
    </w:p>
    <w:p>
      <w:pPr>
        <w:spacing w:before="69"/>
        <w:ind w:left="3611" w:right="3747" w:firstLine="0"/>
        <w:jc w:val="center"/>
        <w:rPr>
          <w:sz w:val="24"/>
        </w:rPr>
      </w:pPr>
      <w:r>
        <w:rPr>
          <w:b/>
          <w:sz w:val="24"/>
        </w:rPr>
        <w:t>Anexo 2. </w:t>
      </w:r>
      <w:r>
        <w:rPr>
          <w:sz w:val="24"/>
        </w:rPr>
        <w:t>Artículo</w:t>
      </w:r>
    </w:p>
    <w:p>
      <w:pPr>
        <w:pStyle w:val="BodyText"/>
        <w:rPr>
          <w:sz w:val="14"/>
        </w:rPr>
      </w:pPr>
      <w:r>
        <w:rPr/>
        <w:drawing>
          <wp:anchor distT="0" distB="0" distL="0" distR="0" allowOverlap="1" layoutInCell="1" locked="0" behindDoc="0" simplePos="0" relativeHeight="1816">
            <wp:simplePos x="0" y="0"/>
            <wp:positionH relativeFrom="page">
              <wp:posOffset>1188719</wp:posOffset>
            </wp:positionH>
            <wp:positionV relativeFrom="paragraph">
              <wp:posOffset>127469</wp:posOffset>
            </wp:positionV>
            <wp:extent cx="5715080" cy="2298192"/>
            <wp:effectExtent l="0" t="0" r="0" b="0"/>
            <wp:wrapTopAndBottom/>
            <wp:docPr id="21" name="image22.jpeg" descr=""/>
            <wp:cNvGraphicFramePr>
              <a:graphicFrameLocks noChangeAspect="1"/>
            </wp:cNvGraphicFramePr>
            <a:graphic>
              <a:graphicData uri="http://schemas.openxmlformats.org/drawingml/2006/picture">
                <pic:pic>
                  <pic:nvPicPr>
                    <pic:cNvPr id="22" name="image22.jpeg"/>
                    <pic:cNvPicPr/>
                  </pic:nvPicPr>
                  <pic:blipFill>
                    <a:blip r:embed="rId42" cstate="print"/>
                    <a:stretch>
                      <a:fillRect/>
                    </a:stretch>
                  </pic:blipFill>
                  <pic:spPr>
                    <a:xfrm>
                      <a:off x="0" y="0"/>
                      <a:ext cx="5715080" cy="2298192"/>
                    </a:xfrm>
                    <a:prstGeom prst="rect">
                      <a:avLst/>
                    </a:prstGeom>
                  </pic:spPr>
                </pic:pic>
              </a:graphicData>
            </a:graphic>
          </wp:anchor>
        </w:drawing>
      </w:r>
      <w:r>
        <w:rPr/>
        <w:drawing>
          <wp:anchor distT="0" distB="0" distL="0" distR="0" allowOverlap="1" layoutInCell="1" locked="0" behindDoc="0" simplePos="0" relativeHeight="1840">
            <wp:simplePos x="0" y="0"/>
            <wp:positionH relativeFrom="page">
              <wp:posOffset>1188719</wp:posOffset>
            </wp:positionH>
            <wp:positionV relativeFrom="paragraph">
              <wp:posOffset>2559773</wp:posOffset>
            </wp:positionV>
            <wp:extent cx="5614304" cy="2502027"/>
            <wp:effectExtent l="0" t="0" r="0" b="0"/>
            <wp:wrapTopAndBottom/>
            <wp:docPr id="23" name="image23.jpeg" descr=""/>
            <wp:cNvGraphicFramePr>
              <a:graphicFrameLocks noChangeAspect="1"/>
            </wp:cNvGraphicFramePr>
            <a:graphic>
              <a:graphicData uri="http://schemas.openxmlformats.org/drawingml/2006/picture">
                <pic:pic>
                  <pic:nvPicPr>
                    <pic:cNvPr id="24" name="image23.jpeg"/>
                    <pic:cNvPicPr/>
                  </pic:nvPicPr>
                  <pic:blipFill>
                    <a:blip r:embed="rId43" cstate="print"/>
                    <a:stretch>
                      <a:fillRect/>
                    </a:stretch>
                  </pic:blipFill>
                  <pic:spPr>
                    <a:xfrm>
                      <a:off x="0" y="0"/>
                      <a:ext cx="5614304" cy="2502027"/>
                    </a:xfrm>
                    <a:prstGeom prst="rect">
                      <a:avLst/>
                    </a:prstGeom>
                  </pic:spPr>
                </pic:pic>
              </a:graphicData>
            </a:graphic>
          </wp:anchor>
        </w:drawing>
      </w:r>
    </w:p>
    <w:p>
      <w:pPr>
        <w:pStyle w:val="BodyText"/>
        <w:spacing w:before="5"/>
        <w:rPr>
          <w:sz w:val="12"/>
        </w:rPr>
      </w:pPr>
    </w:p>
    <w:p>
      <w:pPr>
        <w:spacing w:before="163"/>
        <w:ind w:left="152" w:right="0" w:firstLine="0"/>
        <w:jc w:val="left"/>
        <w:rPr>
          <w:b/>
          <w:i/>
          <w:sz w:val="24"/>
        </w:rPr>
      </w:pPr>
      <w:r>
        <w:rPr>
          <w:b/>
          <w:sz w:val="24"/>
        </w:rPr>
        <w:t>Identification  and  molecular  characterization  of  </w:t>
      </w:r>
      <w:r>
        <w:rPr>
          <w:b/>
          <w:i/>
          <w:sz w:val="24"/>
        </w:rPr>
        <w:t>Corynebacterium   xerosis</w:t>
      </w:r>
    </w:p>
    <w:p>
      <w:pPr>
        <w:pStyle w:val="BodyText"/>
        <w:rPr>
          <w:b/>
          <w:i/>
        </w:rPr>
      </w:pPr>
    </w:p>
    <w:p>
      <w:pPr>
        <w:pStyle w:val="Heading3"/>
        <w:spacing w:before="0"/>
        <w:jc w:val="left"/>
      </w:pPr>
      <w:r>
        <w:rPr/>
        <w:t>isolated from a sheep cutaneous abscess: First report in Mexico.</w:t>
      </w:r>
    </w:p>
    <w:p>
      <w:pPr>
        <w:pStyle w:val="BodyText"/>
        <w:rPr>
          <w:b/>
        </w:rPr>
      </w:pPr>
    </w:p>
    <w:p>
      <w:pPr>
        <w:spacing w:line="475" w:lineRule="auto" w:before="156"/>
        <w:ind w:left="152" w:right="0" w:firstLine="0"/>
        <w:jc w:val="left"/>
        <w:rPr>
          <w:b/>
          <w:sz w:val="24"/>
        </w:rPr>
      </w:pPr>
      <w:r>
        <w:rPr>
          <w:b/>
          <w:sz w:val="24"/>
        </w:rPr>
        <w:t>Fernando Hernández-León</w:t>
      </w:r>
      <w:r>
        <w:rPr>
          <w:b/>
          <w:position w:val="8"/>
          <w:sz w:val="16"/>
        </w:rPr>
        <w:t>1</w:t>
      </w:r>
      <w:r>
        <w:rPr>
          <w:b/>
          <w:sz w:val="24"/>
        </w:rPr>
        <w:t>, Jorge Acosta-Dibarrat</w:t>
      </w:r>
      <w:r>
        <w:rPr>
          <w:b/>
          <w:position w:val="8"/>
          <w:sz w:val="16"/>
        </w:rPr>
        <w:t>1</w:t>
      </w:r>
      <w:r>
        <w:rPr>
          <w:b/>
          <w:sz w:val="24"/>
        </w:rPr>
        <w:t>, Juan Carlos Vázquez- Chagoyán</w:t>
      </w:r>
      <w:r>
        <w:rPr>
          <w:b/>
          <w:position w:val="8"/>
          <w:sz w:val="16"/>
        </w:rPr>
        <w:t>1</w:t>
      </w:r>
      <w:r>
        <w:rPr>
          <w:b/>
          <w:sz w:val="24"/>
        </w:rPr>
        <w:t>, Roberto Montes de Oca-Jiménez</w:t>
      </w:r>
      <w:r>
        <w:rPr>
          <w:b/>
          <w:position w:val="8"/>
          <w:sz w:val="16"/>
        </w:rPr>
        <w:t>1</w:t>
      </w:r>
      <w:r>
        <w:rPr>
          <w:b/>
          <w:sz w:val="24"/>
        </w:rPr>
        <w:t>.</w:t>
      </w:r>
    </w:p>
    <w:p>
      <w:pPr>
        <w:spacing w:before="166"/>
        <w:ind w:left="152" w:right="6060" w:firstLine="0"/>
        <w:jc w:val="left"/>
        <w:rPr>
          <w:b/>
          <w:sz w:val="24"/>
        </w:rPr>
      </w:pPr>
      <w:r>
        <w:rPr>
          <w:b/>
          <w:sz w:val="24"/>
        </w:rPr>
        <w:t>Authors information</w:t>
      </w:r>
    </w:p>
    <w:p>
      <w:pPr>
        <w:spacing w:after="0"/>
        <w:jc w:val="left"/>
        <w:rPr>
          <w:sz w:val="24"/>
        </w:rPr>
        <w:sectPr>
          <w:pgSz w:w="12240" w:h="15840"/>
          <w:pgMar w:header="0" w:footer="1386" w:top="1500" w:bottom="1580" w:left="1720" w:right="1240"/>
        </w:sectPr>
      </w:pPr>
    </w:p>
    <w:p>
      <w:pPr>
        <w:pStyle w:val="BodyText"/>
        <w:spacing w:before="11"/>
        <w:rPr>
          <w:b/>
          <w:sz w:val="20"/>
        </w:rPr>
      </w:pPr>
    </w:p>
    <w:p>
      <w:pPr>
        <w:pStyle w:val="BodyText"/>
        <w:spacing w:line="480" w:lineRule="auto" w:before="69"/>
        <w:ind w:left="152" w:right="114"/>
        <w:jc w:val="both"/>
      </w:pPr>
      <w:r>
        <w:rPr>
          <w:b/>
        </w:rPr>
        <w:t>1 </w:t>
      </w:r>
      <w:r>
        <w:rPr/>
        <w:t>Centro de Investigación y Estudios Avanzados en Salud, Facultad de medicina veterinaria y Zootecnia, Universidad Autónoma del Estado de México. Km 15.5 Carretera Toluca-Atlacomulco, Estado de México, México, C.P. 50200</w:t>
      </w:r>
    </w:p>
    <w:p>
      <w:pPr>
        <w:pStyle w:val="BodyText"/>
        <w:spacing w:line="480" w:lineRule="auto" w:before="166"/>
        <w:ind w:left="152" w:right="107"/>
        <w:jc w:val="both"/>
      </w:pPr>
      <w:r>
        <w:rPr>
          <w:b/>
        </w:rPr>
        <w:t>Fernando Hernández-León </w:t>
      </w:r>
      <w:r>
        <w:rPr/>
        <w:t>Centro de Investigación y Estudios Avanzados en Salud Animal, Facultad de Medicina Veterinaria y Zootecnia,  Universidad Autónoma del Estado de México, Méx</w:t>
      </w:r>
      <w:hyperlink r:id="rId44">
        <w:r>
          <w:rPr/>
          <w:t>ico. E-mail:erlich_511@hotmail.com</w:t>
        </w:r>
      </w:hyperlink>
    </w:p>
    <w:p>
      <w:pPr>
        <w:pStyle w:val="BodyText"/>
        <w:spacing w:line="480" w:lineRule="auto" w:before="168"/>
        <w:ind w:left="152" w:right="110"/>
        <w:jc w:val="both"/>
      </w:pPr>
      <w:r>
        <w:rPr>
          <w:b/>
        </w:rPr>
        <w:t>Jorge Acosta-Dibarrat </w:t>
      </w:r>
      <w:r>
        <w:rPr/>
        <w:t>Centro de investigación y Estudios Avanzados en Salud Animal, Facultad de Medicina Veterinaria y Zootecnia Universidad Autónoma del Estado de México, México. E-mail: </w:t>
      </w:r>
      <w:hyperlink r:id="rId45">
        <w:r>
          <w:rPr/>
          <w:t>jpacosta00@hotmail.com</w:t>
        </w:r>
      </w:hyperlink>
    </w:p>
    <w:p>
      <w:pPr>
        <w:pStyle w:val="BodyText"/>
        <w:spacing w:line="480" w:lineRule="auto" w:before="168"/>
        <w:ind w:left="152" w:right="110"/>
        <w:jc w:val="both"/>
      </w:pPr>
      <w:r>
        <w:rPr>
          <w:b/>
        </w:rPr>
        <w:t>Juan Carlos Vazquez-Chagoyán </w:t>
      </w:r>
      <w:r>
        <w:rPr/>
        <w:t>Centro de investigación y Estudios Avanzados en Salud Animal, Facultad de Medicina Veterinaria y Zootecnia Universidad Autónoma del Estado de México, México. E-mail: </w:t>
      </w:r>
      <w:hyperlink r:id="rId46">
        <w:r>
          <w:rPr/>
          <w:t>jcvch@yahoo.com</w:t>
        </w:r>
      </w:hyperlink>
    </w:p>
    <w:p>
      <w:pPr>
        <w:pStyle w:val="BodyText"/>
        <w:spacing w:line="480" w:lineRule="auto" w:before="166"/>
        <w:ind w:left="152" w:right="107"/>
        <w:jc w:val="both"/>
      </w:pPr>
      <w:r>
        <w:rPr>
          <w:b/>
        </w:rPr>
        <w:t>Roberto Montes de Oca-Jiménez </w:t>
      </w:r>
      <w:r>
        <w:rPr/>
        <w:t>Centro de investigación y Estudios Avanzados en Salud Animal, Facultad de Medicina Veterinaria y Zootecnia Universidad Autónoma del Estado de México, México. E-mail: </w:t>
      </w:r>
      <w:hyperlink r:id="rId47">
        <w:r>
          <w:rPr/>
          <w:t>romojimenez@yahoo.com</w:t>
        </w:r>
      </w:hyperlink>
    </w:p>
    <w:p>
      <w:pPr>
        <w:pStyle w:val="BodyText"/>
      </w:pPr>
    </w:p>
    <w:p>
      <w:pPr>
        <w:pStyle w:val="BodyText"/>
      </w:pPr>
    </w:p>
    <w:p>
      <w:pPr>
        <w:pStyle w:val="BodyText"/>
        <w:spacing w:before="8"/>
        <w:rPr>
          <w:sz w:val="28"/>
        </w:rPr>
      </w:pPr>
    </w:p>
    <w:p>
      <w:pPr>
        <w:spacing w:line="480" w:lineRule="auto" w:before="0"/>
        <w:ind w:left="152" w:right="106" w:firstLine="0"/>
        <w:jc w:val="both"/>
        <w:rPr>
          <w:sz w:val="24"/>
        </w:rPr>
      </w:pPr>
      <w:r>
        <w:rPr>
          <w:b/>
          <w:sz w:val="24"/>
        </w:rPr>
        <w:t>Corresponding Author: Roberto Montes de Oca Jiménez </w:t>
      </w:r>
      <w:r>
        <w:rPr>
          <w:sz w:val="24"/>
        </w:rPr>
        <w:t>Centro de investigación y Estudios Avanzados en Salud Animal, Facultad de Medicina Veterinaria y Zootecnia Universidad Autónoma del Estado de México, México. E- mail: </w:t>
      </w:r>
      <w:hyperlink r:id="rId47">
        <w:r>
          <w:rPr>
            <w:sz w:val="24"/>
          </w:rPr>
          <w:t>romojimenez@yahoo.com</w:t>
        </w:r>
      </w:hyperlink>
    </w:p>
    <w:p>
      <w:pPr>
        <w:spacing w:after="0" w:line="480" w:lineRule="auto"/>
        <w:jc w:val="both"/>
        <w:rPr>
          <w:sz w:val="24"/>
        </w:rPr>
        <w:sectPr>
          <w:pgSz w:w="12240" w:h="15840"/>
          <w:pgMar w:header="0" w:footer="1386" w:top="1500" w:bottom="1580" w:left="1720" w:right="1420"/>
        </w:sectPr>
      </w:pPr>
    </w:p>
    <w:p>
      <w:pPr>
        <w:pStyle w:val="BodyText"/>
        <w:spacing w:before="11"/>
        <w:rPr>
          <w:sz w:val="20"/>
        </w:rPr>
      </w:pPr>
    </w:p>
    <w:p>
      <w:pPr>
        <w:pStyle w:val="Heading3"/>
      </w:pPr>
      <w:r>
        <w:rPr/>
        <w:t>ABSTRACT</w:t>
      </w:r>
    </w:p>
    <w:p>
      <w:pPr>
        <w:pStyle w:val="BodyText"/>
        <w:rPr>
          <w:b/>
        </w:rPr>
      </w:pPr>
    </w:p>
    <w:p>
      <w:pPr>
        <w:spacing w:before="158"/>
        <w:ind w:left="152" w:right="0" w:firstLine="0"/>
        <w:jc w:val="both"/>
        <w:rPr>
          <w:b/>
          <w:sz w:val="24"/>
        </w:rPr>
      </w:pPr>
      <w:r>
        <w:rPr>
          <w:b/>
          <w:sz w:val="24"/>
        </w:rPr>
        <w:t>Background</w:t>
      </w:r>
    </w:p>
    <w:p>
      <w:pPr>
        <w:pStyle w:val="BodyText"/>
        <w:rPr>
          <w:b/>
        </w:rPr>
      </w:pPr>
    </w:p>
    <w:p>
      <w:pPr>
        <w:pStyle w:val="BodyText"/>
        <w:spacing w:line="480" w:lineRule="auto" w:before="158"/>
        <w:ind w:left="152" w:right="112"/>
        <w:jc w:val="both"/>
      </w:pPr>
      <w:r>
        <w:rPr>
          <w:i/>
        </w:rPr>
        <w:t>Corynebacterium xerosis </w:t>
      </w:r>
      <w:r>
        <w:rPr/>
        <w:t>is a commensal organism found in skin and mucous membranes of humans. It is considered an unusual pathogen, and it is rarely found in human and animal clinical samples.</w:t>
      </w:r>
    </w:p>
    <w:p>
      <w:pPr>
        <w:pStyle w:val="Heading3"/>
        <w:spacing w:before="169"/>
      </w:pPr>
      <w:r>
        <w:rPr/>
        <w:t>Case presentation</w:t>
      </w:r>
    </w:p>
    <w:p>
      <w:pPr>
        <w:pStyle w:val="BodyText"/>
        <w:rPr>
          <w:b/>
        </w:rPr>
      </w:pPr>
    </w:p>
    <w:p>
      <w:pPr>
        <w:pStyle w:val="BodyText"/>
        <w:spacing w:line="480" w:lineRule="auto" w:before="156"/>
        <w:ind w:left="152" w:right="105"/>
        <w:jc w:val="both"/>
      </w:pPr>
      <w:r>
        <w:rPr/>
        <w:t>Here we describe the isolation of </w:t>
      </w:r>
      <w:r>
        <w:rPr>
          <w:i/>
        </w:rPr>
        <w:t>Corynebacterium xerosis </w:t>
      </w:r>
      <w:r>
        <w:rPr/>
        <w:t>from a 4-months-old Pelifolk lamb kept in an intensive production system located in Tesistán, central western Mexico. The animal exhibited a hard-consistency, 5 cm diameter abscess, without drainage, in the neck. The presumptive clinical diagnosis was caseous lymphadenitis, caused by </w:t>
      </w:r>
      <w:r>
        <w:rPr>
          <w:i/>
        </w:rPr>
        <w:t>Corynebacterium pseudotuberculosis</w:t>
      </w:r>
      <w:r>
        <w:rPr/>
        <w:t>. Samples were obtained by puncture and cultured in 8% sheep blood agar under microaerophilic conditions. Colonies were non-haemolytic, yellowish and showed microscopic and biochemical features similar to </w:t>
      </w:r>
      <w:r>
        <w:rPr>
          <w:i/>
        </w:rPr>
        <w:t>C. pseudotuberculosis</w:t>
      </w:r>
      <w:r>
        <w:rPr/>
        <w:t>, except for the urea test. A multiplex-PCR for the amplification of partial sequences of the </w:t>
      </w:r>
      <w:r>
        <w:rPr>
          <w:i/>
        </w:rPr>
        <w:t>pld</w:t>
      </w:r>
      <w:r>
        <w:rPr/>
        <w:t>, </w:t>
      </w:r>
      <w:r>
        <w:rPr>
          <w:i/>
        </w:rPr>
        <w:t>rpoB </w:t>
      </w:r>
      <w:r>
        <w:rPr/>
        <w:t>and </w:t>
      </w:r>
      <w:r>
        <w:rPr>
          <w:i/>
        </w:rPr>
        <w:t>16s </w:t>
      </w:r>
      <w:r>
        <w:rPr/>
        <w:t>genes was carried out. Samples did not show any amplification for </w:t>
      </w:r>
      <w:r>
        <w:rPr>
          <w:i/>
        </w:rPr>
        <w:t>pld </w:t>
      </w:r>
      <w:r>
        <w:rPr/>
        <w:t>and </w:t>
      </w:r>
      <w:r>
        <w:rPr>
          <w:i/>
        </w:rPr>
        <w:t>16s </w:t>
      </w:r>
      <w:r>
        <w:rPr/>
        <w:t>genes. Further sequencing and alignment of </w:t>
      </w:r>
      <w:r>
        <w:rPr>
          <w:i/>
        </w:rPr>
        <w:t>rpoB </w:t>
      </w:r>
      <w:r>
        <w:rPr/>
        <w:t>confirmed that the sample (</w:t>
      </w:r>
      <w:r>
        <w:rPr>
          <w:i/>
        </w:rPr>
        <w:t>rpoB </w:t>
      </w:r>
      <w:r>
        <w:rPr/>
        <w:t>C53) was </w:t>
      </w:r>
      <w:r>
        <w:rPr>
          <w:i/>
        </w:rPr>
        <w:t>Corynebacterium xerosis</w:t>
      </w:r>
      <w:r>
        <w:rPr/>
        <w:t>.</w:t>
      </w:r>
    </w:p>
    <w:p>
      <w:pPr>
        <w:spacing w:after="0" w:line="480" w:lineRule="auto"/>
        <w:jc w:val="both"/>
        <w:sectPr>
          <w:pgSz w:w="12240" w:h="15840"/>
          <w:pgMar w:header="0" w:footer="1386" w:top="1500" w:bottom="1580" w:left="1720" w:right="1420"/>
        </w:sectPr>
      </w:pPr>
    </w:p>
    <w:p>
      <w:pPr>
        <w:pStyle w:val="BodyText"/>
        <w:spacing w:before="11"/>
        <w:rPr>
          <w:sz w:val="20"/>
        </w:rPr>
      </w:pPr>
    </w:p>
    <w:p>
      <w:pPr>
        <w:pStyle w:val="Heading3"/>
      </w:pPr>
      <w:r>
        <w:rPr/>
        <w:t>Conclusions</w:t>
      </w:r>
    </w:p>
    <w:p>
      <w:pPr>
        <w:pStyle w:val="BodyText"/>
        <w:rPr>
          <w:b/>
        </w:rPr>
      </w:pPr>
    </w:p>
    <w:p>
      <w:pPr>
        <w:pStyle w:val="BodyText"/>
        <w:spacing w:line="480" w:lineRule="auto" w:before="156"/>
        <w:ind w:left="152" w:right="105"/>
        <w:jc w:val="both"/>
      </w:pPr>
      <w:r>
        <w:rPr/>
        <w:t>This study shows for the first time isolation and molecular characterization of </w:t>
      </w:r>
      <w:r>
        <w:rPr>
          <w:i/>
        </w:rPr>
        <w:t>C. </w:t>
      </w:r>
      <w:r>
        <w:rPr>
          <w:i/>
        </w:rPr>
        <w:t>xerosis </w:t>
      </w:r>
      <w:r>
        <w:rPr/>
        <w:t>from a clinical sample of an ovine cutaneous abscess in Mexico. This finding highlights the need for differential diagnosis of this pathogen in ovine skin abscesses, as well as epidemiological and control studies of this pathogen in sheep</w:t>
      </w:r>
      <w:r>
        <w:rPr>
          <w:spacing w:val="-6"/>
        </w:rPr>
        <w:t> </w:t>
      </w:r>
      <w:r>
        <w:rPr/>
        <w:t>farms.</w:t>
      </w:r>
    </w:p>
    <w:p>
      <w:pPr>
        <w:spacing w:line="480" w:lineRule="auto" w:before="166"/>
        <w:ind w:left="152" w:right="107" w:firstLine="0"/>
        <w:jc w:val="both"/>
        <w:rPr>
          <w:sz w:val="24"/>
        </w:rPr>
      </w:pPr>
      <w:r>
        <w:rPr>
          <w:sz w:val="24"/>
        </w:rPr>
        <w:t>Keywords </w:t>
      </w:r>
      <w:r>
        <w:rPr>
          <w:i/>
          <w:sz w:val="24"/>
        </w:rPr>
        <w:t>Corynebacterium xerosis</w:t>
      </w:r>
      <w:r>
        <w:rPr>
          <w:sz w:val="24"/>
        </w:rPr>
        <w:t>, </w:t>
      </w:r>
      <w:r>
        <w:rPr>
          <w:i/>
          <w:sz w:val="24"/>
        </w:rPr>
        <w:t>Corynebacterium pseudotuberculosis</w:t>
      </w:r>
      <w:r>
        <w:rPr>
          <w:sz w:val="24"/>
        </w:rPr>
        <w:t>, skin abscess, sheep, </w:t>
      </w:r>
      <w:r>
        <w:rPr>
          <w:i/>
          <w:sz w:val="24"/>
        </w:rPr>
        <w:t>pld </w:t>
      </w:r>
      <w:r>
        <w:rPr>
          <w:sz w:val="24"/>
        </w:rPr>
        <w:t>gene, </w:t>
      </w:r>
      <w:r>
        <w:rPr>
          <w:i/>
          <w:sz w:val="24"/>
        </w:rPr>
        <w:t>rpoB </w:t>
      </w:r>
      <w:r>
        <w:rPr>
          <w:sz w:val="24"/>
        </w:rPr>
        <w:t>gene.</w:t>
      </w:r>
    </w:p>
    <w:p>
      <w:pPr>
        <w:pStyle w:val="Heading3"/>
        <w:spacing w:before="171"/>
      </w:pPr>
      <w:r>
        <w:rPr/>
        <w:t>Background</w:t>
      </w:r>
    </w:p>
    <w:p>
      <w:pPr>
        <w:pStyle w:val="BodyText"/>
        <w:rPr>
          <w:b/>
        </w:rPr>
      </w:pPr>
    </w:p>
    <w:p>
      <w:pPr>
        <w:pStyle w:val="BodyText"/>
        <w:spacing w:line="480" w:lineRule="auto" w:before="156"/>
        <w:ind w:left="152" w:right="104"/>
        <w:jc w:val="both"/>
      </w:pPr>
      <w:r>
        <w:rPr>
          <w:i/>
        </w:rPr>
        <w:t>Corynebacterium xerosis </w:t>
      </w:r>
      <w:r>
        <w:rPr/>
        <w:t>is a commensal organism normally present in skin and mucous membranes of humans and animals (1). It is considered an unusual pathogen but it is able to cause endocarditis, skin infections and other illnesess (1, 2, 3, 4, 5, 6). Furthermore, it has been shown that human clinical isolates originally identified as </w:t>
      </w:r>
      <w:r>
        <w:rPr>
          <w:i/>
        </w:rPr>
        <w:t>C. xerosis </w:t>
      </w:r>
      <w:r>
        <w:rPr/>
        <w:t>sometimes correspond to other species of </w:t>
      </w:r>
      <w:r>
        <w:rPr>
          <w:i/>
        </w:rPr>
        <w:t>Corynebacterium </w:t>
      </w:r>
      <w:r>
        <w:rPr/>
        <w:t>(</w:t>
      </w:r>
      <w:r>
        <w:rPr>
          <w:i/>
        </w:rPr>
        <w:t>C. amycolatum</w:t>
      </w:r>
      <w:r>
        <w:rPr/>
        <w:t>, </w:t>
      </w:r>
      <w:r>
        <w:rPr>
          <w:i/>
        </w:rPr>
        <w:t>C. freneyi </w:t>
      </w:r>
      <w:r>
        <w:rPr/>
        <w:t>and </w:t>
      </w:r>
      <w:r>
        <w:rPr>
          <w:i/>
        </w:rPr>
        <w:t>C. hansenii</w:t>
      </w:r>
      <w:r>
        <w:rPr/>
        <w:t>). This misidentification is due to their close phylogenetic relationship and similar phenotypic characteristics (7, 8, 9, </w:t>
      </w:r>
      <w:r>
        <w:rPr>
          <w:spacing w:val="51"/>
        </w:rPr>
        <w:t> </w:t>
      </w:r>
      <w:r>
        <w:rPr/>
        <w:t>10).</w:t>
      </w:r>
    </w:p>
    <w:p>
      <w:pPr>
        <w:pStyle w:val="BodyText"/>
        <w:spacing w:line="480" w:lineRule="auto" w:before="6"/>
        <w:ind w:left="152" w:right="106"/>
        <w:jc w:val="both"/>
      </w:pPr>
      <w:r>
        <w:rPr>
          <w:i/>
        </w:rPr>
        <w:t>C. xerosis </w:t>
      </w:r>
      <w:r>
        <w:rPr/>
        <w:t>grows in colonies of 0.2-1.0 mm in diameter, brown-yellowish in colour, slightly dry in appearance and non-haemolytic when cultured in blood agar. Microscopically, </w:t>
      </w:r>
      <w:r>
        <w:rPr>
          <w:i/>
        </w:rPr>
        <w:t>C. xerosis </w:t>
      </w:r>
      <w:r>
        <w:rPr/>
        <w:t>are irregularly staining pleomorphic Gram positive rods presenting club-like ends. Biochemically, they are catalase-positive, and are able  to ferment  glucose,  sucrose and maltose.  (1,  11, 12, 13). Vela  </w:t>
      </w:r>
      <w:r>
        <w:rPr>
          <w:i/>
        </w:rPr>
        <w:t>et  al</w:t>
      </w:r>
      <w:r>
        <w:rPr/>
        <w:t>.,  (2006)</w:t>
      </w:r>
      <w:r>
        <w:rPr>
          <w:spacing w:val="9"/>
        </w:rPr>
        <w:t> </w:t>
      </w:r>
      <w:r>
        <w:rPr/>
        <w:t>(1)</w:t>
      </w:r>
    </w:p>
    <w:p>
      <w:pPr>
        <w:spacing w:after="0" w:line="480" w:lineRule="auto"/>
        <w:jc w:val="both"/>
        <w:sectPr>
          <w:pgSz w:w="12240" w:h="15840"/>
          <w:pgMar w:header="0" w:footer="1386" w:top="1500" w:bottom="1580" w:left="1720" w:right="1420"/>
        </w:sectPr>
      </w:pPr>
    </w:p>
    <w:p>
      <w:pPr>
        <w:pStyle w:val="BodyText"/>
        <w:spacing w:before="8"/>
        <w:rPr>
          <w:sz w:val="20"/>
        </w:rPr>
      </w:pPr>
    </w:p>
    <w:p>
      <w:pPr>
        <w:pStyle w:val="BodyText"/>
        <w:spacing w:line="480" w:lineRule="auto" w:before="70"/>
        <w:ind w:left="152" w:right="106"/>
        <w:jc w:val="both"/>
      </w:pPr>
      <w:r>
        <w:rPr/>
        <w:t>described for the first time the identification of eight isolates of </w:t>
      </w:r>
      <w:r>
        <w:rPr>
          <w:i/>
        </w:rPr>
        <w:t>C. xerosis </w:t>
      </w:r>
      <w:r>
        <w:rPr/>
        <w:t>from animal clinical samples, using classical microbiological methods as well as molecular genetics. More recently, Palacios </w:t>
      </w:r>
      <w:r>
        <w:rPr>
          <w:i/>
        </w:rPr>
        <w:t>et al</w:t>
      </w:r>
      <w:r>
        <w:rPr/>
        <w:t>., (2010) (14) showed a more thorough analysis of several </w:t>
      </w:r>
      <w:r>
        <w:rPr>
          <w:i/>
        </w:rPr>
        <w:t>C. xerosis </w:t>
      </w:r>
      <w:r>
        <w:rPr/>
        <w:t>isolates from animal clinical  samples, mostly lesions from swine, including subcutaneous abscesses.</w:t>
      </w:r>
    </w:p>
    <w:p>
      <w:pPr>
        <w:pStyle w:val="Heading3"/>
        <w:spacing w:before="167"/>
      </w:pPr>
      <w:r>
        <w:rPr/>
        <w:t>Case presentation</w:t>
      </w:r>
    </w:p>
    <w:p>
      <w:pPr>
        <w:pStyle w:val="BodyText"/>
        <w:rPr>
          <w:b/>
        </w:rPr>
      </w:pPr>
    </w:p>
    <w:p>
      <w:pPr>
        <w:pStyle w:val="BodyText"/>
        <w:spacing w:line="480" w:lineRule="auto" w:before="158"/>
        <w:ind w:left="152" w:right="103"/>
        <w:jc w:val="both"/>
      </w:pPr>
      <w:r>
        <w:rPr/>
        <w:t>This paper describes the isolation of </w:t>
      </w:r>
      <w:r>
        <w:rPr>
          <w:i/>
        </w:rPr>
        <w:t>Corynebacterium xerosis </w:t>
      </w:r>
      <w:r>
        <w:rPr/>
        <w:t>from a 4-months-old Pelifolk (3/4 Pelibuey, 1/4 Suffolk) lamb in good body condition. The individual came from an intensive production system, located in Tesistán, municipality of Zapopan, state of Jalisco, Mexico. The animal exhibited a hard-consistency abscess, without drainage, on the left side of the neck. (Figure 1A). Initial clinical diagnosis suggested caseous lymphadenitis, possibly caused by </w:t>
      </w:r>
      <w:r>
        <w:rPr>
          <w:i/>
        </w:rPr>
        <w:t>Corynebacterium </w:t>
      </w:r>
      <w:r>
        <w:rPr>
          <w:i/>
        </w:rPr>
        <w:t>pseudotuberculosis</w:t>
      </w:r>
      <w:r>
        <w:rPr/>
        <w:t>. A sample for bacteriological analysis was obtained by puncturing the abscess with a sterile, 5 ml syringe, with a 20 gauge hypodermic needle after cleansing and disinfection of the area. The type of exudate recovered was serous-like and white in appearance. The biological sample was kept at 4° C until biological characterization at the Centro de Investigación y Estudios Avanzados en Salud Animal (CIESA). The time between sampling and processing did not exceed 72 hours. Sample was cultured in duplicate in 8% sheep blood agar</w:t>
      </w:r>
    </w:p>
    <w:p>
      <w:pPr>
        <w:pStyle w:val="BodyText"/>
        <w:spacing w:line="480" w:lineRule="auto" w:before="8"/>
        <w:ind w:left="152" w:right="105"/>
        <w:jc w:val="both"/>
      </w:pPr>
      <w:r>
        <w:rPr/>
        <w:t>(3) and incubated 24-48 hours at 37° C in aerobic and microaerophilic conditions (1,</w:t>
      </w:r>
      <w:r>
        <w:rPr>
          <w:spacing w:val="37"/>
        </w:rPr>
        <w:t> </w:t>
      </w:r>
      <w:r>
        <w:rPr/>
        <w:t>14).</w:t>
      </w:r>
      <w:r>
        <w:rPr>
          <w:spacing w:val="34"/>
        </w:rPr>
        <w:t> </w:t>
      </w:r>
      <w:r>
        <w:rPr/>
        <w:t>Colonies</w:t>
      </w:r>
      <w:r>
        <w:rPr>
          <w:spacing w:val="35"/>
        </w:rPr>
        <w:t> </w:t>
      </w:r>
      <w:r>
        <w:rPr/>
        <w:t>1.0</w:t>
      </w:r>
      <w:r>
        <w:rPr>
          <w:spacing w:val="35"/>
        </w:rPr>
        <w:t> </w:t>
      </w:r>
      <w:r>
        <w:rPr/>
        <w:t>mm</w:t>
      </w:r>
      <w:r>
        <w:rPr>
          <w:spacing w:val="36"/>
        </w:rPr>
        <w:t> </w:t>
      </w:r>
      <w:r>
        <w:rPr/>
        <w:t>in</w:t>
      </w:r>
      <w:r>
        <w:rPr>
          <w:spacing w:val="35"/>
        </w:rPr>
        <w:t> </w:t>
      </w:r>
      <w:r>
        <w:rPr/>
        <w:t>diameter,</w:t>
      </w:r>
      <w:r>
        <w:rPr>
          <w:spacing w:val="34"/>
        </w:rPr>
        <w:t> </w:t>
      </w:r>
      <w:r>
        <w:rPr/>
        <w:t>non-haemolytic,</w:t>
      </w:r>
      <w:r>
        <w:rPr>
          <w:spacing w:val="37"/>
        </w:rPr>
        <w:t> </w:t>
      </w:r>
      <w:r>
        <w:rPr/>
        <w:t>yellowish-brown</w:t>
      </w:r>
      <w:r>
        <w:rPr>
          <w:spacing w:val="37"/>
        </w:rPr>
        <w:t> </w:t>
      </w:r>
      <w:r>
        <w:rPr/>
        <w:t>in</w:t>
      </w:r>
      <w:r>
        <w:rPr>
          <w:spacing w:val="37"/>
        </w:rPr>
        <w:t> </w:t>
      </w:r>
      <w:r>
        <w:rPr/>
        <w:t>colour</w:t>
      </w:r>
    </w:p>
    <w:p>
      <w:pPr>
        <w:spacing w:after="0" w:line="480" w:lineRule="auto"/>
        <w:jc w:val="both"/>
        <w:sectPr>
          <w:pgSz w:w="12240" w:h="15840"/>
          <w:pgMar w:header="0" w:footer="1386" w:top="1500" w:bottom="1580" w:left="1720" w:right="1420"/>
        </w:sectPr>
      </w:pPr>
    </w:p>
    <w:p>
      <w:pPr>
        <w:pStyle w:val="BodyText"/>
        <w:spacing w:before="11"/>
        <w:rPr>
          <w:sz w:val="20"/>
        </w:rPr>
      </w:pPr>
    </w:p>
    <w:p>
      <w:pPr>
        <w:pStyle w:val="BodyText"/>
        <w:spacing w:line="480" w:lineRule="auto" w:before="69"/>
        <w:ind w:left="152" w:right="105"/>
        <w:jc w:val="both"/>
      </w:pPr>
      <w:r>
        <w:rPr/>
        <w:t>and slightly dry in appearance were observed (Figure 2A). These morphological characteristics corresponded to those previously described in the literature for </w:t>
      </w:r>
      <w:r>
        <w:rPr>
          <w:i/>
        </w:rPr>
        <w:t>Corynebacterium xerosis </w:t>
      </w:r>
      <w:r>
        <w:rPr/>
        <w:t>(1, 13) and not </w:t>
      </w:r>
      <w:r>
        <w:rPr>
          <w:i/>
        </w:rPr>
        <w:t>C. pseudotuberculosis</w:t>
      </w:r>
      <w:r>
        <w:rPr/>
        <w:t>, as expected. After staining, irregularly staining pleomorphic Gram-positive rods presenting club-like ends were observed (Figure 2B). Biochemical tests showed the following results: TSI (-), LIA (-), CIT (-), SIM (-), MIO (-), OF (-) Methyl red (-), Peptone Water (-),</w:t>
      </w:r>
    </w:p>
    <w:p>
      <w:pPr>
        <w:pStyle w:val="BodyText"/>
        <w:spacing w:line="480" w:lineRule="auto" w:before="8"/>
        <w:ind w:left="152" w:right="103"/>
        <w:jc w:val="both"/>
      </w:pPr>
      <w:r>
        <w:rPr/>
        <w:t>Voger Pascaguer (-), Urea (-), Nitrate Broth (+), Trehalose (+), Sucrose (+), Maltose (+) and Glucose (+). These results correspond to a </w:t>
      </w:r>
      <w:r>
        <w:rPr>
          <w:i/>
        </w:rPr>
        <w:t>Corynebacterium </w:t>
      </w:r>
      <w:r>
        <w:rPr>
          <w:i/>
        </w:rPr>
        <w:t>pseudotuberculosis </w:t>
      </w:r>
      <w:r>
        <w:rPr/>
        <w:t>profile, with the exception of the urea test, which was negative instead of positive, and therefore better coincident with </w:t>
      </w:r>
      <w:r>
        <w:rPr>
          <w:i/>
        </w:rPr>
        <w:t>Corynebacterium xerosis </w:t>
      </w:r>
      <w:r>
        <w:rPr/>
        <w:t>profile (13). Additionally, the API-</w:t>
      </w:r>
      <w:r>
        <w:rPr>
          <w:i/>
        </w:rPr>
        <w:t>Coryne </w:t>
      </w:r>
      <w:r>
        <w:rPr/>
        <w:t>test was performed following the manufacturer’s specifications and results were similar to previous biochemical results (14, 15). In addition to the biochemical profiles, molecular characterization of the isolate was performed to increase diagnosis accuracy. DNA extraction was carried out using a commercial kit (KAPA Express Extract) following the manufacturer’s protocol. A Multiplex-PCR technique for amplification of partial sequences of the </w:t>
      </w:r>
      <w:r>
        <w:rPr>
          <w:i/>
        </w:rPr>
        <w:t>pld</w:t>
      </w:r>
      <w:r>
        <w:rPr/>
        <w:t>, </w:t>
      </w:r>
      <w:r>
        <w:rPr>
          <w:i/>
        </w:rPr>
        <w:t>16s </w:t>
      </w:r>
      <w:r>
        <w:rPr/>
        <w:t>and </w:t>
      </w:r>
      <w:r>
        <w:rPr>
          <w:i/>
        </w:rPr>
        <w:t>rpoB </w:t>
      </w:r>
      <w:r>
        <w:rPr/>
        <w:t>genes was performed using the protocol published by Pacheco in 2007 (16). Reactions were carried out using a commercial multiplex PCR kit (QIAGEN Multiplex PCR) following the manufacturer’s specifications and included the isolated sample and also DNA from a </w:t>
      </w:r>
      <w:r>
        <w:rPr>
          <w:i/>
        </w:rPr>
        <w:t>Corynebacterium pseudotuberculosis </w:t>
      </w:r>
      <w:r>
        <w:rPr/>
        <w:t>biovar </w:t>
      </w:r>
      <w:r>
        <w:rPr>
          <w:i/>
        </w:rPr>
        <w:t>ovis </w:t>
      </w:r>
      <w:r>
        <w:rPr/>
        <w:t>isolate and a the reference strain </w:t>
      </w:r>
      <w:r>
        <w:rPr>
          <w:i/>
        </w:rPr>
        <w:t>Corynebacterium</w:t>
      </w:r>
      <w:r>
        <w:rPr>
          <w:i/>
          <w:spacing w:val="47"/>
        </w:rPr>
        <w:t> </w:t>
      </w:r>
      <w:r>
        <w:rPr>
          <w:i/>
        </w:rPr>
        <w:t>pseudotuberculosis</w:t>
      </w:r>
      <w:r>
        <w:rPr>
          <w:i/>
          <w:spacing w:val="55"/>
        </w:rPr>
        <w:t> </w:t>
      </w:r>
      <w:r>
        <w:rPr/>
        <w:t>biovar</w:t>
      </w:r>
      <w:r>
        <w:rPr>
          <w:spacing w:val="50"/>
        </w:rPr>
        <w:t> </w:t>
      </w:r>
      <w:r>
        <w:rPr>
          <w:i/>
        </w:rPr>
        <w:t>equi</w:t>
      </w:r>
      <w:r>
        <w:rPr>
          <w:i/>
          <w:spacing w:val="50"/>
        </w:rPr>
        <w:t> </w:t>
      </w:r>
      <w:r>
        <w:rPr/>
        <w:t>ATCC</w:t>
      </w:r>
      <w:r>
        <w:rPr>
          <w:spacing w:val="49"/>
        </w:rPr>
        <w:t> </w:t>
      </w:r>
      <w:r>
        <w:rPr/>
        <w:t>43924.</w:t>
      </w:r>
      <w:r>
        <w:rPr>
          <w:spacing w:val="50"/>
        </w:rPr>
        <w:t> </w:t>
      </w:r>
      <w:r>
        <w:rPr/>
        <w:t>A</w:t>
      </w:r>
      <w:r>
        <w:rPr>
          <w:spacing w:val="50"/>
        </w:rPr>
        <w:t> </w:t>
      </w:r>
      <w:r>
        <w:rPr/>
        <w:t>446</w:t>
      </w:r>
      <w:r>
        <w:rPr>
          <w:spacing w:val="51"/>
        </w:rPr>
        <w:t> </w:t>
      </w:r>
      <w:r>
        <w:rPr/>
        <w:t>bp</w:t>
      </w:r>
      <w:r>
        <w:rPr>
          <w:spacing w:val="51"/>
        </w:rPr>
        <w:t> </w:t>
      </w:r>
      <w:r>
        <w:rPr/>
        <w:t>band</w:t>
      </w:r>
    </w:p>
    <w:p>
      <w:pPr>
        <w:spacing w:after="0" w:line="480" w:lineRule="auto"/>
        <w:jc w:val="both"/>
        <w:sectPr>
          <w:pgSz w:w="12240" w:h="15840"/>
          <w:pgMar w:header="0" w:footer="1386" w:top="1500" w:bottom="1580" w:left="1720" w:right="1420"/>
        </w:sectPr>
      </w:pPr>
    </w:p>
    <w:p>
      <w:pPr>
        <w:pStyle w:val="BodyText"/>
        <w:spacing w:before="8"/>
        <w:rPr>
          <w:sz w:val="20"/>
        </w:rPr>
      </w:pPr>
    </w:p>
    <w:p>
      <w:pPr>
        <w:spacing w:line="480" w:lineRule="auto" w:before="70"/>
        <w:ind w:left="152" w:right="104" w:firstLine="0"/>
        <w:jc w:val="both"/>
        <w:rPr>
          <w:sz w:val="24"/>
        </w:rPr>
      </w:pPr>
      <w:r>
        <w:rPr>
          <w:sz w:val="24"/>
        </w:rPr>
        <w:t>corresponding to the </w:t>
      </w:r>
      <w:r>
        <w:rPr>
          <w:i/>
          <w:sz w:val="24"/>
        </w:rPr>
        <w:t>rpoB </w:t>
      </w:r>
      <w:r>
        <w:rPr>
          <w:sz w:val="24"/>
        </w:rPr>
        <w:t>gene from the studied isolated was successfully amplified. Both </w:t>
      </w:r>
      <w:r>
        <w:rPr>
          <w:i/>
          <w:sz w:val="24"/>
        </w:rPr>
        <w:t>Corynebacterium pseudotuberculosis </w:t>
      </w:r>
      <w:r>
        <w:rPr>
          <w:sz w:val="24"/>
        </w:rPr>
        <w:t>biovar </w:t>
      </w:r>
      <w:r>
        <w:rPr>
          <w:i/>
          <w:sz w:val="24"/>
        </w:rPr>
        <w:t>ovis </w:t>
      </w:r>
      <w:r>
        <w:rPr>
          <w:spacing w:val="-2"/>
          <w:sz w:val="24"/>
        </w:rPr>
        <w:t>and </w:t>
      </w:r>
      <w:r>
        <w:rPr>
          <w:i/>
          <w:sz w:val="24"/>
        </w:rPr>
        <w:t>Corynebacterium pseudotuberculosis </w:t>
      </w:r>
      <w:r>
        <w:rPr>
          <w:sz w:val="24"/>
        </w:rPr>
        <w:t>biovar </w:t>
      </w:r>
      <w:r>
        <w:rPr>
          <w:i/>
          <w:sz w:val="24"/>
        </w:rPr>
        <w:t>equi </w:t>
      </w:r>
      <w:r>
        <w:rPr>
          <w:sz w:val="24"/>
        </w:rPr>
        <w:t>showed three bands of 203, 446 and 816 bp, corresponding to genes </w:t>
      </w:r>
      <w:r>
        <w:rPr>
          <w:i/>
          <w:sz w:val="24"/>
        </w:rPr>
        <w:t>pld</w:t>
      </w:r>
      <w:r>
        <w:rPr>
          <w:sz w:val="24"/>
        </w:rPr>
        <w:t>, </w:t>
      </w:r>
      <w:r>
        <w:rPr>
          <w:i/>
          <w:sz w:val="24"/>
        </w:rPr>
        <w:t>rpoB </w:t>
      </w:r>
      <w:r>
        <w:rPr>
          <w:sz w:val="24"/>
        </w:rPr>
        <w:t>and </w:t>
      </w:r>
      <w:r>
        <w:rPr>
          <w:i/>
          <w:sz w:val="24"/>
        </w:rPr>
        <w:t>16s</w:t>
      </w:r>
      <w:r>
        <w:rPr>
          <w:sz w:val="24"/>
        </w:rPr>
        <w:t>, respectively (Figure 3).  The primers used in the amplification of 16s genes are specific for </w:t>
      </w:r>
      <w:r>
        <w:rPr>
          <w:i/>
          <w:sz w:val="24"/>
        </w:rPr>
        <w:t>C. </w:t>
      </w:r>
      <w:r>
        <w:rPr>
          <w:i/>
          <w:sz w:val="24"/>
        </w:rPr>
        <w:t>pseudotuberculosis </w:t>
      </w:r>
      <w:r>
        <w:rPr>
          <w:sz w:val="24"/>
        </w:rPr>
        <w:t>and </w:t>
      </w:r>
      <w:r>
        <w:rPr>
          <w:i/>
          <w:sz w:val="24"/>
        </w:rPr>
        <w:t>C. ulcerans </w:t>
      </w:r>
      <w:r>
        <w:rPr>
          <w:sz w:val="24"/>
        </w:rPr>
        <w:t>(16), and </w:t>
      </w:r>
      <w:r>
        <w:rPr>
          <w:i/>
          <w:sz w:val="24"/>
        </w:rPr>
        <w:t>pld </w:t>
      </w:r>
      <w:r>
        <w:rPr>
          <w:sz w:val="24"/>
        </w:rPr>
        <w:t>gene is absent in </w:t>
      </w:r>
      <w:r>
        <w:rPr>
          <w:i/>
          <w:sz w:val="24"/>
        </w:rPr>
        <w:t>Corynebacterium xerosis </w:t>
      </w:r>
      <w:r>
        <w:rPr>
          <w:sz w:val="24"/>
        </w:rPr>
        <w:t>(1) this explains the previous obtained multiple PCR results. </w:t>
      </w:r>
      <w:r>
        <w:rPr>
          <w:i/>
          <w:sz w:val="24"/>
        </w:rPr>
        <w:t>RpoB </w:t>
      </w:r>
      <w:r>
        <w:rPr>
          <w:sz w:val="24"/>
        </w:rPr>
        <w:t>gene amplicons of all the three samples were purified using the Promega purification kit (Wizard ® SV Gel and PCR Clean-Up System) and were sent for automatic sequencing by the Macrogen (USA). Multiple sequence alignments and percentage of similarity obtained from a BLAST (NCBI) were analysed using the Clustal W software. Phylogenetic analysis was performed using the neighbour-joining method (MEGA software 6.0.6). Bootstrap values were obtained by generating 1000 random trees. Phylogenetic analysis also included the sequences from the </w:t>
      </w:r>
      <w:r>
        <w:rPr>
          <w:i/>
          <w:sz w:val="24"/>
        </w:rPr>
        <w:t>rpoB </w:t>
      </w:r>
      <w:r>
        <w:rPr>
          <w:sz w:val="24"/>
        </w:rPr>
        <w:t>gene from </w:t>
      </w:r>
      <w:r>
        <w:rPr>
          <w:i/>
          <w:sz w:val="24"/>
        </w:rPr>
        <w:t>Corynebacterium xerosis </w:t>
      </w:r>
      <w:r>
        <w:rPr>
          <w:sz w:val="24"/>
        </w:rPr>
        <w:t>(GenBank AY492233.1), </w:t>
      </w:r>
      <w:r>
        <w:rPr>
          <w:i/>
          <w:sz w:val="24"/>
        </w:rPr>
        <w:t>Corynebacterium pseudotuberculosis </w:t>
      </w:r>
      <w:r>
        <w:rPr>
          <w:sz w:val="24"/>
        </w:rPr>
        <w:t>biovar </w:t>
      </w:r>
      <w:r>
        <w:rPr>
          <w:i/>
          <w:sz w:val="24"/>
        </w:rPr>
        <w:t>ovis </w:t>
      </w:r>
      <w:r>
        <w:rPr>
          <w:sz w:val="24"/>
        </w:rPr>
        <w:t>(GenBank CP002924.1) and </w:t>
      </w:r>
      <w:r>
        <w:rPr>
          <w:i/>
          <w:sz w:val="24"/>
        </w:rPr>
        <w:t>Corynebacterium pseudotuberculosis </w:t>
      </w:r>
      <w:r>
        <w:rPr>
          <w:sz w:val="24"/>
        </w:rPr>
        <w:t>biovar </w:t>
      </w:r>
      <w:r>
        <w:rPr>
          <w:i/>
          <w:sz w:val="24"/>
        </w:rPr>
        <w:t>equi </w:t>
      </w:r>
      <w:r>
        <w:rPr>
          <w:sz w:val="24"/>
        </w:rPr>
        <w:t>(GenBank CP003540.2). It was possible to observe different phylogenetic groups that corresponded to a particular species of </w:t>
      </w:r>
      <w:r>
        <w:rPr>
          <w:i/>
          <w:sz w:val="24"/>
        </w:rPr>
        <w:t>Corynebacterium</w:t>
      </w:r>
      <w:r>
        <w:rPr>
          <w:sz w:val="24"/>
        </w:rPr>
        <w:t>. These results, together with the percentages of similarity obtained by BLAST, confirm that this study’s isolate (</w:t>
      </w:r>
      <w:r>
        <w:rPr>
          <w:i/>
          <w:sz w:val="24"/>
        </w:rPr>
        <w:t>rpo</w:t>
      </w:r>
      <w:r>
        <w:rPr>
          <w:sz w:val="24"/>
        </w:rPr>
        <w:t>B C53) is </w:t>
      </w:r>
      <w:r>
        <w:rPr>
          <w:i/>
          <w:sz w:val="24"/>
        </w:rPr>
        <w:t>Corynebacterium xerosis </w:t>
      </w:r>
      <w:r>
        <w:rPr>
          <w:sz w:val="24"/>
        </w:rPr>
        <w:t>(Figure</w:t>
      </w:r>
      <w:r>
        <w:rPr>
          <w:spacing w:val="-13"/>
          <w:sz w:val="24"/>
        </w:rPr>
        <w:t> </w:t>
      </w:r>
      <w:r>
        <w:rPr>
          <w:sz w:val="24"/>
        </w:rPr>
        <w:t>4).</w:t>
      </w:r>
    </w:p>
    <w:p>
      <w:pPr>
        <w:spacing w:after="0" w:line="480" w:lineRule="auto"/>
        <w:jc w:val="both"/>
        <w:rPr>
          <w:sz w:val="24"/>
        </w:rPr>
        <w:sectPr>
          <w:pgSz w:w="12240" w:h="15840"/>
          <w:pgMar w:header="0" w:footer="1386" w:top="1500" w:bottom="1580" w:left="1720" w:right="1420"/>
        </w:sectPr>
      </w:pPr>
    </w:p>
    <w:p>
      <w:pPr>
        <w:pStyle w:val="BodyText"/>
        <w:spacing w:before="8"/>
        <w:rPr>
          <w:sz w:val="20"/>
        </w:rPr>
      </w:pPr>
    </w:p>
    <w:p>
      <w:pPr>
        <w:pStyle w:val="BodyText"/>
        <w:spacing w:line="480" w:lineRule="auto" w:before="70"/>
        <w:ind w:left="152" w:right="105"/>
        <w:jc w:val="both"/>
      </w:pPr>
      <w:r>
        <w:rPr/>
        <w:t>Genotyping techniques such as PCR as well as sequence analysis of the </w:t>
      </w:r>
      <w:r>
        <w:rPr>
          <w:i/>
        </w:rPr>
        <w:t>rpo</w:t>
      </w:r>
      <w:r>
        <w:rPr/>
        <w:t>B C53 isolate in this study contributed greatly towards a correct species identification, which was originally misleading when using phenotypic microscopic and biochemical features. </w:t>
      </w:r>
      <w:r>
        <w:rPr>
          <w:i/>
        </w:rPr>
        <w:t>Corynebacterium xerosis </w:t>
      </w:r>
      <w:r>
        <w:rPr/>
        <w:t>has been previously reported in clinical samples of human cases in lesions in endocarditis, pneumonitis, osteomyelitis and skin infections, especially in immunocompromised patients  (3,12). It has also been found in animal clinical samples, for instance, in goat liver lesions (suspected paratuberculosis), and cow milk from animals presenting mastitis. In swine, </w:t>
      </w:r>
      <w:r>
        <w:rPr>
          <w:i/>
        </w:rPr>
        <w:t>C. xerosis </w:t>
      </w:r>
      <w:r>
        <w:rPr/>
        <w:t>has been isolated from lesions in different tissues such as liver, kidney, lung, spleen, joints, as well as from subcutaneous abscess. Additionally, </w:t>
      </w:r>
      <w:r>
        <w:rPr>
          <w:i/>
        </w:rPr>
        <w:t>Corynebacterium xerosis </w:t>
      </w:r>
      <w:r>
        <w:rPr/>
        <w:t>has been isolated from ovine clinical samples, once from uterus, in a case of abortion, and from lung tissue, from an animal presenting respiratory problems (1, 14). These isolates were identified and characterized by amplification of the </w:t>
      </w:r>
      <w:r>
        <w:rPr>
          <w:i/>
        </w:rPr>
        <w:t>rRNA 16S-23S </w:t>
      </w:r>
      <w:r>
        <w:rPr/>
        <w:t>gene using PCR-RFLP. However, in those studies it was not possible to obtain a band pattern clear enough to differentiate </w:t>
      </w:r>
      <w:r>
        <w:rPr>
          <w:i/>
        </w:rPr>
        <w:t>Corynebacterium xerosis </w:t>
      </w:r>
      <w:r>
        <w:rPr/>
        <w:t>from other species of </w:t>
      </w:r>
      <w:r>
        <w:rPr>
          <w:i/>
        </w:rPr>
        <w:t>Corynebacterium</w:t>
      </w:r>
      <w:r>
        <w:rPr/>
        <w:t>. The authors also conducted an analysis and sequence comparison of genes </w:t>
      </w:r>
      <w:r>
        <w:rPr>
          <w:i/>
        </w:rPr>
        <w:t>16s </w:t>
      </w:r>
      <w:r>
        <w:rPr/>
        <w:t>and </w:t>
      </w:r>
      <w:r>
        <w:rPr>
          <w:i/>
        </w:rPr>
        <w:t>rpoB </w:t>
      </w:r>
      <w:r>
        <w:rPr/>
        <w:t>which allowed them to differentiate </w:t>
      </w:r>
      <w:r>
        <w:rPr>
          <w:i/>
        </w:rPr>
        <w:t>Corynebacterium xerosis </w:t>
      </w:r>
      <w:r>
        <w:rPr/>
        <w:t>from other species genetically-similar to </w:t>
      </w:r>
      <w:r>
        <w:rPr>
          <w:i/>
        </w:rPr>
        <w:t>Corynebacterium</w:t>
      </w:r>
      <w:r>
        <w:rPr>
          <w:i/>
          <w:spacing w:val="-13"/>
        </w:rPr>
        <w:t> </w:t>
      </w:r>
      <w:r>
        <w:rPr/>
        <w:t>(1,14).</w:t>
      </w:r>
    </w:p>
    <w:p>
      <w:pPr>
        <w:spacing w:after="0" w:line="480" w:lineRule="auto"/>
        <w:jc w:val="both"/>
        <w:sectPr>
          <w:pgSz w:w="12240" w:h="15840"/>
          <w:pgMar w:header="0" w:footer="1386" w:top="1500" w:bottom="1580" w:left="1720" w:right="1420"/>
        </w:sectPr>
      </w:pPr>
    </w:p>
    <w:p>
      <w:pPr>
        <w:pStyle w:val="BodyText"/>
        <w:spacing w:before="8"/>
        <w:rPr>
          <w:sz w:val="20"/>
        </w:rPr>
      </w:pPr>
    </w:p>
    <w:p>
      <w:pPr>
        <w:pStyle w:val="BodyText"/>
        <w:spacing w:line="480" w:lineRule="auto" w:before="70"/>
        <w:ind w:left="152" w:right="104"/>
        <w:jc w:val="both"/>
      </w:pPr>
      <w:r>
        <w:rPr/>
        <w:t>As mentioned above, this study was conducted based on the presence of the </w:t>
      </w:r>
      <w:r>
        <w:rPr>
          <w:i/>
        </w:rPr>
        <w:t>rpoB </w:t>
      </w:r>
      <w:r>
        <w:rPr/>
        <w:t>gene, which has been reported by other authors as the gene of choice for phylogenetic analysis of the genus Corynebacterium as it presents high polymorphism, even greater than the </w:t>
      </w:r>
      <w:r>
        <w:rPr>
          <w:i/>
        </w:rPr>
        <w:t>16S </w:t>
      </w:r>
      <w:r>
        <w:rPr/>
        <w:t>gene (17, 18). It is known that cutaneous abscesses in sheep (caseous lymphadenitis) is caused by </w:t>
      </w:r>
      <w:r>
        <w:rPr>
          <w:i/>
        </w:rPr>
        <w:t>Corynebacterium </w:t>
      </w:r>
      <w:r>
        <w:rPr>
          <w:i/>
        </w:rPr>
        <w:t>pseudotuberculosis </w:t>
      </w:r>
      <w:r>
        <w:rPr/>
        <w:t>and its main factor of virulence and pathogenicity is the exotoxin phospholipase D, encoded by the </w:t>
      </w:r>
      <w:r>
        <w:rPr>
          <w:i/>
        </w:rPr>
        <w:t>pld </w:t>
      </w:r>
      <w:r>
        <w:rPr/>
        <w:t>gene and expressed in the cell membrane of the bacterium (19). This exotoxin is a permeability factor that promotes hydrolysis of the ester bonds in sphingomyelin in mammalian cell membranes, possibly contributing to the spread of bacteria from the initial site of infection to secondary sites through the lymphatic system to regional ganglia, given its affinity of destruction and damage of macrophages. The exotoxin also causes dermonecrotic lesions (20, 21). However, this exotoxin has not been reported in </w:t>
      </w:r>
      <w:r>
        <w:rPr>
          <w:i/>
        </w:rPr>
        <w:t>Corynebacterium xerosis. </w:t>
      </w:r>
      <w:r>
        <w:rPr/>
        <w:t>This highlights the importance of carrying out further research regarding the mechanisms of infection present in this species.</w:t>
      </w:r>
    </w:p>
    <w:p>
      <w:pPr>
        <w:pStyle w:val="BodyText"/>
        <w:spacing w:line="480" w:lineRule="auto" w:before="166"/>
        <w:ind w:left="152" w:right="110"/>
        <w:jc w:val="both"/>
      </w:pPr>
      <w:r>
        <w:rPr/>
        <w:t>Major points of discussion of epidemiological nature include the fact that the intensive ovine production system where the sample was obtained from, was previously used for swine. In these animals, it has been reported a high occurrence of </w:t>
      </w:r>
      <w:r>
        <w:rPr>
          <w:i/>
        </w:rPr>
        <w:t>Corynebacterium xerosis</w:t>
      </w:r>
      <w:r>
        <w:rPr/>
        <w:t>. Moreover, one of the main ingredients of sheep diet included pig by-products (</w:t>
      </w:r>
      <w:r>
        <w:rPr>
          <w:i/>
        </w:rPr>
        <w:t>swine manure silage</w:t>
      </w:r>
      <w:r>
        <w:rPr/>
        <w:t>). In addition, the main entrance in the facilities  was  surrounded  by sharp  objects  such  as  metallic rods,  nails and</w:t>
      </w:r>
    </w:p>
    <w:p>
      <w:pPr>
        <w:spacing w:after="0" w:line="480" w:lineRule="auto"/>
        <w:jc w:val="both"/>
        <w:sectPr>
          <w:footerReference w:type="default" r:id="rId48"/>
          <w:pgSz w:w="12240" w:h="15840"/>
          <w:pgMar w:footer="1386" w:header="0" w:top="1500" w:bottom="1580" w:left="1720" w:right="1420"/>
        </w:sectPr>
      </w:pPr>
    </w:p>
    <w:p>
      <w:pPr>
        <w:pStyle w:val="BodyText"/>
        <w:spacing w:before="11"/>
        <w:rPr>
          <w:sz w:val="20"/>
        </w:rPr>
      </w:pPr>
    </w:p>
    <w:p>
      <w:pPr>
        <w:pStyle w:val="BodyText"/>
        <w:spacing w:line="477" w:lineRule="auto" w:before="69"/>
        <w:ind w:left="152" w:right="105"/>
        <w:jc w:val="both"/>
      </w:pPr>
      <w:r>
        <w:rPr/>
        <w:t>wires, which increase the chance of injury in the animals. All these factors may have contributed to the presence of </w:t>
      </w:r>
      <w:r>
        <w:rPr>
          <w:i/>
        </w:rPr>
        <w:t>C. xerosis </w:t>
      </w:r>
      <w:r>
        <w:rPr/>
        <w:t>inside the facility.</w:t>
      </w:r>
    </w:p>
    <w:p>
      <w:pPr>
        <w:pStyle w:val="BodyText"/>
      </w:pPr>
    </w:p>
    <w:p>
      <w:pPr>
        <w:pStyle w:val="BodyText"/>
      </w:pPr>
    </w:p>
    <w:p>
      <w:pPr>
        <w:pStyle w:val="BodyText"/>
      </w:pPr>
    </w:p>
    <w:p>
      <w:pPr>
        <w:pStyle w:val="BodyText"/>
      </w:pPr>
    </w:p>
    <w:p>
      <w:pPr>
        <w:pStyle w:val="BodyText"/>
      </w:pPr>
    </w:p>
    <w:p>
      <w:pPr>
        <w:pStyle w:val="BodyText"/>
        <w:spacing w:before="10"/>
        <w:rPr>
          <w:sz w:val="18"/>
        </w:rPr>
      </w:pPr>
    </w:p>
    <w:p>
      <w:pPr>
        <w:pStyle w:val="Heading3"/>
        <w:spacing w:before="0"/>
      </w:pPr>
      <w:r>
        <w:rPr/>
        <w:t>Conclusions</w:t>
      </w:r>
    </w:p>
    <w:p>
      <w:pPr>
        <w:pStyle w:val="BodyText"/>
        <w:rPr>
          <w:b/>
        </w:rPr>
      </w:pPr>
    </w:p>
    <w:p>
      <w:pPr>
        <w:pStyle w:val="BodyText"/>
        <w:spacing w:line="480" w:lineRule="auto" w:before="156"/>
        <w:ind w:left="152" w:right="105"/>
        <w:jc w:val="both"/>
      </w:pPr>
      <w:r>
        <w:rPr/>
        <w:t>Here we report the isolation and molecular characterization of </w:t>
      </w:r>
      <w:r>
        <w:rPr>
          <w:i/>
        </w:rPr>
        <w:t>C. xerosis </w:t>
      </w:r>
      <w:r>
        <w:rPr/>
        <w:t>from a clinical sample from a sheep cutaneous abscess for the first time. However, it was not possible to amplify the </w:t>
      </w:r>
      <w:r>
        <w:rPr>
          <w:i/>
        </w:rPr>
        <w:t>pld </w:t>
      </w:r>
      <w:r>
        <w:rPr/>
        <w:t>gene. In </w:t>
      </w:r>
      <w:r>
        <w:rPr>
          <w:i/>
        </w:rPr>
        <w:t>C. pseudotuberculosis</w:t>
      </w:r>
      <w:r>
        <w:rPr/>
        <w:t>, this gene is responsible for the expression of phospholipase D, a major virulence factor responsible for the abscesses. These results encourage further exploration of the factors responsible for causing abscesses produced by </w:t>
      </w:r>
      <w:r>
        <w:rPr>
          <w:i/>
        </w:rPr>
        <w:t>C. xerosis</w:t>
      </w:r>
      <w:r>
        <w:rPr/>
        <w:t>.</w:t>
      </w:r>
    </w:p>
    <w:p>
      <w:pPr>
        <w:pStyle w:val="Heading3"/>
        <w:spacing w:before="171"/>
      </w:pPr>
      <w:r>
        <w:rPr/>
        <w:t>Competing interests</w:t>
      </w:r>
    </w:p>
    <w:p>
      <w:pPr>
        <w:pStyle w:val="BodyText"/>
        <w:rPr>
          <w:b/>
        </w:rPr>
      </w:pPr>
    </w:p>
    <w:p>
      <w:pPr>
        <w:pStyle w:val="BodyText"/>
        <w:spacing w:before="161"/>
        <w:ind w:left="152"/>
        <w:jc w:val="both"/>
      </w:pPr>
      <w:r>
        <w:rPr/>
        <w:t>Authors have no financial or non-financial competing interests to declare</w:t>
      </w:r>
    </w:p>
    <w:p>
      <w:pPr>
        <w:pStyle w:val="BodyText"/>
      </w:pPr>
    </w:p>
    <w:p>
      <w:pPr>
        <w:pStyle w:val="Heading3"/>
        <w:spacing w:before="158"/>
      </w:pPr>
      <w:r>
        <w:rPr/>
        <w:t>Autors contribution</w:t>
      </w:r>
    </w:p>
    <w:p>
      <w:pPr>
        <w:pStyle w:val="BodyText"/>
        <w:rPr>
          <w:b/>
        </w:rPr>
      </w:pPr>
    </w:p>
    <w:p>
      <w:pPr>
        <w:pStyle w:val="BodyText"/>
        <w:spacing w:line="480" w:lineRule="auto" w:before="161"/>
        <w:ind w:left="152" w:right="104"/>
        <w:jc w:val="both"/>
      </w:pPr>
      <w:r>
        <w:rPr/>
        <w:t>FH participated in molecular studies and article scripting, JA participated in the phenotypic studies and designing of the molecular structure for the first bacterial isolates and article scripting, JV participated in designing molecular studies and article scripting and revision, RM participated in the first bacterial isolated and phenotypic studies, project coordination and manuscript finalization. All authors agreed on the final manuscript.</w:t>
      </w:r>
    </w:p>
    <w:p>
      <w:pPr>
        <w:spacing w:after="0" w:line="480" w:lineRule="auto"/>
        <w:jc w:val="both"/>
        <w:sectPr>
          <w:footerReference w:type="default" r:id="rId49"/>
          <w:pgSz w:w="12240" w:h="15840"/>
          <w:pgMar w:footer="1386" w:header="0" w:top="1500" w:bottom="1580" w:left="1720" w:right="1420"/>
          <w:pgNumType w:start="81"/>
        </w:sectPr>
      </w:pPr>
    </w:p>
    <w:p>
      <w:pPr>
        <w:pStyle w:val="BodyText"/>
        <w:spacing w:before="11"/>
        <w:rPr>
          <w:sz w:val="20"/>
        </w:rPr>
      </w:pPr>
    </w:p>
    <w:p>
      <w:pPr>
        <w:pStyle w:val="Heading3"/>
      </w:pPr>
      <w:r>
        <w:rPr/>
        <w:t>Acknowledgements</w:t>
      </w:r>
    </w:p>
    <w:p>
      <w:pPr>
        <w:pStyle w:val="BodyText"/>
        <w:rPr>
          <w:b/>
        </w:rPr>
      </w:pPr>
    </w:p>
    <w:p>
      <w:pPr>
        <w:pStyle w:val="BodyText"/>
        <w:spacing w:line="480" w:lineRule="auto" w:before="158"/>
        <w:ind w:left="152" w:right="116"/>
        <w:jc w:val="both"/>
      </w:pPr>
      <w:r>
        <w:rPr/>
        <w:t>The authors wish to thank the University of the State of Mexico (projects 3249 / 2012CHT and 3806/2014 / CIA) for the financial support to the study and to CONACYT for the scholarship awarded to Fernando Hernandez Leon.</w:t>
      </w:r>
    </w:p>
    <w:p>
      <w:pPr>
        <w:pStyle w:val="Heading3"/>
        <w:spacing w:before="168"/>
      </w:pPr>
      <w:r>
        <w:rPr/>
        <w:t>Author details</w:t>
      </w:r>
    </w:p>
    <w:p>
      <w:pPr>
        <w:pStyle w:val="BodyText"/>
        <w:rPr>
          <w:b/>
        </w:rPr>
      </w:pPr>
    </w:p>
    <w:p>
      <w:pPr>
        <w:pStyle w:val="BodyText"/>
        <w:spacing w:line="480" w:lineRule="auto" w:before="161"/>
        <w:ind w:left="152" w:right="116"/>
        <w:jc w:val="both"/>
      </w:pPr>
      <w:r>
        <w:rPr/>
        <w:t>1 Centro de investigación y Estudios Avanzados en Salud, Facultad de Medicina Veterinaria y Zootecnia, Universidad Autónoma del Estado de México. Km 15.5 Carretera Toluca-Atlacomulco, Estado de México, México, C.P. 50200.</w:t>
      </w:r>
    </w:p>
    <w:p>
      <w:pPr>
        <w:pStyle w:val="Heading3"/>
        <w:spacing w:before="166"/>
      </w:pPr>
      <w:r>
        <w:rPr/>
        <w:t>References</w:t>
      </w:r>
    </w:p>
    <w:p>
      <w:pPr>
        <w:pStyle w:val="BodyText"/>
        <w:rPr>
          <w:b/>
        </w:rPr>
      </w:pPr>
    </w:p>
    <w:p>
      <w:pPr>
        <w:pStyle w:val="ListParagraph"/>
        <w:numPr>
          <w:ilvl w:val="0"/>
          <w:numId w:val="6"/>
        </w:numPr>
        <w:tabs>
          <w:tab w:pos="486" w:val="left" w:leader="none"/>
        </w:tabs>
        <w:spacing w:line="480" w:lineRule="auto" w:before="161" w:after="0"/>
        <w:ind w:left="152" w:right="104" w:firstLine="0"/>
        <w:jc w:val="both"/>
        <w:rPr>
          <w:sz w:val="24"/>
        </w:rPr>
      </w:pPr>
      <w:r>
        <w:rPr>
          <w:sz w:val="24"/>
        </w:rPr>
        <w:t>Vela AI, Gracía E, Fernández A, Domínguez L, Fernández-Garayzábal JF: 2006. </w:t>
      </w:r>
      <w:r>
        <w:rPr>
          <w:b/>
          <w:sz w:val="24"/>
        </w:rPr>
        <w:t>Isolation of </w:t>
      </w:r>
      <w:r>
        <w:rPr>
          <w:b/>
          <w:i/>
          <w:sz w:val="24"/>
        </w:rPr>
        <w:t>Corynebacterium xerosis </w:t>
      </w:r>
      <w:r>
        <w:rPr>
          <w:b/>
          <w:sz w:val="24"/>
        </w:rPr>
        <w:t>from animal clinical specimens. </w:t>
      </w:r>
      <w:r>
        <w:rPr>
          <w:sz w:val="24"/>
        </w:rPr>
        <w:t>J Clin Microbiol. 2006;</w:t>
      </w:r>
      <w:r>
        <w:rPr>
          <w:b/>
          <w:sz w:val="24"/>
        </w:rPr>
        <w:t>44</w:t>
      </w:r>
      <w:r>
        <w:rPr>
          <w:sz w:val="24"/>
        </w:rPr>
        <w:t>:</w:t>
      </w:r>
      <w:r>
        <w:rPr>
          <w:spacing w:val="-12"/>
          <w:sz w:val="24"/>
        </w:rPr>
        <w:t> </w:t>
      </w:r>
      <w:r>
        <w:rPr>
          <w:sz w:val="24"/>
        </w:rPr>
        <w:t>2242-43.</w:t>
      </w:r>
    </w:p>
    <w:p>
      <w:pPr>
        <w:pStyle w:val="ListParagraph"/>
        <w:numPr>
          <w:ilvl w:val="0"/>
          <w:numId w:val="6"/>
        </w:numPr>
        <w:tabs>
          <w:tab w:pos="452" w:val="left" w:leader="none"/>
        </w:tabs>
        <w:spacing w:line="480" w:lineRule="auto" w:before="168" w:after="0"/>
        <w:ind w:left="152" w:right="105" w:firstLine="0"/>
        <w:jc w:val="both"/>
        <w:rPr>
          <w:sz w:val="24"/>
        </w:rPr>
      </w:pPr>
      <w:r>
        <w:rPr>
          <w:sz w:val="24"/>
        </w:rPr>
        <w:t>Coyle MB, Lipsky BA. </w:t>
      </w:r>
      <w:r>
        <w:rPr>
          <w:b/>
          <w:sz w:val="24"/>
        </w:rPr>
        <w:t>Coryneform bacteria in infectious diseases: clinical and laboratory aspects</w:t>
      </w:r>
      <w:r>
        <w:rPr>
          <w:sz w:val="24"/>
        </w:rPr>
        <w:t>. Clin Microbiol Rev.</w:t>
      </w:r>
      <w:r>
        <w:rPr>
          <w:spacing w:val="-18"/>
          <w:sz w:val="24"/>
        </w:rPr>
        <w:t> </w:t>
      </w:r>
      <w:r>
        <w:rPr>
          <w:sz w:val="24"/>
        </w:rPr>
        <w:t>1990;</w:t>
      </w:r>
      <w:r>
        <w:rPr>
          <w:b/>
          <w:sz w:val="24"/>
        </w:rPr>
        <w:t>3</w:t>
      </w:r>
      <w:r>
        <w:rPr>
          <w:sz w:val="24"/>
        </w:rPr>
        <w:t>:227–46.</w:t>
      </w:r>
    </w:p>
    <w:p>
      <w:pPr>
        <w:pStyle w:val="BodyText"/>
      </w:pPr>
    </w:p>
    <w:p>
      <w:pPr>
        <w:pStyle w:val="BodyText"/>
        <w:spacing w:before="8"/>
      </w:pPr>
    </w:p>
    <w:p>
      <w:pPr>
        <w:pStyle w:val="ListParagraph"/>
        <w:numPr>
          <w:ilvl w:val="0"/>
          <w:numId w:val="7"/>
        </w:numPr>
        <w:tabs>
          <w:tab w:pos="380" w:val="left" w:leader="none"/>
        </w:tabs>
        <w:spacing w:line="480" w:lineRule="auto" w:before="0" w:after="0"/>
        <w:ind w:left="152" w:right="107" w:firstLine="0"/>
        <w:jc w:val="both"/>
        <w:rPr>
          <w:sz w:val="24"/>
        </w:rPr>
      </w:pPr>
      <w:r>
        <w:rPr>
          <w:sz w:val="24"/>
        </w:rPr>
        <w:t>Funke G, Lawson PA, Bernard KA, Collins MD. 1996. </w:t>
      </w:r>
      <w:r>
        <w:rPr>
          <w:b/>
          <w:sz w:val="24"/>
        </w:rPr>
        <w:t>Most </w:t>
      </w:r>
      <w:r>
        <w:rPr>
          <w:b/>
          <w:i/>
          <w:sz w:val="24"/>
        </w:rPr>
        <w:t>Corynebacterium </w:t>
      </w:r>
      <w:r>
        <w:rPr>
          <w:b/>
          <w:i/>
          <w:sz w:val="24"/>
        </w:rPr>
        <w:t>xerosis </w:t>
      </w:r>
      <w:r>
        <w:rPr>
          <w:b/>
          <w:sz w:val="24"/>
        </w:rPr>
        <w:t>strains identified in the routine clinical laboratory correspond to </w:t>
      </w:r>
      <w:r>
        <w:rPr>
          <w:b/>
          <w:i/>
          <w:sz w:val="24"/>
        </w:rPr>
        <w:t>Corynebacterium amycolatum</w:t>
      </w:r>
      <w:r>
        <w:rPr>
          <w:sz w:val="24"/>
        </w:rPr>
        <w:t>. J Clin Microbiol.</w:t>
      </w:r>
      <w:r>
        <w:rPr>
          <w:spacing w:val="-20"/>
          <w:sz w:val="24"/>
        </w:rPr>
        <w:t> </w:t>
      </w:r>
      <w:r>
        <w:rPr>
          <w:sz w:val="24"/>
        </w:rPr>
        <w:t>1996;</w:t>
      </w:r>
      <w:r>
        <w:rPr>
          <w:b/>
          <w:sz w:val="24"/>
        </w:rPr>
        <w:t>34</w:t>
      </w:r>
      <w:r>
        <w:rPr>
          <w:sz w:val="24"/>
        </w:rPr>
        <w:t>:1124–8.</w:t>
      </w:r>
    </w:p>
    <w:p>
      <w:pPr>
        <w:spacing w:after="0" w:line="48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0"/>
          <w:numId w:val="7"/>
        </w:numPr>
        <w:tabs>
          <w:tab w:pos="356" w:val="left" w:leader="none"/>
        </w:tabs>
        <w:spacing w:line="480" w:lineRule="auto" w:before="69" w:after="0"/>
        <w:ind w:left="152" w:right="104" w:firstLine="0"/>
        <w:jc w:val="both"/>
        <w:rPr>
          <w:sz w:val="24"/>
        </w:rPr>
      </w:pPr>
      <w:r>
        <w:rPr>
          <w:sz w:val="24"/>
        </w:rPr>
        <w:t>Riegel P, Ruimy R, Christen R, Monteil H. </w:t>
      </w:r>
      <w:r>
        <w:rPr>
          <w:b/>
          <w:sz w:val="24"/>
        </w:rPr>
        <w:t>Species identities and antimicrobial susceptibilities of corynebacteria isolated from various clinical sources</w:t>
      </w:r>
      <w:r>
        <w:rPr>
          <w:sz w:val="24"/>
        </w:rPr>
        <w:t>. Eur  J Clin Microbiol Infect Dis.</w:t>
      </w:r>
      <w:r>
        <w:rPr>
          <w:spacing w:val="-12"/>
          <w:sz w:val="24"/>
        </w:rPr>
        <w:t> </w:t>
      </w:r>
      <w:r>
        <w:rPr>
          <w:sz w:val="24"/>
        </w:rPr>
        <w:t>1996;</w:t>
      </w:r>
      <w:r>
        <w:rPr>
          <w:b/>
          <w:sz w:val="24"/>
        </w:rPr>
        <w:t>15</w:t>
      </w:r>
      <w:r>
        <w:rPr>
          <w:sz w:val="24"/>
        </w:rPr>
        <w:t>:657–62.</w:t>
      </w:r>
    </w:p>
    <w:p>
      <w:pPr>
        <w:pStyle w:val="ListParagraph"/>
        <w:numPr>
          <w:ilvl w:val="0"/>
          <w:numId w:val="7"/>
        </w:numPr>
        <w:tabs>
          <w:tab w:pos="380" w:val="left" w:leader="none"/>
        </w:tabs>
        <w:spacing w:line="480" w:lineRule="auto" w:before="166" w:after="0"/>
        <w:ind w:left="152" w:right="100" w:firstLine="0"/>
        <w:jc w:val="both"/>
        <w:rPr>
          <w:sz w:val="24"/>
        </w:rPr>
      </w:pPr>
      <w:r>
        <w:rPr>
          <w:sz w:val="24"/>
        </w:rPr>
        <w:t>Funke G, von Graevenitz A, Clarridge, JE, Bernard KA. </w:t>
      </w:r>
      <w:r>
        <w:rPr>
          <w:b/>
          <w:sz w:val="24"/>
        </w:rPr>
        <w:t>Clinical microbiology of coryneform bacteria</w:t>
      </w:r>
      <w:r>
        <w:rPr>
          <w:sz w:val="24"/>
        </w:rPr>
        <w:t>. Clin Microbiol Rev. 1997;</w:t>
      </w:r>
      <w:r>
        <w:rPr>
          <w:b/>
          <w:sz w:val="24"/>
        </w:rPr>
        <w:t>10</w:t>
      </w:r>
      <w:r>
        <w:rPr>
          <w:sz w:val="24"/>
        </w:rPr>
        <w:t>:</w:t>
      </w:r>
      <w:r>
        <w:rPr>
          <w:spacing w:val="-18"/>
          <w:sz w:val="24"/>
        </w:rPr>
        <w:t> </w:t>
      </w:r>
      <w:r>
        <w:rPr>
          <w:sz w:val="24"/>
        </w:rPr>
        <w:t>125–59.</w:t>
      </w:r>
    </w:p>
    <w:p>
      <w:pPr>
        <w:pStyle w:val="ListParagraph"/>
        <w:numPr>
          <w:ilvl w:val="0"/>
          <w:numId w:val="7"/>
        </w:numPr>
        <w:tabs>
          <w:tab w:pos="407" w:val="left" w:leader="none"/>
        </w:tabs>
        <w:spacing w:line="480" w:lineRule="auto" w:before="8" w:after="0"/>
        <w:ind w:left="152" w:right="105" w:firstLine="0"/>
        <w:jc w:val="both"/>
        <w:rPr>
          <w:sz w:val="24"/>
        </w:rPr>
      </w:pPr>
      <w:r>
        <w:rPr>
          <w:sz w:val="24"/>
        </w:rPr>
        <w:t>Wauters G, Van Bosterhaut B, Janssens M, Verhaegen J. </w:t>
      </w:r>
      <w:r>
        <w:rPr>
          <w:b/>
          <w:sz w:val="24"/>
        </w:rPr>
        <w:t>Identification of </w:t>
      </w:r>
      <w:r>
        <w:rPr>
          <w:b/>
          <w:i/>
          <w:sz w:val="24"/>
        </w:rPr>
        <w:t>Corynebacterium amycolatum </w:t>
      </w:r>
      <w:r>
        <w:rPr>
          <w:b/>
          <w:sz w:val="24"/>
        </w:rPr>
        <w:t>and other nonlipophilic fermentative corynebacteria of human origin</w:t>
      </w:r>
      <w:r>
        <w:rPr>
          <w:sz w:val="24"/>
        </w:rPr>
        <w:t>. J Clin Microbiol.</w:t>
      </w:r>
      <w:r>
        <w:rPr>
          <w:spacing w:val="-20"/>
          <w:sz w:val="24"/>
        </w:rPr>
        <w:t> </w:t>
      </w:r>
      <w:r>
        <w:rPr>
          <w:sz w:val="24"/>
        </w:rPr>
        <w:t>1998;</w:t>
      </w:r>
      <w:r>
        <w:rPr>
          <w:b/>
          <w:sz w:val="24"/>
        </w:rPr>
        <w:t>36</w:t>
      </w:r>
      <w:r>
        <w:rPr>
          <w:sz w:val="24"/>
        </w:rPr>
        <w:t>:1430–2.</w:t>
      </w:r>
    </w:p>
    <w:p>
      <w:pPr>
        <w:pStyle w:val="BodyText"/>
      </w:pPr>
    </w:p>
    <w:p>
      <w:pPr>
        <w:pStyle w:val="BodyText"/>
        <w:spacing w:before="7"/>
      </w:pPr>
    </w:p>
    <w:p>
      <w:pPr>
        <w:pStyle w:val="ListParagraph"/>
        <w:numPr>
          <w:ilvl w:val="0"/>
          <w:numId w:val="7"/>
        </w:numPr>
        <w:tabs>
          <w:tab w:pos="421" w:val="left" w:leader="none"/>
        </w:tabs>
        <w:spacing w:line="480" w:lineRule="auto" w:before="1" w:after="0"/>
        <w:ind w:left="152" w:right="107" w:firstLine="0"/>
        <w:jc w:val="both"/>
        <w:rPr>
          <w:sz w:val="24"/>
        </w:rPr>
      </w:pPr>
      <w:r>
        <w:rPr>
          <w:sz w:val="24"/>
        </w:rPr>
        <w:t>Renaud FNR, Aubel D, Riegel P, Meugnier H, Bollet C. </w:t>
      </w:r>
      <w:r>
        <w:rPr>
          <w:b/>
          <w:i/>
          <w:sz w:val="24"/>
        </w:rPr>
        <w:t>Corynebacterium </w:t>
      </w:r>
      <w:r>
        <w:rPr>
          <w:b/>
          <w:i/>
          <w:sz w:val="24"/>
        </w:rPr>
        <w:t>freneyi </w:t>
      </w:r>
      <w:r>
        <w:rPr>
          <w:b/>
          <w:sz w:val="24"/>
        </w:rPr>
        <w:t>sp. nov.,-glucosidase-positive strains related to </w:t>
      </w:r>
      <w:r>
        <w:rPr>
          <w:b/>
          <w:i/>
          <w:sz w:val="24"/>
        </w:rPr>
        <w:t>Corynebacterium </w:t>
      </w:r>
      <w:r>
        <w:rPr>
          <w:b/>
          <w:i/>
          <w:sz w:val="24"/>
        </w:rPr>
        <w:t>xerosis</w:t>
      </w:r>
      <w:r>
        <w:rPr>
          <w:sz w:val="24"/>
        </w:rPr>
        <w:t>. Int J Syst Evol Microbiol.</w:t>
      </w:r>
      <w:r>
        <w:rPr>
          <w:spacing w:val="-20"/>
          <w:sz w:val="24"/>
        </w:rPr>
        <w:t> </w:t>
      </w:r>
      <w:r>
        <w:rPr>
          <w:sz w:val="24"/>
        </w:rPr>
        <w:t>2001;</w:t>
      </w:r>
      <w:r>
        <w:rPr>
          <w:b/>
          <w:sz w:val="24"/>
        </w:rPr>
        <w:t>51</w:t>
      </w:r>
      <w:r>
        <w:rPr>
          <w:sz w:val="24"/>
        </w:rPr>
        <w:t>:1723–8.</w:t>
      </w:r>
    </w:p>
    <w:p>
      <w:pPr>
        <w:pStyle w:val="BodyText"/>
      </w:pPr>
    </w:p>
    <w:p>
      <w:pPr>
        <w:pStyle w:val="BodyText"/>
        <w:spacing w:before="7"/>
      </w:pPr>
    </w:p>
    <w:p>
      <w:pPr>
        <w:pStyle w:val="ListParagraph"/>
        <w:numPr>
          <w:ilvl w:val="0"/>
          <w:numId w:val="7"/>
        </w:numPr>
        <w:tabs>
          <w:tab w:pos="380" w:val="left" w:leader="none"/>
        </w:tabs>
        <w:spacing w:line="240" w:lineRule="auto" w:before="1" w:after="0"/>
        <w:ind w:left="380" w:right="0" w:hanging="228"/>
        <w:jc w:val="both"/>
        <w:rPr>
          <w:b/>
          <w:i/>
          <w:sz w:val="24"/>
        </w:rPr>
      </w:pPr>
      <w:r>
        <w:rPr>
          <w:sz w:val="24"/>
        </w:rPr>
        <w:t>Auzias</w:t>
      </w:r>
      <w:r>
        <w:rPr>
          <w:spacing w:val="25"/>
          <w:sz w:val="24"/>
        </w:rPr>
        <w:t> </w:t>
      </w:r>
      <w:r>
        <w:rPr>
          <w:sz w:val="24"/>
        </w:rPr>
        <w:t>A,</w:t>
      </w:r>
      <w:r>
        <w:rPr>
          <w:spacing w:val="22"/>
          <w:sz w:val="24"/>
        </w:rPr>
        <w:t> </w:t>
      </w:r>
      <w:r>
        <w:rPr>
          <w:sz w:val="24"/>
        </w:rPr>
        <w:t>Bollet</w:t>
      </w:r>
      <w:r>
        <w:rPr>
          <w:spacing w:val="22"/>
          <w:sz w:val="24"/>
        </w:rPr>
        <w:t> </w:t>
      </w:r>
      <w:r>
        <w:rPr>
          <w:sz w:val="24"/>
        </w:rPr>
        <w:t>C,</w:t>
      </w:r>
      <w:r>
        <w:rPr>
          <w:spacing w:val="22"/>
          <w:sz w:val="24"/>
        </w:rPr>
        <w:t> </w:t>
      </w:r>
      <w:r>
        <w:rPr>
          <w:sz w:val="24"/>
        </w:rPr>
        <w:t>Ayari</w:t>
      </w:r>
      <w:r>
        <w:rPr>
          <w:spacing w:val="23"/>
          <w:sz w:val="24"/>
        </w:rPr>
        <w:t> </w:t>
      </w:r>
      <w:r>
        <w:rPr>
          <w:sz w:val="24"/>
        </w:rPr>
        <w:t>R,</w:t>
      </w:r>
      <w:r>
        <w:rPr>
          <w:spacing w:val="24"/>
          <w:sz w:val="24"/>
        </w:rPr>
        <w:t> </w:t>
      </w:r>
      <w:r>
        <w:rPr>
          <w:sz w:val="24"/>
        </w:rPr>
        <w:t>Drancourt</w:t>
      </w:r>
      <w:r>
        <w:rPr>
          <w:spacing w:val="24"/>
          <w:sz w:val="24"/>
        </w:rPr>
        <w:t> </w:t>
      </w:r>
      <w:r>
        <w:rPr>
          <w:sz w:val="24"/>
        </w:rPr>
        <w:t>M,</w:t>
      </w:r>
      <w:r>
        <w:rPr>
          <w:spacing w:val="22"/>
          <w:sz w:val="24"/>
        </w:rPr>
        <w:t> </w:t>
      </w:r>
      <w:r>
        <w:rPr>
          <w:sz w:val="24"/>
        </w:rPr>
        <w:t>Raoult</w:t>
      </w:r>
      <w:r>
        <w:rPr>
          <w:spacing w:val="24"/>
          <w:sz w:val="24"/>
        </w:rPr>
        <w:t> </w:t>
      </w:r>
      <w:r>
        <w:rPr>
          <w:sz w:val="24"/>
        </w:rPr>
        <w:t>D.</w:t>
      </w:r>
      <w:r>
        <w:rPr>
          <w:spacing w:val="29"/>
          <w:sz w:val="24"/>
        </w:rPr>
        <w:t> </w:t>
      </w:r>
      <w:r>
        <w:rPr>
          <w:b/>
          <w:i/>
          <w:sz w:val="24"/>
        </w:rPr>
        <w:t>Corynebacterium</w:t>
      </w:r>
      <w:r>
        <w:rPr>
          <w:b/>
          <w:i/>
          <w:spacing w:val="24"/>
          <w:sz w:val="24"/>
        </w:rPr>
        <w:t> </w:t>
      </w:r>
      <w:r>
        <w:rPr>
          <w:b/>
          <w:i/>
          <w:sz w:val="24"/>
        </w:rPr>
        <w:t>freneyi</w:t>
      </w:r>
    </w:p>
    <w:p>
      <w:pPr>
        <w:pStyle w:val="BodyText"/>
        <w:rPr>
          <w:b/>
          <w:i/>
        </w:rPr>
      </w:pPr>
    </w:p>
    <w:p>
      <w:pPr>
        <w:spacing w:before="0"/>
        <w:ind w:left="152" w:right="0" w:firstLine="0"/>
        <w:jc w:val="both"/>
        <w:rPr>
          <w:sz w:val="24"/>
        </w:rPr>
      </w:pPr>
      <w:r>
        <w:rPr>
          <w:b/>
          <w:sz w:val="24"/>
        </w:rPr>
        <w:t>bacteremia</w:t>
      </w:r>
      <w:r>
        <w:rPr>
          <w:sz w:val="24"/>
        </w:rPr>
        <w:t>. J Clin Microbiol. 2003;</w:t>
      </w:r>
      <w:r>
        <w:rPr>
          <w:b/>
          <w:sz w:val="24"/>
        </w:rPr>
        <w:t>41</w:t>
      </w:r>
      <w:r>
        <w:rPr>
          <w:sz w:val="24"/>
        </w:rPr>
        <w:t>: 2777–8.</w:t>
      </w:r>
    </w:p>
    <w:p>
      <w:pPr>
        <w:pStyle w:val="BodyText"/>
      </w:pPr>
    </w:p>
    <w:p>
      <w:pPr>
        <w:pStyle w:val="BodyText"/>
      </w:pPr>
    </w:p>
    <w:p>
      <w:pPr>
        <w:pStyle w:val="BodyText"/>
      </w:pPr>
    </w:p>
    <w:p>
      <w:pPr>
        <w:pStyle w:val="ListParagraph"/>
        <w:numPr>
          <w:ilvl w:val="0"/>
          <w:numId w:val="7"/>
        </w:numPr>
        <w:tabs>
          <w:tab w:pos="354" w:val="left" w:leader="none"/>
        </w:tabs>
        <w:spacing w:line="480" w:lineRule="auto" w:before="0" w:after="0"/>
        <w:ind w:left="152" w:right="109" w:firstLine="0"/>
        <w:jc w:val="both"/>
        <w:rPr>
          <w:sz w:val="24"/>
        </w:rPr>
      </w:pPr>
      <w:r>
        <w:rPr>
          <w:sz w:val="24"/>
        </w:rPr>
        <w:t>Renaud FNR, Le Coustumier A, Wilhem N, Aubel D, Riegel P, Bollet C, Freney J. </w:t>
      </w:r>
      <w:r>
        <w:rPr>
          <w:b/>
          <w:i/>
          <w:sz w:val="24"/>
        </w:rPr>
        <w:t>Corynebacterium hansenii </w:t>
      </w:r>
      <w:r>
        <w:rPr>
          <w:b/>
          <w:sz w:val="24"/>
        </w:rPr>
        <w:t>sp. nov., an-glucosidase- negative bacterium related to </w:t>
      </w:r>
      <w:r>
        <w:rPr>
          <w:b/>
          <w:i/>
          <w:sz w:val="24"/>
        </w:rPr>
        <w:t>Corynebacterium xerosis</w:t>
      </w:r>
      <w:r>
        <w:rPr>
          <w:b/>
          <w:sz w:val="24"/>
        </w:rPr>
        <w:t>. </w:t>
      </w:r>
      <w:r>
        <w:rPr>
          <w:sz w:val="24"/>
        </w:rPr>
        <w:t>Int J Syst Evol Microbiol.</w:t>
      </w:r>
      <w:r>
        <w:rPr>
          <w:spacing w:val="-21"/>
          <w:sz w:val="24"/>
        </w:rPr>
        <w:t> </w:t>
      </w:r>
      <w:r>
        <w:rPr>
          <w:sz w:val="24"/>
        </w:rPr>
        <w:t>2007;</w:t>
      </w:r>
      <w:r>
        <w:rPr>
          <w:b/>
          <w:sz w:val="24"/>
        </w:rPr>
        <w:t>57</w:t>
      </w:r>
      <w:r>
        <w:rPr>
          <w:sz w:val="24"/>
        </w:rPr>
        <w:t>:1113–6.</w:t>
      </w:r>
    </w:p>
    <w:p>
      <w:pPr>
        <w:spacing w:after="0" w:line="48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0"/>
          <w:numId w:val="7"/>
        </w:numPr>
        <w:tabs>
          <w:tab w:pos="579" w:val="left" w:leader="none"/>
        </w:tabs>
        <w:spacing w:line="480" w:lineRule="auto" w:before="69" w:after="0"/>
        <w:ind w:left="152" w:right="105" w:firstLine="0"/>
        <w:jc w:val="both"/>
        <w:rPr>
          <w:sz w:val="24"/>
        </w:rPr>
      </w:pPr>
      <w:r>
        <w:rPr>
          <w:sz w:val="24"/>
        </w:rPr>
        <w:t>Funke G, Frodl R. </w:t>
      </w:r>
      <w:r>
        <w:rPr>
          <w:b/>
          <w:sz w:val="24"/>
        </w:rPr>
        <w:t>Comprehensive study of </w:t>
      </w:r>
      <w:r>
        <w:rPr>
          <w:b/>
          <w:i/>
          <w:sz w:val="24"/>
        </w:rPr>
        <w:t>Corynebacterium freneyi </w:t>
      </w:r>
      <w:r>
        <w:rPr>
          <w:b/>
          <w:sz w:val="24"/>
        </w:rPr>
        <w:t>strains and extended and emended description of </w:t>
      </w:r>
      <w:r>
        <w:rPr>
          <w:b/>
          <w:i/>
          <w:sz w:val="24"/>
        </w:rPr>
        <w:t>Corynebacterium freneyi </w:t>
      </w:r>
      <w:r>
        <w:rPr>
          <w:sz w:val="24"/>
        </w:rPr>
        <w:t>. J Clin Microbiol.</w:t>
      </w:r>
      <w:r>
        <w:rPr>
          <w:spacing w:val="-8"/>
          <w:sz w:val="24"/>
        </w:rPr>
        <w:t> </w:t>
      </w:r>
      <w:r>
        <w:rPr>
          <w:sz w:val="24"/>
        </w:rPr>
        <w:t>2008;46:638–43.</w:t>
      </w:r>
    </w:p>
    <w:p>
      <w:pPr>
        <w:pStyle w:val="ListParagraph"/>
        <w:numPr>
          <w:ilvl w:val="0"/>
          <w:numId w:val="7"/>
        </w:numPr>
        <w:tabs>
          <w:tab w:pos="517" w:val="left" w:leader="none"/>
        </w:tabs>
        <w:spacing w:line="480" w:lineRule="auto" w:before="166" w:after="0"/>
        <w:ind w:left="152" w:right="105" w:firstLine="0"/>
        <w:jc w:val="both"/>
        <w:rPr>
          <w:sz w:val="24"/>
        </w:rPr>
      </w:pPr>
      <w:r>
        <w:rPr>
          <w:sz w:val="24"/>
        </w:rPr>
        <w:t>Hollis DG, Weaver RE: </w:t>
      </w:r>
      <w:r>
        <w:rPr>
          <w:b/>
          <w:sz w:val="24"/>
        </w:rPr>
        <w:t>Gram-positive organism: A guide to identification</w:t>
      </w:r>
      <w:r>
        <w:rPr>
          <w:sz w:val="24"/>
        </w:rPr>
        <w:t>. Special Bacteriology Laboratory, Atlanta, Centers for Disease Control, 1981 (reprinted 1986). p.</w:t>
      </w:r>
      <w:r>
        <w:rPr>
          <w:spacing w:val="-9"/>
          <w:sz w:val="24"/>
        </w:rPr>
        <w:t> </w:t>
      </w:r>
      <w:r>
        <w:rPr>
          <w:sz w:val="24"/>
        </w:rPr>
        <w:t>1-10.</w:t>
      </w:r>
    </w:p>
    <w:p>
      <w:pPr>
        <w:pStyle w:val="ListParagraph"/>
        <w:numPr>
          <w:ilvl w:val="0"/>
          <w:numId w:val="7"/>
        </w:numPr>
        <w:tabs>
          <w:tab w:pos="512" w:val="left" w:leader="none"/>
        </w:tabs>
        <w:spacing w:line="240" w:lineRule="auto" w:before="168" w:after="0"/>
        <w:ind w:left="511" w:right="0" w:hanging="359"/>
        <w:jc w:val="both"/>
        <w:rPr>
          <w:b/>
          <w:i/>
          <w:sz w:val="24"/>
        </w:rPr>
      </w:pPr>
      <w:r>
        <w:rPr>
          <w:sz w:val="24"/>
        </w:rPr>
        <w:t>Krish G, Beaver </w:t>
      </w:r>
      <w:r>
        <w:rPr>
          <w:spacing w:val="3"/>
          <w:sz w:val="24"/>
        </w:rPr>
        <w:t>W, </w:t>
      </w:r>
      <w:r>
        <w:rPr>
          <w:sz w:val="24"/>
        </w:rPr>
        <w:t>Sarubbi F, Verghese A. 1989. </w:t>
      </w:r>
      <w:r>
        <w:rPr>
          <w:b/>
          <w:i/>
          <w:sz w:val="24"/>
        </w:rPr>
        <w:t>Corynebacterium   </w:t>
      </w:r>
      <w:r>
        <w:rPr>
          <w:b/>
          <w:i/>
          <w:spacing w:val="12"/>
          <w:sz w:val="24"/>
        </w:rPr>
        <w:t> </w:t>
      </w:r>
      <w:r>
        <w:rPr>
          <w:b/>
          <w:i/>
          <w:sz w:val="24"/>
        </w:rPr>
        <w:t>xerosis</w:t>
      </w:r>
    </w:p>
    <w:p>
      <w:pPr>
        <w:pStyle w:val="BodyText"/>
        <w:rPr>
          <w:b/>
          <w:i/>
        </w:rPr>
      </w:pPr>
    </w:p>
    <w:p>
      <w:pPr>
        <w:spacing w:before="0"/>
        <w:ind w:left="152" w:right="0" w:firstLine="0"/>
        <w:jc w:val="both"/>
        <w:rPr>
          <w:sz w:val="24"/>
        </w:rPr>
      </w:pPr>
      <w:r>
        <w:rPr>
          <w:b/>
          <w:sz w:val="24"/>
        </w:rPr>
        <w:t>as a cause of vertebral osteomyelitis</w:t>
      </w:r>
      <w:r>
        <w:rPr>
          <w:sz w:val="24"/>
        </w:rPr>
        <w:t>. J Clin Microbiol. 1989;</w:t>
      </w:r>
      <w:r>
        <w:rPr>
          <w:b/>
          <w:sz w:val="24"/>
        </w:rPr>
        <w:t>27</w:t>
      </w:r>
      <w:r>
        <w:rPr>
          <w:sz w:val="24"/>
        </w:rPr>
        <w:t>: 2869-70.</w:t>
      </w:r>
    </w:p>
    <w:p>
      <w:pPr>
        <w:pStyle w:val="BodyText"/>
      </w:pPr>
    </w:p>
    <w:p>
      <w:pPr>
        <w:pStyle w:val="BodyText"/>
      </w:pPr>
    </w:p>
    <w:p>
      <w:pPr>
        <w:pStyle w:val="BodyText"/>
      </w:pPr>
    </w:p>
    <w:p>
      <w:pPr>
        <w:pStyle w:val="ListParagraph"/>
        <w:numPr>
          <w:ilvl w:val="0"/>
          <w:numId w:val="7"/>
        </w:numPr>
        <w:tabs>
          <w:tab w:pos="512" w:val="left" w:leader="none"/>
        </w:tabs>
        <w:spacing w:line="480" w:lineRule="auto" w:before="0" w:after="0"/>
        <w:ind w:left="152" w:right="105" w:firstLine="0"/>
        <w:jc w:val="both"/>
        <w:rPr>
          <w:sz w:val="24"/>
        </w:rPr>
      </w:pPr>
      <w:r>
        <w:rPr>
          <w:sz w:val="24"/>
        </w:rPr>
        <w:t>Coyle MB, Leonard RB, Nowowiejski DJ, Malekniazi A, Finn DJ. </w:t>
      </w:r>
      <w:r>
        <w:rPr>
          <w:b/>
          <w:sz w:val="24"/>
        </w:rPr>
        <w:t>Evidence of multiple taxa within commercially available reference strains of </w:t>
      </w:r>
      <w:r>
        <w:rPr>
          <w:b/>
          <w:i/>
          <w:sz w:val="24"/>
        </w:rPr>
        <w:t>Corynebacterium xerosis. </w:t>
      </w:r>
      <w:r>
        <w:rPr>
          <w:sz w:val="24"/>
        </w:rPr>
        <w:t>J Clin Microbiol.</w:t>
      </w:r>
      <w:r>
        <w:rPr>
          <w:spacing w:val="-17"/>
          <w:sz w:val="24"/>
        </w:rPr>
        <w:t> </w:t>
      </w:r>
      <w:r>
        <w:rPr>
          <w:sz w:val="24"/>
        </w:rPr>
        <w:t>1993;31:1788-93.</w:t>
      </w:r>
    </w:p>
    <w:p>
      <w:pPr>
        <w:pStyle w:val="BodyText"/>
      </w:pPr>
    </w:p>
    <w:p>
      <w:pPr>
        <w:pStyle w:val="BodyText"/>
        <w:spacing w:before="7"/>
      </w:pPr>
    </w:p>
    <w:p>
      <w:pPr>
        <w:pStyle w:val="ListParagraph"/>
        <w:numPr>
          <w:ilvl w:val="0"/>
          <w:numId w:val="7"/>
        </w:numPr>
        <w:tabs>
          <w:tab w:pos="529" w:val="left" w:leader="none"/>
        </w:tabs>
        <w:spacing w:line="480" w:lineRule="auto" w:before="1" w:after="0"/>
        <w:ind w:left="152" w:right="107" w:firstLine="0"/>
        <w:jc w:val="both"/>
        <w:rPr>
          <w:sz w:val="24"/>
        </w:rPr>
      </w:pPr>
      <w:r>
        <w:rPr>
          <w:sz w:val="24"/>
        </w:rPr>
        <w:t>Palacios L, Vela AI, Molin K, Fernández A, Latre MV, Chacón G, Falsen E, Fernández-Garayzábal JF. 2010. </w:t>
      </w:r>
      <w:r>
        <w:rPr>
          <w:b/>
          <w:sz w:val="24"/>
        </w:rPr>
        <w:t>Characterization of some bacterial strains isolated from animal clinical materials and identified as </w:t>
      </w:r>
      <w:r>
        <w:rPr>
          <w:b/>
          <w:i/>
          <w:sz w:val="24"/>
        </w:rPr>
        <w:t>Corynebacterium </w:t>
      </w:r>
      <w:r>
        <w:rPr>
          <w:b/>
          <w:i/>
          <w:sz w:val="24"/>
        </w:rPr>
        <w:t>xerosis </w:t>
      </w:r>
      <w:r>
        <w:rPr>
          <w:b/>
          <w:sz w:val="24"/>
        </w:rPr>
        <w:t>by molecular biological techniques</w:t>
      </w:r>
      <w:r>
        <w:rPr>
          <w:sz w:val="24"/>
        </w:rPr>
        <w:t>. J Clin Microbiol.</w:t>
      </w:r>
      <w:r>
        <w:rPr>
          <w:spacing w:val="-21"/>
          <w:sz w:val="24"/>
        </w:rPr>
        <w:t> </w:t>
      </w:r>
      <w:r>
        <w:rPr>
          <w:sz w:val="24"/>
        </w:rPr>
        <w:t>2010;48:3138-45.</w:t>
      </w:r>
    </w:p>
    <w:p>
      <w:pPr>
        <w:pStyle w:val="BodyText"/>
      </w:pPr>
    </w:p>
    <w:p>
      <w:pPr>
        <w:pStyle w:val="BodyText"/>
        <w:spacing w:before="8"/>
      </w:pPr>
    </w:p>
    <w:p>
      <w:pPr>
        <w:pStyle w:val="ListParagraph"/>
        <w:numPr>
          <w:ilvl w:val="0"/>
          <w:numId w:val="7"/>
        </w:numPr>
        <w:tabs>
          <w:tab w:pos="529" w:val="left" w:leader="none"/>
        </w:tabs>
        <w:spacing w:line="480" w:lineRule="auto" w:before="0" w:after="0"/>
        <w:ind w:left="152" w:right="107" w:firstLine="0"/>
        <w:jc w:val="both"/>
        <w:rPr>
          <w:sz w:val="24"/>
        </w:rPr>
      </w:pPr>
      <w:r>
        <w:rPr>
          <w:sz w:val="24"/>
        </w:rPr>
        <w:t>Funke G, Renaud FNR, Freney J, Riegel, P. </w:t>
      </w:r>
      <w:r>
        <w:rPr>
          <w:b/>
          <w:sz w:val="24"/>
        </w:rPr>
        <w:t>Multicenter evaluation of the updated and extended </w:t>
      </w:r>
      <w:r>
        <w:rPr>
          <w:b/>
          <w:spacing w:val="-3"/>
          <w:sz w:val="24"/>
        </w:rPr>
        <w:t>API </w:t>
      </w:r>
      <w:r>
        <w:rPr>
          <w:b/>
          <w:sz w:val="24"/>
        </w:rPr>
        <w:t>(RAPID) Coryne database 2.0</w:t>
      </w:r>
      <w:r>
        <w:rPr>
          <w:sz w:val="24"/>
        </w:rPr>
        <w:t>. J Clin Microbiol. 1997;</w:t>
      </w:r>
      <w:r>
        <w:rPr>
          <w:b/>
          <w:sz w:val="24"/>
        </w:rPr>
        <w:t>35</w:t>
      </w:r>
      <w:r>
        <w:rPr>
          <w:sz w:val="24"/>
        </w:rPr>
        <w:t>:3122–26.</w:t>
      </w:r>
    </w:p>
    <w:p>
      <w:pPr>
        <w:spacing w:after="0" w:line="480" w:lineRule="auto"/>
        <w:jc w:val="both"/>
        <w:rPr>
          <w:sz w:val="24"/>
        </w:rPr>
        <w:sectPr>
          <w:pgSz w:w="12240" w:h="15840"/>
          <w:pgMar w:header="0" w:footer="1386" w:top="1500" w:bottom="1580" w:left="1720" w:right="1420"/>
        </w:sectPr>
      </w:pPr>
    </w:p>
    <w:p>
      <w:pPr>
        <w:pStyle w:val="BodyText"/>
        <w:rPr>
          <w:sz w:val="20"/>
        </w:rPr>
      </w:pPr>
    </w:p>
    <w:p>
      <w:pPr>
        <w:pStyle w:val="BodyText"/>
        <w:rPr>
          <w:sz w:val="20"/>
        </w:rPr>
      </w:pPr>
    </w:p>
    <w:p>
      <w:pPr>
        <w:pStyle w:val="BodyText"/>
        <w:spacing w:before="11"/>
        <w:rPr>
          <w:sz w:val="28"/>
        </w:rPr>
      </w:pPr>
    </w:p>
    <w:p>
      <w:pPr>
        <w:pStyle w:val="ListParagraph"/>
        <w:numPr>
          <w:ilvl w:val="0"/>
          <w:numId w:val="7"/>
        </w:numPr>
        <w:tabs>
          <w:tab w:pos="503" w:val="left" w:leader="none"/>
        </w:tabs>
        <w:spacing w:line="480" w:lineRule="auto" w:before="69" w:after="0"/>
        <w:ind w:left="152" w:right="105" w:firstLine="0"/>
        <w:jc w:val="both"/>
        <w:rPr>
          <w:sz w:val="24"/>
        </w:rPr>
      </w:pPr>
      <w:r>
        <w:rPr>
          <w:sz w:val="24"/>
        </w:rPr>
        <w:t>Pacheco LG, Pena RR, Castro TLP, Dorella FA, Bahia RC, Carminati R, Frota MN, Oliveira SC, Meyer R, Alves FS, Miyoshi A, Azevedo V. </w:t>
      </w:r>
      <w:r>
        <w:rPr>
          <w:b/>
          <w:sz w:val="24"/>
        </w:rPr>
        <w:t>Multiplex PCR assay for identification of </w:t>
      </w:r>
      <w:r>
        <w:rPr>
          <w:b/>
          <w:i/>
          <w:sz w:val="24"/>
        </w:rPr>
        <w:t>Corynebacterium pseudotuberculosis </w:t>
      </w:r>
      <w:r>
        <w:rPr>
          <w:b/>
          <w:sz w:val="24"/>
        </w:rPr>
        <w:t>from pure cultures and for rapid detection of this pathogen in clinical samples</w:t>
      </w:r>
      <w:r>
        <w:rPr>
          <w:sz w:val="24"/>
        </w:rPr>
        <w:t>. J Med Microbiol. 2007; </w:t>
      </w:r>
      <w:r>
        <w:rPr>
          <w:b/>
          <w:sz w:val="24"/>
        </w:rPr>
        <w:t>56</w:t>
      </w:r>
      <w:r>
        <w:rPr>
          <w:sz w:val="24"/>
        </w:rPr>
        <w:t>:</w:t>
      </w:r>
      <w:r>
        <w:rPr>
          <w:spacing w:val="-9"/>
          <w:sz w:val="24"/>
        </w:rPr>
        <w:t> </w:t>
      </w:r>
      <w:r>
        <w:rPr>
          <w:sz w:val="24"/>
        </w:rPr>
        <w:t>480–86.</w:t>
      </w:r>
    </w:p>
    <w:p>
      <w:pPr>
        <w:pStyle w:val="BodyText"/>
      </w:pPr>
    </w:p>
    <w:p>
      <w:pPr>
        <w:pStyle w:val="BodyText"/>
      </w:pPr>
    </w:p>
    <w:p>
      <w:pPr>
        <w:pStyle w:val="ListParagraph"/>
        <w:numPr>
          <w:ilvl w:val="0"/>
          <w:numId w:val="7"/>
        </w:numPr>
        <w:tabs>
          <w:tab w:pos="507" w:val="left" w:leader="none"/>
        </w:tabs>
        <w:spacing w:line="480" w:lineRule="auto" w:before="166" w:after="0"/>
        <w:ind w:left="152" w:right="104" w:firstLine="0"/>
        <w:jc w:val="both"/>
        <w:rPr>
          <w:sz w:val="24"/>
        </w:rPr>
      </w:pPr>
      <w:r>
        <w:rPr>
          <w:sz w:val="24"/>
        </w:rPr>
        <w:t>Khamis A, Raoult D, La Scola B. </w:t>
      </w:r>
      <w:r>
        <w:rPr>
          <w:b/>
          <w:sz w:val="24"/>
        </w:rPr>
        <w:t>Comparison between </w:t>
      </w:r>
      <w:r>
        <w:rPr>
          <w:b/>
          <w:i/>
          <w:sz w:val="24"/>
        </w:rPr>
        <w:t>rpoB </w:t>
      </w:r>
      <w:r>
        <w:rPr>
          <w:b/>
          <w:sz w:val="24"/>
        </w:rPr>
        <w:t>and 16S rRNA gene sequencing for molecular identification of 168 clinical isolates of </w:t>
      </w:r>
      <w:r>
        <w:rPr>
          <w:b/>
          <w:i/>
          <w:sz w:val="24"/>
        </w:rPr>
        <w:t>Corynebacterium</w:t>
      </w:r>
      <w:r>
        <w:rPr>
          <w:sz w:val="24"/>
        </w:rPr>
        <w:t>. J. Clin. Microbiol.</w:t>
      </w:r>
      <w:r>
        <w:rPr>
          <w:spacing w:val="-15"/>
          <w:sz w:val="24"/>
        </w:rPr>
        <w:t> </w:t>
      </w:r>
      <w:r>
        <w:rPr>
          <w:sz w:val="24"/>
        </w:rPr>
        <w:t>2005;</w:t>
      </w:r>
      <w:r>
        <w:rPr>
          <w:b/>
          <w:sz w:val="24"/>
        </w:rPr>
        <w:t>43</w:t>
      </w:r>
      <w:r>
        <w:rPr>
          <w:sz w:val="24"/>
        </w:rPr>
        <w:t>:1934–36.</w:t>
      </w:r>
    </w:p>
    <w:p>
      <w:pPr>
        <w:pStyle w:val="ListParagraph"/>
        <w:numPr>
          <w:ilvl w:val="0"/>
          <w:numId w:val="7"/>
        </w:numPr>
        <w:tabs>
          <w:tab w:pos="553" w:val="left" w:leader="none"/>
        </w:tabs>
        <w:spacing w:line="480" w:lineRule="auto" w:before="168" w:after="0"/>
        <w:ind w:left="152" w:right="107" w:firstLine="0"/>
        <w:jc w:val="both"/>
        <w:rPr>
          <w:sz w:val="24"/>
        </w:rPr>
      </w:pPr>
      <w:r>
        <w:rPr>
          <w:sz w:val="24"/>
        </w:rPr>
        <w:t>Retamal P, Ríos M, Cheuquepán F, Abalos P, Pizarro-Lucero J, Borie C, Gutiérrez J. </w:t>
      </w:r>
      <w:r>
        <w:rPr>
          <w:b/>
          <w:sz w:val="24"/>
        </w:rPr>
        <w:t>Host associated polymorphisms in the </w:t>
      </w:r>
      <w:r>
        <w:rPr>
          <w:b/>
          <w:i/>
          <w:sz w:val="24"/>
        </w:rPr>
        <w:t>Corynebacterium </w:t>
      </w:r>
      <w:r>
        <w:rPr>
          <w:b/>
          <w:i/>
          <w:sz w:val="24"/>
        </w:rPr>
        <w:t>pseudotuberculosis rpoB </w:t>
      </w:r>
      <w:r>
        <w:rPr>
          <w:b/>
          <w:sz w:val="24"/>
        </w:rPr>
        <w:t>gene sequence</w:t>
      </w:r>
      <w:r>
        <w:rPr>
          <w:sz w:val="24"/>
        </w:rPr>
        <w:t>. Vet Microbiol. 2011;</w:t>
      </w:r>
      <w:r>
        <w:rPr>
          <w:b/>
          <w:sz w:val="24"/>
        </w:rPr>
        <w:t>151</w:t>
      </w:r>
      <w:r>
        <w:rPr>
          <w:sz w:val="24"/>
        </w:rPr>
        <w:t>:</w:t>
      </w:r>
      <w:r>
        <w:rPr>
          <w:spacing w:val="-20"/>
          <w:sz w:val="24"/>
        </w:rPr>
        <w:t> </w:t>
      </w:r>
      <w:r>
        <w:rPr>
          <w:sz w:val="24"/>
        </w:rPr>
        <w:t>400–3.</w:t>
      </w:r>
    </w:p>
    <w:p>
      <w:pPr>
        <w:pStyle w:val="ListParagraph"/>
        <w:numPr>
          <w:ilvl w:val="0"/>
          <w:numId w:val="7"/>
        </w:numPr>
        <w:tabs>
          <w:tab w:pos="522" w:val="left" w:leader="none"/>
        </w:tabs>
        <w:spacing w:line="480" w:lineRule="auto" w:before="168" w:after="0"/>
        <w:ind w:left="152" w:right="107" w:firstLine="0"/>
        <w:jc w:val="both"/>
        <w:rPr>
          <w:sz w:val="24"/>
        </w:rPr>
      </w:pPr>
      <w:r>
        <w:rPr>
          <w:sz w:val="24"/>
        </w:rPr>
        <w:t>McKean SC, Davies JK, Moore RJ. 2007. </w:t>
      </w:r>
      <w:r>
        <w:rPr>
          <w:b/>
          <w:sz w:val="24"/>
        </w:rPr>
        <w:t>Expression of phospholipase D, the major virulence factor of </w:t>
      </w:r>
      <w:r>
        <w:rPr>
          <w:b/>
          <w:i/>
          <w:sz w:val="24"/>
        </w:rPr>
        <w:t>Corynebacterium pseudotuberculosis</w:t>
      </w:r>
      <w:r>
        <w:rPr>
          <w:b/>
          <w:sz w:val="24"/>
        </w:rPr>
        <w:t>, is regulated by multiple environmental factors and plays a role in macrophage death</w:t>
      </w:r>
      <w:r>
        <w:rPr>
          <w:sz w:val="24"/>
        </w:rPr>
        <w:t>. Microbiology. 2007;</w:t>
      </w:r>
      <w:r>
        <w:rPr>
          <w:b/>
          <w:sz w:val="24"/>
        </w:rPr>
        <w:t>153</w:t>
      </w:r>
      <w:r>
        <w:rPr>
          <w:sz w:val="24"/>
        </w:rPr>
        <w:t>:</w:t>
      </w:r>
      <w:r>
        <w:rPr>
          <w:spacing w:val="-17"/>
          <w:sz w:val="24"/>
        </w:rPr>
        <w:t> </w:t>
      </w:r>
      <w:r>
        <w:rPr>
          <w:sz w:val="24"/>
        </w:rPr>
        <w:t>2203–11.</w:t>
      </w:r>
    </w:p>
    <w:p>
      <w:pPr>
        <w:pStyle w:val="ListParagraph"/>
        <w:numPr>
          <w:ilvl w:val="0"/>
          <w:numId w:val="7"/>
        </w:numPr>
        <w:tabs>
          <w:tab w:pos="599" w:val="left" w:leader="none"/>
        </w:tabs>
        <w:spacing w:line="480" w:lineRule="auto" w:before="166" w:after="0"/>
        <w:ind w:left="152" w:right="106" w:firstLine="0"/>
        <w:jc w:val="both"/>
        <w:rPr>
          <w:sz w:val="24"/>
        </w:rPr>
      </w:pPr>
      <w:r>
        <w:rPr>
          <w:sz w:val="24"/>
        </w:rPr>
        <w:t>McNamara PJ, Cuevas </w:t>
      </w:r>
      <w:r>
        <w:rPr>
          <w:spacing w:val="2"/>
          <w:sz w:val="24"/>
        </w:rPr>
        <w:t>WA, </w:t>
      </w:r>
      <w:r>
        <w:rPr>
          <w:sz w:val="24"/>
        </w:rPr>
        <w:t>Songer JG. </w:t>
      </w:r>
      <w:r>
        <w:rPr>
          <w:b/>
          <w:sz w:val="24"/>
        </w:rPr>
        <w:t>Toxic phospholipases D of </w:t>
      </w:r>
      <w:r>
        <w:rPr>
          <w:b/>
          <w:i/>
          <w:sz w:val="24"/>
        </w:rPr>
        <w:t>Corynebacterium pseudotuberculosis</w:t>
      </w:r>
      <w:r>
        <w:rPr>
          <w:b/>
          <w:sz w:val="24"/>
        </w:rPr>
        <w:t>, </w:t>
      </w:r>
      <w:r>
        <w:rPr>
          <w:b/>
          <w:i/>
          <w:sz w:val="24"/>
        </w:rPr>
        <w:t>C. ulcerans </w:t>
      </w:r>
      <w:r>
        <w:rPr>
          <w:b/>
          <w:sz w:val="24"/>
        </w:rPr>
        <w:t>and </w:t>
      </w:r>
      <w:r>
        <w:rPr>
          <w:b/>
          <w:i/>
          <w:sz w:val="24"/>
        </w:rPr>
        <w:t>Arcanobacterium </w:t>
      </w:r>
      <w:r>
        <w:rPr>
          <w:b/>
          <w:i/>
          <w:sz w:val="24"/>
        </w:rPr>
        <w:t>haemolyticum</w:t>
      </w:r>
      <w:r>
        <w:rPr>
          <w:b/>
          <w:sz w:val="24"/>
        </w:rPr>
        <w:t>: cloning and sequence homology</w:t>
      </w:r>
      <w:r>
        <w:rPr>
          <w:sz w:val="24"/>
        </w:rPr>
        <w:t>. Gene.</w:t>
      </w:r>
      <w:r>
        <w:rPr>
          <w:spacing w:val="-18"/>
          <w:sz w:val="24"/>
        </w:rPr>
        <w:t> </w:t>
      </w:r>
      <w:r>
        <w:rPr>
          <w:sz w:val="24"/>
        </w:rPr>
        <w:t>1995;</w:t>
      </w:r>
      <w:r>
        <w:rPr>
          <w:b/>
          <w:sz w:val="24"/>
        </w:rPr>
        <w:t>156</w:t>
      </w:r>
      <w:r>
        <w:rPr>
          <w:sz w:val="24"/>
        </w:rPr>
        <w:t>:113–8.</w:t>
      </w:r>
    </w:p>
    <w:p>
      <w:pPr>
        <w:spacing w:after="0" w:line="480" w:lineRule="auto"/>
        <w:jc w:val="both"/>
        <w:rPr>
          <w:sz w:val="24"/>
        </w:rPr>
        <w:sectPr>
          <w:pgSz w:w="12240" w:h="15840"/>
          <w:pgMar w:header="0" w:footer="1386" w:top="1500" w:bottom="1580" w:left="1720" w:right="1420"/>
        </w:sectPr>
      </w:pPr>
    </w:p>
    <w:p>
      <w:pPr>
        <w:pStyle w:val="BodyText"/>
        <w:spacing w:before="11"/>
        <w:rPr>
          <w:sz w:val="20"/>
        </w:rPr>
      </w:pPr>
    </w:p>
    <w:p>
      <w:pPr>
        <w:pStyle w:val="ListParagraph"/>
        <w:numPr>
          <w:ilvl w:val="0"/>
          <w:numId w:val="7"/>
        </w:numPr>
        <w:tabs>
          <w:tab w:pos="539" w:val="left" w:leader="none"/>
        </w:tabs>
        <w:spacing w:line="480" w:lineRule="auto" w:before="69" w:after="0"/>
        <w:ind w:left="152" w:right="107" w:firstLine="0"/>
        <w:jc w:val="both"/>
        <w:rPr>
          <w:sz w:val="24"/>
        </w:rPr>
      </w:pPr>
      <w:r>
        <w:rPr>
          <w:sz w:val="24"/>
        </w:rPr>
        <w:t>Tachedjian M, Krywult J, Moore RJ, Hodgson AL. </w:t>
      </w:r>
      <w:r>
        <w:rPr>
          <w:b/>
          <w:sz w:val="24"/>
        </w:rPr>
        <w:t>Caseous lymphadenitis vaccine development: site-specific inactivation of the </w:t>
      </w:r>
      <w:r>
        <w:rPr>
          <w:b/>
          <w:i/>
          <w:sz w:val="24"/>
        </w:rPr>
        <w:t>Corynebacterium </w:t>
      </w:r>
      <w:r>
        <w:rPr>
          <w:b/>
          <w:i/>
          <w:sz w:val="24"/>
        </w:rPr>
        <w:t>pseudotuberculosis </w:t>
      </w:r>
      <w:r>
        <w:rPr>
          <w:b/>
          <w:sz w:val="24"/>
        </w:rPr>
        <w:t>phospholipase D gene</w:t>
      </w:r>
      <w:r>
        <w:rPr>
          <w:sz w:val="24"/>
        </w:rPr>
        <w:t>. Vaccine.</w:t>
      </w:r>
      <w:r>
        <w:rPr>
          <w:spacing w:val="-20"/>
          <w:sz w:val="24"/>
        </w:rPr>
        <w:t> </w:t>
      </w:r>
      <w:r>
        <w:rPr>
          <w:sz w:val="24"/>
        </w:rPr>
        <w:t>1995;</w:t>
      </w:r>
      <w:r>
        <w:rPr>
          <w:b/>
          <w:sz w:val="24"/>
        </w:rPr>
        <w:t>13</w:t>
      </w:r>
      <w:r>
        <w:rPr>
          <w:sz w:val="24"/>
        </w:rPr>
        <w:t>:1785–92.</w:t>
      </w:r>
    </w:p>
    <w:p>
      <w:pPr>
        <w:pStyle w:val="BodyText"/>
      </w:pPr>
    </w:p>
    <w:p>
      <w:pPr>
        <w:pStyle w:val="BodyText"/>
      </w:pPr>
    </w:p>
    <w:p>
      <w:pPr>
        <w:pStyle w:val="BodyText"/>
        <w:spacing w:before="5"/>
        <w:rPr>
          <w:sz w:val="28"/>
        </w:rPr>
      </w:pPr>
    </w:p>
    <w:p>
      <w:pPr>
        <w:pStyle w:val="BodyText"/>
        <w:ind w:left="152"/>
        <w:jc w:val="both"/>
      </w:pPr>
      <w:r>
        <w:rPr/>
        <w:t>Figure 1. A, hard-consistency abscess in the neck region of a 4-months-old ewe.</w:t>
      </w:r>
    </w:p>
    <w:p>
      <w:pPr>
        <w:pStyle w:val="BodyText"/>
      </w:pPr>
    </w:p>
    <w:p>
      <w:pPr>
        <w:spacing w:line="480" w:lineRule="auto" w:before="159"/>
        <w:ind w:left="152" w:right="103" w:firstLine="0"/>
        <w:jc w:val="both"/>
        <w:rPr>
          <w:sz w:val="24"/>
        </w:rPr>
      </w:pPr>
      <w:r>
        <w:rPr>
          <w:sz w:val="24"/>
        </w:rPr>
        <w:t>Figure 2. Comparison between </w:t>
      </w:r>
      <w:r>
        <w:rPr>
          <w:i/>
          <w:sz w:val="24"/>
        </w:rPr>
        <w:t>Corynebacterium pseudotuberculosis </w:t>
      </w:r>
      <w:r>
        <w:rPr>
          <w:sz w:val="24"/>
        </w:rPr>
        <w:t>of growth cultured in 8% sheep blood agar which showed whitish colonies with beta haemolysis (left) and </w:t>
      </w:r>
      <w:r>
        <w:rPr>
          <w:i/>
          <w:sz w:val="24"/>
        </w:rPr>
        <w:t>Corynebacterium xerosis, </w:t>
      </w:r>
      <w:r>
        <w:rPr>
          <w:sz w:val="24"/>
        </w:rPr>
        <w:t>which showed small yellowish- brown colonies without haemolysis (right). B, Gram stain of </w:t>
      </w:r>
      <w:r>
        <w:rPr>
          <w:i/>
          <w:sz w:val="24"/>
        </w:rPr>
        <w:t>Corynebacterium </w:t>
      </w:r>
      <w:r>
        <w:rPr>
          <w:i/>
          <w:sz w:val="24"/>
        </w:rPr>
        <w:t>xerosis isolated </w:t>
      </w:r>
      <w:r>
        <w:rPr>
          <w:sz w:val="24"/>
        </w:rPr>
        <w:t>in the study. Presence of pleomorphic Gram-positive rods presenting club-like ends.</w:t>
      </w:r>
    </w:p>
    <w:p>
      <w:pPr>
        <w:spacing w:line="480" w:lineRule="auto" w:before="164"/>
        <w:ind w:left="152" w:right="105" w:firstLine="0"/>
        <w:jc w:val="both"/>
        <w:rPr>
          <w:sz w:val="24"/>
        </w:rPr>
      </w:pPr>
      <w:r>
        <w:rPr>
          <w:sz w:val="24"/>
        </w:rPr>
        <w:t>Figure 3. Multiplex PCR. Amplification of partial sequences of </w:t>
      </w:r>
      <w:r>
        <w:rPr>
          <w:i/>
          <w:sz w:val="24"/>
        </w:rPr>
        <w:t>16S rRNA</w:t>
      </w:r>
      <w:r>
        <w:rPr>
          <w:sz w:val="24"/>
        </w:rPr>
        <w:t>, </w:t>
      </w:r>
      <w:r>
        <w:rPr>
          <w:i/>
          <w:sz w:val="24"/>
        </w:rPr>
        <w:t>rpoB </w:t>
      </w:r>
      <w:r>
        <w:rPr>
          <w:sz w:val="24"/>
        </w:rPr>
        <w:t>and </w:t>
      </w:r>
      <w:r>
        <w:rPr>
          <w:i/>
          <w:sz w:val="24"/>
        </w:rPr>
        <w:t>pld </w:t>
      </w:r>
      <w:r>
        <w:rPr>
          <w:sz w:val="24"/>
        </w:rPr>
        <w:t>genes. MW lane: molecular weight marker of 1 Kb Plus DNA Ladder™ (Invitrogen). Lane 1: negative control (reaction without template DNA). Lane 2: </w:t>
      </w:r>
      <w:r>
        <w:rPr>
          <w:i/>
          <w:sz w:val="24"/>
        </w:rPr>
        <w:t>Corynebacterium pseudotuberculosis </w:t>
      </w:r>
      <w:r>
        <w:rPr>
          <w:sz w:val="24"/>
        </w:rPr>
        <w:t>biovar </w:t>
      </w:r>
      <w:r>
        <w:rPr>
          <w:i/>
          <w:sz w:val="24"/>
        </w:rPr>
        <w:t>equi</w:t>
      </w:r>
      <w:r>
        <w:rPr>
          <w:sz w:val="24"/>
        </w:rPr>
        <w:t>. Lanes 3-4: </w:t>
      </w:r>
      <w:r>
        <w:rPr>
          <w:i/>
          <w:sz w:val="24"/>
        </w:rPr>
        <w:t>Corynebacterium </w:t>
      </w:r>
      <w:r>
        <w:rPr>
          <w:i/>
          <w:sz w:val="24"/>
        </w:rPr>
        <w:t>xerosis </w:t>
      </w:r>
      <w:r>
        <w:rPr>
          <w:sz w:val="24"/>
        </w:rPr>
        <w:t>isolate (10 and 0.001ng of DNA, respectively). Lane 5: </w:t>
      </w:r>
      <w:r>
        <w:rPr>
          <w:i/>
          <w:sz w:val="24"/>
        </w:rPr>
        <w:t>Corynebacterium </w:t>
      </w:r>
      <w:r>
        <w:rPr>
          <w:i/>
          <w:sz w:val="24"/>
        </w:rPr>
        <w:t>pseudotuberculosis </w:t>
      </w:r>
      <w:r>
        <w:rPr>
          <w:sz w:val="24"/>
        </w:rPr>
        <w:t>biovar </w:t>
      </w:r>
      <w:r>
        <w:rPr>
          <w:i/>
          <w:sz w:val="24"/>
        </w:rPr>
        <w:t>ovis</w:t>
      </w:r>
      <w:r>
        <w:rPr>
          <w:sz w:val="24"/>
        </w:rPr>
        <w:t>.</w:t>
      </w:r>
    </w:p>
    <w:p>
      <w:pPr>
        <w:pStyle w:val="BodyText"/>
        <w:spacing w:line="480" w:lineRule="auto" w:before="171"/>
        <w:ind w:left="152" w:right="105"/>
        <w:jc w:val="both"/>
      </w:pPr>
      <w:r>
        <w:rPr/>
        <w:t>Figure 4. Phylogenetic tree showing the relationship of Corynebacterium pseudotuberculosis and differentiation of </w:t>
      </w:r>
      <w:r>
        <w:rPr>
          <w:i/>
        </w:rPr>
        <w:t>Corynebcaterium xerosis </w:t>
      </w:r>
      <w:r>
        <w:rPr/>
        <w:t>as a separate group. The tree cbuilt from the alignment of partial sequence of the </w:t>
      </w:r>
      <w:r>
        <w:rPr>
          <w:i/>
        </w:rPr>
        <w:t>rpoB </w:t>
      </w:r>
      <w:r>
        <w:rPr/>
        <w:t>gene. Bootstrap values were obtained by generating 1000 random trees, and the strength</w:t>
      </w:r>
    </w:p>
    <w:p>
      <w:pPr>
        <w:spacing w:after="0" w:line="480" w:lineRule="auto"/>
        <w:jc w:val="both"/>
        <w:sectPr>
          <w:pgSz w:w="12240" w:h="15840"/>
          <w:pgMar w:header="0" w:footer="1386" w:top="1500" w:bottom="1580" w:left="1720" w:right="1420"/>
        </w:sectPr>
      </w:pPr>
    </w:p>
    <w:p>
      <w:pPr>
        <w:pStyle w:val="BodyText"/>
        <w:spacing w:before="11"/>
        <w:rPr>
          <w:sz w:val="20"/>
        </w:rPr>
      </w:pPr>
    </w:p>
    <w:p>
      <w:pPr>
        <w:spacing w:line="480" w:lineRule="auto" w:before="69"/>
        <w:ind w:left="152" w:right="105" w:firstLine="0"/>
        <w:jc w:val="both"/>
        <w:rPr>
          <w:sz w:val="24"/>
        </w:rPr>
      </w:pPr>
      <w:r>
        <w:rPr>
          <w:sz w:val="24"/>
        </w:rPr>
        <w:t>of each branch is indicated in the respective node (percentage). Sequences included </w:t>
      </w:r>
      <w:r>
        <w:rPr>
          <w:i/>
          <w:sz w:val="24"/>
        </w:rPr>
        <w:t>Corynebacterium pseudotuberculosis </w:t>
      </w:r>
      <w:r>
        <w:rPr>
          <w:sz w:val="24"/>
        </w:rPr>
        <w:t>biovar ovis </w:t>
      </w:r>
      <w:r>
        <w:rPr>
          <w:i/>
          <w:sz w:val="24"/>
        </w:rPr>
        <w:t>rpoB </w:t>
      </w:r>
      <w:r>
        <w:rPr>
          <w:sz w:val="24"/>
        </w:rPr>
        <w:t>C13, biovar equi rpoB C1, </w:t>
      </w:r>
      <w:r>
        <w:rPr>
          <w:i/>
          <w:sz w:val="24"/>
        </w:rPr>
        <w:t>Corynebacterium xerosis </w:t>
      </w:r>
      <w:r>
        <w:rPr>
          <w:sz w:val="24"/>
        </w:rPr>
        <w:t>rpoB C53 and where compared with those from GenBank: CP002924.1, CP003540.2 and AY492233.1.</w:t>
      </w:r>
    </w:p>
    <w:p>
      <w:pPr>
        <w:spacing w:after="0" w:line="480" w:lineRule="auto"/>
        <w:jc w:val="both"/>
        <w:rPr>
          <w:sz w:val="24"/>
        </w:rPr>
        <w:sectPr>
          <w:pgSz w:w="12240" w:h="15840"/>
          <w:pgMar w:header="0" w:footer="1386" w:top="1500" w:bottom="1580" w:left="1720" w:right="1420"/>
        </w:sectPr>
      </w:pPr>
    </w:p>
    <w:p>
      <w:pPr>
        <w:pStyle w:val="BodyText"/>
        <w:spacing w:before="11"/>
        <w:rPr>
          <w:sz w:val="20"/>
        </w:rPr>
      </w:pPr>
    </w:p>
    <w:p>
      <w:pPr>
        <w:pStyle w:val="BodyText"/>
        <w:spacing w:before="69"/>
        <w:ind w:left="152"/>
      </w:pPr>
      <w:r>
        <w:rPr/>
        <w:t>FIGURE 1</w:t>
      </w:r>
    </w:p>
    <w:p>
      <w:pPr>
        <w:pStyle w:val="BodyText"/>
        <w:rPr>
          <w:sz w:val="20"/>
        </w:rPr>
      </w:pPr>
    </w:p>
    <w:p>
      <w:pPr>
        <w:pStyle w:val="BodyText"/>
        <w:spacing w:before="8"/>
        <w:rPr>
          <w:sz w:val="14"/>
        </w:rPr>
      </w:pPr>
      <w:r>
        <w:rPr/>
        <w:drawing>
          <wp:anchor distT="0" distB="0" distL="0" distR="0" allowOverlap="1" layoutInCell="1" locked="0" behindDoc="0" simplePos="0" relativeHeight="1864">
            <wp:simplePos x="0" y="0"/>
            <wp:positionH relativeFrom="page">
              <wp:posOffset>1188719</wp:posOffset>
            </wp:positionH>
            <wp:positionV relativeFrom="paragraph">
              <wp:posOffset>132308</wp:posOffset>
            </wp:positionV>
            <wp:extent cx="1856083" cy="1478756"/>
            <wp:effectExtent l="0" t="0" r="0" b="0"/>
            <wp:wrapTopAndBottom/>
            <wp:docPr id="25" name="image24.jpeg" descr=""/>
            <wp:cNvGraphicFramePr>
              <a:graphicFrameLocks noChangeAspect="1"/>
            </wp:cNvGraphicFramePr>
            <a:graphic>
              <a:graphicData uri="http://schemas.openxmlformats.org/drawingml/2006/picture">
                <pic:pic>
                  <pic:nvPicPr>
                    <pic:cNvPr id="26" name="image24.jpeg"/>
                    <pic:cNvPicPr/>
                  </pic:nvPicPr>
                  <pic:blipFill>
                    <a:blip r:embed="rId50" cstate="print"/>
                    <a:stretch>
                      <a:fillRect/>
                    </a:stretch>
                  </pic:blipFill>
                  <pic:spPr>
                    <a:xfrm>
                      <a:off x="0" y="0"/>
                      <a:ext cx="1856083" cy="1478756"/>
                    </a:xfrm>
                    <a:prstGeom prst="rect">
                      <a:avLst/>
                    </a:prstGeom>
                  </pic:spPr>
                </pic:pic>
              </a:graphicData>
            </a:graphic>
          </wp:anchor>
        </w:drawing>
      </w:r>
    </w:p>
    <w:p>
      <w:pPr>
        <w:pStyle w:val="BodyText"/>
        <w:spacing w:before="7"/>
        <w:rPr>
          <w:sz w:val="34"/>
        </w:rPr>
      </w:pPr>
    </w:p>
    <w:p>
      <w:pPr>
        <w:pStyle w:val="BodyText"/>
        <w:spacing w:before="1"/>
        <w:ind w:left="152"/>
      </w:pPr>
      <w:r>
        <w:rPr/>
        <w:t>FIGURE 2</w:t>
      </w:r>
    </w:p>
    <w:p>
      <w:pPr>
        <w:pStyle w:val="BodyText"/>
        <w:rPr>
          <w:sz w:val="20"/>
        </w:rPr>
      </w:pPr>
    </w:p>
    <w:p>
      <w:pPr>
        <w:pStyle w:val="BodyText"/>
        <w:spacing w:before="10"/>
        <w:rPr>
          <w:sz w:val="14"/>
        </w:rPr>
      </w:pPr>
      <w:r>
        <w:rPr/>
        <w:drawing>
          <wp:anchor distT="0" distB="0" distL="0" distR="0" allowOverlap="1" layoutInCell="1" locked="0" behindDoc="0" simplePos="0" relativeHeight="1888">
            <wp:simplePos x="0" y="0"/>
            <wp:positionH relativeFrom="page">
              <wp:posOffset>1188719</wp:posOffset>
            </wp:positionH>
            <wp:positionV relativeFrom="paragraph">
              <wp:posOffset>133451</wp:posOffset>
            </wp:positionV>
            <wp:extent cx="5371007" cy="1628775"/>
            <wp:effectExtent l="0" t="0" r="0" b="0"/>
            <wp:wrapTopAndBottom/>
            <wp:docPr id="27" name="image25.jpeg" descr=""/>
            <wp:cNvGraphicFramePr>
              <a:graphicFrameLocks noChangeAspect="1"/>
            </wp:cNvGraphicFramePr>
            <a:graphic>
              <a:graphicData uri="http://schemas.openxmlformats.org/drawingml/2006/picture">
                <pic:pic>
                  <pic:nvPicPr>
                    <pic:cNvPr id="28" name="image25.jpeg"/>
                    <pic:cNvPicPr/>
                  </pic:nvPicPr>
                  <pic:blipFill>
                    <a:blip r:embed="rId51" cstate="print"/>
                    <a:stretch>
                      <a:fillRect/>
                    </a:stretch>
                  </pic:blipFill>
                  <pic:spPr>
                    <a:xfrm>
                      <a:off x="0" y="0"/>
                      <a:ext cx="5371007" cy="162877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2"/>
        <w:rPr>
          <w:sz w:val="26"/>
        </w:rPr>
      </w:pPr>
    </w:p>
    <w:p>
      <w:pPr>
        <w:pStyle w:val="BodyText"/>
        <w:spacing w:before="69"/>
        <w:ind w:left="3674" w:right="3978"/>
        <w:jc w:val="center"/>
      </w:pPr>
      <w:r>
        <w:rPr/>
        <w:t>FIGURE 3</w:t>
      </w:r>
    </w:p>
    <w:p>
      <w:pPr>
        <w:pStyle w:val="BodyText"/>
      </w:pPr>
    </w:p>
    <w:p>
      <w:pPr>
        <w:pStyle w:val="Heading3"/>
        <w:tabs>
          <w:tab w:pos="2624" w:val="left" w:leader="none"/>
          <w:tab w:pos="3157" w:val="left" w:leader="none"/>
          <w:tab w:pos="3625" w:val="left" w:leader="none"/>
          <w:tab w:pos="4158" w:val="left" w:leader="none"/>
          <w:tab w:pos="4624" w:val="left" w:leader="none"/>
        </w:tabs>
        <w:spacing w:before="161"/>
        <w:ind w:left="1995"/>
        <w:jc w:val="left"/>
      </w:pPr>
      <w:r>
        <w:rPr/>
        <w:t>MW</w:t>
        <w:tab/>
        <w:t>1</w:t>
        <w:tab/>
        <w:t>2</w:t>
        <w:tab/>
        <w:t>3</w:t>
        <w:tab/>
        <w:t>4</w:t>
        <w:tab/>
        <w:t>5</w:t>
      </w:r>
    </w:p>
    <w:p>
      <w:pPr>
        <w:spacing w:after="0"/>
        <w:jc w:val="left"/>
        <w:sectPr>
          <w:pgSz w:w="12240" w:h="15840"/>
          <w:pgMar w:header="0" w:footer="1386" w:top="1500" w:bottom="158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7"/>
        </w:rPr>
      </w:pPr>
    </w:p>
    <w:p>
      <w:pPr>
        <w:spacing w:before="0"/>
        <w:ind w:left="698" w:right="7490" w:firstLine="0"/>
        <w:jc w:val="center"/>
        <w:rPr>
          <w:rFonts w:ascii="Calibri"/>
          <w:b/>
          <w:i/>
          <w:sz w:val="22"/>
        </w:rPr>
      </w:pPr>
      <w:r>
        <w:rPr/>
        <w:pict>
          <v:group style="position:absolute;margin-left:152.759995pt;margin-top:-52.066376pt;width:300.5pt;height:183.4pt;mso-position-horizontal-relative:page;mso-position-vertical-relative:paragraph;z-index:-175072" coordorigin="3055,-1041" coordsize="6010,3668">
            <v:shape style="position:absolute;left:3516;top:-1041;width:5549;height:3667" type="#_x0000_t75" stroked="false">
              <v:imagedata r:id="rId26" o:title=""/>
            </v:shape>
            <v:shape style="position:absolute;left:3055;top:1594;width:410;height:156" type="#_x0000_t75" stroked="false">
              <v:imagedata r:id="rId52" o:title=""/>
            </v:shape>
            <v:shape style="position:absolute;left:3070;top:891;width:410;height:154" type="#_x0000_t75" stroked="false">
              <v:imagedata r:id="rId53" o:title=""/>
            </v:shape>
            <v:shape style="position:absolute;left:3101;top:171;width:408;height:154" type="#_x0000_t75" stroked="false">
              <v:imagedata r:id="rId54" o:title=""/>
            </v:shape>
            <w10:wrap type="none"/>
          </v:group>
        </w:pict>
      </w:r>
      <w:r>
        <w:rPr>
          <w:rFonts w:ascii="Calibri"/>
          <w:b/>
          <w:i/>
          <w:sz w:val="22"/>
        </w:rPr>
        <w:t>16S</w:t>
      </w:r>
    </w:p>
    <w:p>
      <w:pPr>
        <w:spacing w:before="2"/>
        <w:ind w:left="698" w:right="7490" w:firstLine="0"/>
        <w:jc w:val="center"/>
        <w:rPr>
          <w:rFonts w:ascii="Calibri"/>
          <w:sz w:val="22"/>
        </w:rPr>
      </w:pPr>
      <w:r>
        <w:rPr>
          <w:rFonts w:ascii="Calibri"/>
          <w:sz w:val="22"/>
        </w:rPr>
        <w:t>816 bp</w:t>
      </w:r>
    </w:p>
    <w:p>
      <w:pPr>
        <w:spacing w:before="151"/>
        <w:ind w:left="903" w:right="158" w:firstLine="0"/>
        <w:jc w:val="left"/>
        <w:rPr>
          <w:rFonts w:ascii="Calibri"/>
          <w:b/>
          <w:i/>
          <w:sz w:val="22"/>
        </w:rPr>
      </w:pPr>
      <w:r>
        <w:rPr>
          <w:rFonts w:ascii="Calibri"/>
          <w:b/>
          <w:i/>
          <w:sz w:val="22"/>
        </w:rPr>
        <w:t>rpoB</w:t>
      </w:r>
    </w:p>
    <w:p>
      <w:pPr>
        <w:spacing w:before="5"/>
        <w:ind w:left="812" w:right="158" w:firstLine="0"/>
        <w:jc w:val="left"/>
        <w:rPr>
          <w:rFonts w:ascii="Calibri"/>
          <w:sz w:val="22"/>
        </w:rPr>
      </w:pPr>
      <w:r>
        <w:rPr>
          <w:rFonts w:ascii="Calibri"/>
          <w:sz w:val="22"/>
        </w:rPr>
        <w:t>416 bp</w:t>
      </w:r>
    </w:p>
    <w:p>
      <w:pPr>
        <w:spacing w:before="192"/>
        <w:ind w:left="879" w:right="158" w:firstLine="0"/>
        <w:jc w:val="left"/>
        <w:rPr>
          <w:rFonts w:ascii="Calibri"/>
          <w:b/>
          <w:i/>
          <w:sz w:val="22"/>
        </w:rPr>
      </w:pPr>
      <w:r>
        <w:rPr>
          <w:rFonts w:ascii="Calibri"/>
          <w:b/>
          <w:i/>
          <w:sz w:val="22"/>
        </w:rPr>
        <w:t>pld</w:t>
      </w:r>
    </w:p>
    <w:p>
      <w:pPr>
        <w:spacing w:before="5"/>
        <w:ind w:left="641" w:right="7548" w:firstLine="0"/>
        <w:jc w:val="center"/>
        <w:rPr>
          <w:rFonts w:ascii="Calibri"/>
          <w:sz w:val="22"/>
        </w:rPr>
      </w:pPr>
      <w:r>
        <w:rPr>
          <w:rFonts w:ascii="Calibri"/>
          <w:sz w:val="22"/>
        </w:rPr>
        <w:t>203 bp</w:t>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3"/>
        </w:rPr>
      </w:pPr>
    </w:p>
    <w:p>
      <w:pPr>
        <w:pStyle w:val="BodyText"/>
        <w:spacing w:before="69"/>
        <w:ind w:left="152" w:right="158"/>
      </w:pPr>
      <w:r>
        <w:rPr/>
        <w:t>FIGURE 4</w:t>
      </w:r>
    </w:p>
    <w:p>
      <w:pPr>
        <w:pStyle w:val="BodyText"/>
        <w:rPr>
          <w:sz w:val="20"/>
        </w:rPr>
      </w:pPr>
    </w:p>
    <w:p>
      <w:pPr>
        <w:pStyle w:val="BodyText"/>
        <w:rPr>
          <w:sz w:val="28"/>
        </w:rPr>
      </w:pPr>
    </w:p>
    <w:p>
      <w:pPr>
        <w:spacing w:line="340" w:lineRule="auto" w:before="83"/>
        <w:ind w:left="5462" w:right="158" w:hanging="289"/>
        <w:jc w:val="left"/>
        <w:rPr>
          <w:sz w:val="17"/>
        </w:rPr>
      </w:pPr>
      <w:r>
        <w:rPr/>
        <w:pict>
          <v:shape style="position:absolute;margin-left:8.8829pt;margin-top:297.593964pt;width:356.2pt;height:106.85pt;mso-position-horizontal-relative:page;mso-position-vertical-relative:paragraph;z-index:-175048" coordorigin="178,5952" coordsize="7124,2137" path="m7122,344l7122,188,7122,188m7122,357l7122,512,7122,512m7011,668l7011,350,7122,350m7311,992l7311,837,7311,837m7311,1006l7311,1161,7412,1161m7011,682l7011,999,7311,999m2007,1154l2007,674,7011,674m7308,1640l7308,1485,7412,1485m7308,1654l7308,1809,7308,1809m2007,1168l2007,1647,7308,1647e" filled="false" stroked="true" strokeweight=".672053pt" strokecolor="#000000">
            <v:path arrowok="t"/>
            <w10:wrap type="none"/>
          </v:shape>
        </w:pict>
      </w:r>
      <w:r>
        <w:rPr>
          <w:position w:val="-4"/>
          <w:sz w:val="15"/>
        </w:rPr>
        <w:t>78 </w:t>
      </w:r>
      <w:r>
        <w:rPr>
          <w:sz w:val="17"/>
        </w:rPr>
        <w:t>C. pseudotuberculosis(Ovis)CP002924.1 rpoB C13</w:t>
      </w:r>
    </w:p>
    <w:p>
      <w:pPr>
        <w:spacing w:before="49"/>
        <w:ind w:left="5651" w:right="0" w:firstLine="0"/>
        <w:jc w:val="left"/>
        <w:rPr>
          <w:sz w:val="17"/>
        </w:rPr>
      </w:pPr>
      <w:r>
        <w:rPr>
          <w:w w:val="105"/>
          <w:sz w:val="17"/>
        </w:rPr>
        <w:t>C. pseudotuberculosis (Equi)CP003540.2</w:t>
      </w:r>
    </w:p>
    <w:p>
      <w:pPr>
        <w:spacing w:after="0"/>
        <w:jc w:val="left"/>
        <w:rPr>
          <w:sz w:val="17"/>
        </w:rPr>
        <w:sectPr>
          <w:pgSz w:w="12240" w:h="15840"/>
          <w:pgMar w:header="0" w:footer="1386" w:top="1500" w:bottom="1580" w:left="1720" w:right="1560"/>
        </w:sectPr>
      </w:pPr>
    </w:p>
    <w:p>
      <w:pPr>
        <w:pStyle w:val="BodyText"/>
        <w:spacing w:before="3"/>
        <w:rPr>
          <w:sz w:val="12"/>
        </w:rPr>
      </w:pPr>
    </w:p>
    <w:p>
      <w:pPr>
        <w:spacing w:before="0"/>
        <w:ind w:left="0" w:right="0" w:firstLine="0"/>
        <w:jc w:val="right"/>
        <w:rPr>
          <w:sz w:val="15"/>
        </w:rPr>
      </w:pPr>
      <w:r>
        <w:rPr>
          <w:sz w:val="15"/>
        </w:rPr>
        <w:t>93</w:t>
      </w:r>
    </w:p>
    <w:p>
      <w:pPr>
        <w:pStyle w:val="BodyText"/>
        <w:rPr>
          <w:sz w:val="14"/>
        </w:rPr>
      </w:pPr>
    </w:p>
    <w:p>
      <w:pPr>
        <w:pStyle w:val="BodyText"/>
        <w:rPr>
          <w:sz w:val="14"/>
        </w:rPr>
      </w:pPr>
    </w:p>
    <w:p>
      <w:pPr>
        <w:pStyle w:val="BodyText"/>
        <w:spacing w:before="4"/>
        <w:rPr>
          <w:sz w:val="13"/>
        </w:rPr>
      </w:pPr>
    </w:p>
    <w:p>
      <w:pPr>
        <w:spacing w:before="0"/>
        <w:ind w:left="0" w:right="1" w:firstLine="0"/>
        <w:jc w:val="right"/>
        <w:rPr>
          <w:sz w:val="15"/>
        </w:rPr>
      </w:pPr>
      <w:r>
        <w:rPr>
          <w:w w:val="95"/>
          <w:sz w:val="15"/>
        </w:rPr>
        <w:t>100</w:t>
      </w:r>
    </w:p>
    <w:p>
      <w:pPr>
        <w:spacing w:before="129"/>
        <w:ind w:left="189" w:right="0" w:firstLine="0"/>
        <w:jc w:val="left"/>
        <w:rPr>
          <w:sz w:val="17"/>
        </w:rPr>
      </w:pPr>
      <w:r>
        <w:rPr/>
        <w:br w:type="column"/>
      </w:r>
      <w:r>
        <w:rPr>
          <w:w w:val="105"/>
          <w:sz w:val="17"/>
        </w:rPr>
        <w:t>rpoB C1</w:t>
      </w:r>
    </w:p>
    <w:p>
      <w:pPr>
        <w:spacing w:line="398" w:lineRule="auto" w:before="128"/>
        <w:ind w:left="84" w:right="0" w:firstLine="104"/>
        <w:jc w:val="left"/>
        <w:rPr>
          <w:sz w:val="17"/>
        </w:rPr>
      </w:pPr>
      <w:r>
        <w:rPr>
          <w:sz w:val="17"/>
        </w:rPr>
        <w:t>Corynebacterium xerosis AY492233.1 </w:t>
      </w:r>
      <w:r>
        <w:rPr>
          <w:w w:val="105"/>
          <w:sz w:val="17"/>
        </w:rPr>
        <w:t>rpoB C53</w:t>
      </w:r>
    </w:p>
    <w:p>
      <w:pPr>
        <w:spacing w:after="0" w:line="398" w:lineRule="auto"/>
        <w:jc w:val="left"/>
        <w:rPr>
          <w:sz w:val="17"/>
        </w:rPr>
        <w:sectPr>
          <w:type w:val="continuous"/>
          <w:pgSz w:w="12240" w:h="15840"/>
          <w:pgMar w:top="1500" w:bottom="280" w:left="1720" w:right="1560"/>
          <w:cols w:num="2" w:equalWidth="0">
            <w:col w:w="5524" w:space="40"/>
            <w:col w:w="3396"/>
          </w:cols>
        </w:sectPr>
      </w:pPr>
    </w:p>
    <w:p>
      <w:pPr>
        <w:pStyle w:val="BodyText"/>
        <w:spacing w:before="10" w:after="1"/>
        <w:rPr>
          <w:sz w:val="17"/>
        </w:rPr>
      </w:pPr>
    </w:p>
    <w:p>
      <w:pPr>
        <w:pStyle w:val="BodyText"/>
        <w:spacing w:line="122" w:lineRule="exact"/>
        <w:ind w:left="952"/>
        <w:rPr>
          <w:sz w:val="12"/>
        </w:rPr>
      </w:pPr>
      <w:r>
        <w:rPr>
          <w:position w:val="-1"/>
          <w:sz w:val="12"/>
        </w:rPr>
        <w:pict>
          <v:group style="width:39.25pt;height:6.15pt;mso-position-horizontal-relative:char;mso-position-vertical-relative:line" coordorigin="0,0" coordsize="785,123">
            <v:line style="position:absolute" from="7,61" to="778,61" stroked="true" strokeweight=".671981pt" strokecolor="#000000"/>
            <v:line style="position:absolute" from="7,7" to="7,115" stroked="true" strokeweight=".672124pt" strokecolor="#000000"/>
            <v:line style="position:absolute" from="778,7" to="778,115" stroked="true" strokeweight=".672124pt" strokecolor="#000000"/>
          </v:group>
        </w:pict>
      </w:r>
      <w:r>
        <w:rPr>
          <w:position w:val="-1"/>
          <w:sz w:val="12"/>
        </w:rPr>
      </w:r>
    </w:p>
    <w:p>
      <w:pPr>
        <w:spacing w:before="14"/>
        <w:ind w:left="1202" w:right="158" w:firstLine="0"/>
        <w:jc w:val="left"/>
        <w:rPr>
          <w:sz w:val="15"/>
        </w:rPr>
      </w:pPr>
      <w:r>
        <w:rPr>
          <w:sz w:val="15"/>
        </w:rPr>
        <w:t>0.02</w:t>
      </w:r>
    </w:p>
    <w:sectPr>
      <w:type w:val="continuous"/>
      <w:pgSz w:w="12240" w:h="15840"/>
      <w:pgMar w:top="1500" w:bottom="280" w:left="1720" w:right="15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6.209991pt;margin-top:698.216003pt;width:16.650pt;height:13.05pt;mso-position-horizontal-relative:page;mso-position-vertical-relative:page;z-index:-175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 roman </w:instrText>
                </w:r>
                <w:r>
                  <w:rPr/>
                  <w:fldChar w:fldCharType="separate"/>
                </w:r>
                <w:r>
                  <w:rPr/>
                  <w:t>viii</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744"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696"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648"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600"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9.809998pt;margin-top:711.679993pt;width:9.6pt;height:13.05pt;mso-position-horizontal-relative:page;mso-position-vertical-relative:page;z-index:-175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936"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888"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840"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6.929993pt;margin-top:711.679993pt;width:15.3pt;height:13.05pt;mso-position-horizontal-relative:page;mso-position-vertical-relative:page;z-index:-175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7.929993pt;margin-top:711.679993pt;width:13.3pt;height:13.05pt;mso-position-horizontal-relative:page;mso-position-vertical-relative:page;z-index:-175792"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872" w:hanging="360"/>
        <w:jc w:val="left"/>
      </w:pPr>
      <w:rPr>
        <w:rFonts w:hint="default" w:ascii="Arial" w:hAnsi="Arial" w:eastAsia="Arial" w:cs="Arial"/>
        <w:spacing w:val="-4"/>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6">
    <w:multiLevelType w:val="hybridMultilevel"/>
    <w:lvl w:ilvl="0">
      <w:start w:val="3"/>
      <w:numFmt w:val="decimal"/>
      <w:lvlText w:val="%1"/>
      <w:lvlJc w:val="left"/>
      <w:pPr>
        <w:ind w:left="152" w:hanging="228"/>
        <w:jc w:val="left"/>
      </w:pPr>
      <w:rPr>
        <w:rFonts w:hint="default" w:ascii="Arial" w:hAnsi="Arial" w:eastAsia="Arial" w:cs="Arial"/>
        <w:w w:val="99"/>
        <w:sz w:val="24"/>
        <w:szCs w:val="24"/>
      </w:rPr>
    </w:lvl>
    <w:lvl w:ilvl="1">
      <w:start w:val="1"/>
      <w:numFmt w:val="bullet"/>
      <w:lvlText w:val="•"/>
      <w:lvlJc w:val="left"/>
      <w:pPr>
        <w:ind w:left="1100" w:hanging="228"/>
      </w:pPr>
      <w:rPr>
        <w:rFonts w:hint="default"/>
      </w:rPr>
    </w:lvl>
    <w:lvl w:ilvl="2">
      <w:start w:val="1"/>
      <w:numFmt w:val="bullet"/>
      <w:lvlText w:val="•"/>
      <w:lvlJc w:val="left"/>
      <w:pPr>
        <w:ind w:left="1160" w:hanging="228"/>
      </w:pPr>
      <w:rPr>
        <w:rFonts w:hint="default"/>
      </w:rPr>
    </w:lvl>
    <w:lvl w:ilvl="3">
      <w:start w:val="1"/>
      <w:numFmt w:val="bullet"/>
      <w:lvlText w:val="•"/>
      <w:lvlJc w:val="left"/>
      <w:pPr>
        <w:ind w:left="5460" w:hanging="228"/>
      </w:pPr>
      <w:rPr>
        <w:rFonts w:hint="default"/>
      </w:rPr>
    </w:lvl>
    <w:lvl w:ilvl="4">
      <w:start w:val="1"/>
      <w:numFmt w:val="bullet"/>
      <w:lvlText w:val="•"/>
      <w:lvlJc w:val="left"/>
      <w:pPr>
        <w:ind w:left="5960" w:hanging="228"/>
      </w:pPr>
      <w:rPr>
        <w:rFonts w:hint="default"/>
      </w:rPr>
    </w:lvl>
    <w:lvl w:ilvl="5">
      <w:start w:val="1"/>
      <w:numFmt w:val="bullet"/>
      <w:lvlText w:val="•"/>
      <w:lvlJc w:val="left"/>
      <w:pPr>
        <w:ind w:left="6460" w:hanging="228"/>
      </w:pPr>
      <w:rPr>
        <w:rFonts w:hint="default"/>
      </w:rPr>
    </w:lvl>
    <w:lvl w:ilvl="6">
      <w:start w:val="1"/>
      <w:numFmt w:val="bullet"/>
      <w:lvlText w:val="•"/>
      <w:lvlJc w:val="left"/>
      <w:pPr>
        <w:ind w:left="6960" w:hanging="228"/>
      </w:pPr>
      <w:rPr>
        <w:rFonts w:hint="default"/>
      </w:rPr>
    </w:lvl>
    <w:lvl w:ilvl="7">
      <w:start w:val="1"/>
      <w:numFmt w:val="bullet"/>
      <w:lvlText w:val="•"/>
      <w:lvlJc w:val="left"/>
      <w:pPr>
        <w:ind w:left="7460" w:hanging="228"/>
      </w:pPr>
      <w:rPr>
        <w:rFonts w:hint="default"/>
      </w:rPr>
    </w:lvl>
    <w:lvl w:ilvl="8">
      <w:start w:val="1"/>
      <w:numFmt w:val="bullet"/>
      <w:lvlText w:val="•"/>
      <w:lvlJc w:val="left"/>
      <w:pPr>
        <w:ind w:left="7960" w:hanging="228"/>
      </w:pPr>
      <w:rPr>
        <w:rFonts w:hint="default"/>
      </w:rPr>
    </w:lvl>
  </w:abstractNum>
  <w:abstractNum w:abstractNumId="5">
    <w:multiLevelType w:val="hybridMultilevel"/>
    <w:lvl w:ilvl="0">
      <w:start w:val="1"/>
      <w:numFmt w:val="decimal"/>
      <w:lvlText w:val="%1."/>
      <w:lvlJc w:val="left"/>
      <w:pPr>
        <w:ind w:left="152" w:hanging="334"/>
        <w:jc w:val="left"/>
      </w:pPr>
      <w:rPr>
        <w:rFonts w:hint="default" w:ascii="Arial" w:hAnsi="Arial" w:eastAsia="Arial" w:cs="Arial"/>
        <w:w w:val="99"/>
        <w:sz w:val="24"/>
        <w:szCs w:val="24"/>
      </w:rPr>
    </w:lvl>
    <w:lvl w:ilvl="1">
      <w:start w:val="1"/>
      <w:numFmt w:val="bullet"/>
      <w:lvlText w:val="•"/>
      <w:lvlJc w:val="left"/>
      <w:pPr>
        <w:ind w:left="1054" w:hanging="334"/>
      </w:pPr>
      <w:rPr>
        <w:rFonts w:hint="default"/>
      </w:rPr>
    </w:lvl>
    <w:lvl w:ilvl="2">
      <w:start w:val="1"/>
      <w:numFmt w:val="bullet"/>
      <w:lvlText w:val="•"/>
      <w:lvlJc w:val="left"/>
      <w:pPr>
        <w:ind w:left="1948" w:hanging="334"/>
      </w:pPr>
      <w:rPr>
        <w:rFonts w:hint="default"/>
      </w:rPr>
    </w:lvl>
    <w:lvl w:ilvl="3">
      <w:start w:val="1"/>
      <w:numFmt w:val="bullet"/>
      <w:lvlText w:val="•"/>
      <w:lvlJc w:val="left"/>
      <w:pPr>
        <w:ind w:left="2842" w:hanging="334"/>
      </w:pPr>
      <w:rPr>
        <w:rFonts w:hint="default"/>
      </w:rPr>
    </w:lvl>
    <w:lvl w:ilvl="4">
      <w:start w:val="1"/>
      <w:numFmt w:val="bullet"/>
      <w:lvlText w:val="•"/>
      <w:lvlJc w:val="left"/>
      <w:pPr>
        <w:ind w:left="3736" w:hanging="334"/>
      </w:pPr>
      <w:rPr>
        <w:rFonts w:hint="default"/>
      </w:rPr>
    </w:lvl>
    <w:lvl w:ilvl="5">
      <w:start w:val="1"/>
      <w:numFmt w:val="bullet"/>
      <w:lvlText w:val="•"/>
      <w:lvlJc w:val="left"/>
      <w:pPr>
        <w:ind w:left="4630" w:hanging="334"/>
      </w:pPr>
      <w:rPr>
        <w:rFonts w:hint="default"/>
      </w:rPr>
    </w:lvl>
    <w:lvl w:ilvl="6">
      <w:start w:val="1"/>
      <w:numFmt w:val="bullet"/>
      <w:lvlText w:val="•"/>
      <w:lvlJc w:val="left"/>
      <w:pPr>
        <w:ind w:left="5524" w:hanging="334"/>
      </w:pPr>
      <w:rPr>
        <w:rFonts w:hint="default"/>
      </w:rPr>
    </w:lvl>
    <w:lvl w:ilvl="7">
      <w:start w:val="1"/>
      <w:numFmt w:val="bullet"/>
      <w:lvlText w:val="•"/>
      <w:lvlJc w:val="left"/>
      <w:pPr>
        <w:ind w:left="6418" w:hanging="334"/>
      </w:pPr>
      <w:rPr>
        <w:rFonts w:hint="default"/>
      </w:rPr>
    </w:lvl>
    <w:lvl w:ilvl="8">
      <w:start w:val="1"/>
      <w:numFmt w:val="bullet"/>
      <w:lvlText w:val="•"/>
      <w:lvlJc w:val="left"/>
      <w:pPr>
        <w:ind w:left="7312" w:hanging="334"/>
      </w:pPr>
      <w:rPr>
        <w:rFonts w:hint="default"/>
      </w:rPr>
    </w:lvl>
  </w:abstractNum>
  <w:abstractNum w:abstractNumId="4">
    <w:multiLevelType w:val="hybridMultilevel"/>
    <w:lvl w:ilvl="0">
      <w:start w:val="3"/>
      <w:numFmt w:val="upperLetter"/>
      <w:lvlText w:val="%1."/>
      <w:lvlJc w:val="left"/>
      <w:pPr>
        <w:ind w:left="152" w:hanging="387"/>
        <w:jc w:val="left"/>
      </w:pPr>
      <w:rPr>
        <w:rFonts w:hint="default" w:ascii="Arial" w:hAnsi="Arial" w:eastAsia="Arial" w:cs="Arial"/>
        <w:i/>
        <w:w w:val="99"/>
        <w:sz w:val="24"/>
        <w:szCs w:val="24"/>
      </w:rPr>
    </w:lvl>
    <w:lvl w:ilvl="1">
      <w:start w:val="1"/>
      <w:numFmt w:val="decimal"/>
      <w:lvlText w:val="%2."/>
      <w:lvlJc w:val="left"/>
      <w:pPr>
        <w:ind w:left="872" w:hanging="348"/>
        <w:jc w:val="left"/>
      </w:pPr>
      <w:rPr>
        <w:rFonts w:hint="default" w:ascii="Arial" w:hAnsi="Arial" w:eastAsia="Arial" w:cs="Arial"/>
        <w:spacing w:val="-34"/>
        <w:w w:val="99"/>
        <w:sz w:val="24"/>
        <w:szCs w:val="24"/>
      </w:rPr>
    </w:lvl>
    <w:lvl w:ilvl="2">
      <w:start w:val="1"/>
      <w:numFmt w:val="upperLetter"/>
      <w:lvlText w:val="%3."/>
      <w:lvlJc w:val="left"/>
      <w:pPr>
        <w:ind w:left="872" w:hanging="329"/>
        <w:jc w:val="left"/>
      </w:pPr>
      <w:rPr>
        <w:rFonts w:hint="default" w:ascii="Arial" w:hAnsi="Arial" w:eastAsia="Arial" w:cs="Arial"/>
        <w:w w:val="100"/>
        <w:sz w:val="24"/>
        <w:szCs w:val="24"/>
      </w:rPr>
    </w:lvl>
    <w:lvl w:ilvl="3">
      <w:start w:val="1"/>
      <w:numFmt w:val="bullet"/>
      <w:lvlText w:val="•"/>
      <w:lvlJc w:val="left"/>
      <w:pPr>
        <w:ind w:left="2706" w:hanging="329"/>
      </w:pPr>
      <w:rPr>
        <w:rFonts w:hint="default"/>
      </w:rPr>
    </w:lvl>
    <w:lvl w:ilvl="4">
      <w:start w:val="1"/>
      <w:numFmt w:val="bullet"/>
      <w:lvlText w:val="•"/>
      <w:lvlJc w:val="left"/>
      <w:pPr>
        <w:ind w:left="3620" w:hanging="329"/>
      </w:pPr>
      <w:rPr>
        <w:rFonts w:hint="default"/>
      </w:rPr>
    </w:lvl>
    <w:lvl w:ilvl="5">
      <w:start w:val="1"/>
      <w:numFmt w:val="bullet"/>
      <w:lvlText w:val="•"/>
      <w:lvlJc w:val="left"/>
      <w:pPr>
        <w:ind w:left="4533" w:hanging="329"/>
      </w:pPr>
      <w:rPr>
        <w:rFonts w:hint="default"/>
      </w:rPr>
    </w:lvl>
    <w:lvl w:ilvl="6">
      <w:start w:val="1"/>
      <w:numFmt w:val="bullet"/>
      <w:lvlText w:val="•"/>
      <w:lvlJc w:val="left"/>
      <w:pPr>
        <w:ind w:left="5446" w:hanging="329"/>
      </w:pPr>
      <w:rPr>
        <w:rFonts w:hint="default"/>
      </w:rPr>
    </w:lvl>
    <w:lvl w:ilvl="7">
      <w:start w:val="1"/>
      <w:numFmt w:val="bullet"/>
      <w:lvlText w:val="•"/>
      <w:lvlJc w:val="left"/>
      <w:pPr>
        <w:ind w:left="6360" w:hanging="329"/>
      </w:pPr>
      <w:rPr>
        <w:rFonts w:hint="default"/>
      </w:rPr>
    </w:lvl>
    <w:lvl w:ilvl="8">
      <w:start w:val="1"/>
      <w:numFmt w:val="bullet"/>
      <w:lvlText w:val="•"/>
      <w:lvlJc w:val="left"/>
      <w:pPr>
        <w:ind w:left="7273" w:hanging="329"/>
      </w:pPr>
      <w:rPr>
        <w:rFonts w:hint="default"/>
      </w:rPr>
    </w:lvl>
  </w:abstractNum>
  <w:abstractNum w:abstractNumId="3">
    <w:multiLevelType w:val="hybridMultilevel"/>
    <w:lvl w:ilvl="0">
      <w:start w:val="1"/>
      <w:numFmt w:val="decimal"/>
      <w:lvlText w:val="%1."/>
      <w:lvlJc w:val="left"/>
      <w:pPr>
        <w:ind w:left="872" w:hanging="360"/>
        <w:jc w:val="left"/>
      </w:pPr>
      <w:rPr>
        <w:rFonts w:hint="default" w:ascii="Arial" w:hAnsi="Arial" w:eastAsia="Arial" w:cs="Arial"/>
        <w:spacing w:val="-3"/>
        <w:w w:val="99"/>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2">
    <w:multiLevelType w:val="hybridMultilevel"/>
    <w:lvl w:ilvl="0">
      <w:start w:val="1"/>
      <w:numFmt w:val="bullet"/>
      <w:lvlText w:val=""/>
      <w:lvlJc w:val="left"/>
      <w:pPr>
        <w:ind w:left="872" w:hanging="360"/>
      </w:pPr>
      <w:rPr>
        <w:rFonts w:hint="default" w:ascii="Symbol" w:hAnsi="Symbol" w:eastAsia="Symbol" w:cs="Symbol"/>
        <w:w w:val="100"/>
        <w:sz w:val="24"/>
        <w:szCs w:val="24"/>
      </w:rPr>
    </w:lvl>
    <w:lvl w:ilvl="1">
      <w:start w:val="1"/>
      <w:numFmt w:val="bullet"/>
      <w:lvlText w:val="•"/>
      <w:lvlJc w:val="left"/>
      <w:pPr>
        <w:ind w:left="1702" w:hanging="360"/>
      </w:pPr>
      <w:rPr>
        <w:rFonts w:hint="default"/>
      </w:rPr>
    </w:lvl>
    <w:lvl w:ilvl="2">
      <w:start w:val="1"/>
      <w:numFmt w:val="bullet"/>
      <w:lvlText w:val="•"/>
      <w:lvlJc w:val="left"/>
      <w:pPr>
        <w:ind w:left="2524" w:hanging="360"/>
      </w:pPr>
      <w:rPr>
        <w:rFonts w:hint="default"/>
      </w:rPr>
    </w:lvl>
    <w:lvl w:ilvl="3">
      <w:start w:val="1"/>
      <w:numFmt w:val="bullet"/>
      <w:lvlText w:val="•"/>
      <w:lvlJc w:val="left"/>
      <w:pPr>
        <w:ind w:left="3346" w:hanging="360"/>
      </w:pPr>
      <w:rPr>
        <w:rFonts w:hint="default"/>
      </w:rPr>
    </w:lvl>
    <w:lvl w:ilvl="4">
      <w:start w:val="1"/>
      <w:numFmt w:val="bullet"/>
      <w:lvlText w:val="•"/>
      <w:lvlJc w:val="left"/>
      <w:pPr>
        <w:ind w:left="4168" w:hanging="360"/>
      </w:pPr>
      <w:rPr>
        <w:rFonts w:hint="default"/>
      </w:rPr>
    </w:lvl>
    <w:lvl w:ilvl="5">
      <w:start w:val="1"/>
      <w:numFmt w:val="bullet"/>
      <w:lvlText w:val="•"/>
      <w:lvlJc w:val="left"/>
      <w:pPr>
        <w:ind w:left="499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34" w:hanging="360"/>
      </w:pPr>
      <w:rPr>
        <w:rFonts w:hint="default"/>
      </w:rPr>
    </w:lvl>
    <w:lvl w:ilvl="8">
      <w:start w:val="1"/>
      <w:numFmt w:val="bullet"/>
      <w:lvlText w:val="•"/>
      <w:lvlJc w:val="left"/>
      <w:pPr>
        <w:ind w:left="7456" w:hanging="360"/>
      </w:pPr>
      <w:rPr>
        <w:rFonts w:hint="default"/>
      </w:rPr>
    </w:lvl>
  </w:abstractNum>
  <w:abstractNum w:abstractNumId="0">
    <w:multiLevelType w:val="hybridMultilevel"/>
    <w:lvl w:ilvl="0">
      <w:start w:val="7"/>
      <w:numFmt w:val="decimal"/>
      <w:lvlText w:val="%1"/>
      <w:lvlJc w:val="left"/>
      <w:pPr>
        <w:ind w:left="152" w:hanging="789"/>
        <w:jc w:val="left"/>
      </w:pPr>
      <w:rPr>
        <w:rFonts w:hint="default"/>
      </w:rPr>
    </w:lvl>
    <w:lvl w:ilvl="1">
      <w:start w:val="48"/>
      <w:numFmt w:val="decimal"/>
      <w:lvlText w:val="%1.%2"/>
      <w:lvlJc w:val="left"/>
      <w:pPr>
        <w:ind w:left="152" w:hanging="789"/>
        <w:jc w:val="left"/>
      </w:pPr>
      <w:rPr>
        <w:rFonts w:hint="default" w:ascii="Arial" w:hAnsi="Arial" w:eastAsia="Arial" w:cs="Arial"/>
        <w:w w:val="99"/>
        <w:sz w:val="24"/>
        <w:szCs w:val="24"/>
      </w:rPr>
    </w:lvl>
    <w:lvl w:ilvl="2">
      <w:start w:val="1"/>
      <w:numFmt w:val="bullet"/>
      <w:lvlText w:val=""/>
      <w:lvlJc w:val="left"/>
      <w:pPr>
        <w:ind w:left="872" w:hanging="360"/>
      </w:pPr>
      <w:rPr>
        <w:rFonts w:hint="default" w:ascii="Symbol" w:hAnsi="Symbol" w:eastAsia="Symbol" w:cs="Symbol"/>
        <w:w w:val="100"/>
        <w:sz w:val="24"/>
        <w:szCs w:val="24"/>
      </w:rPr>
    </w:lvl>
    <w:lvl w:ilvl="3">
      <w:start w:val="1"/>
      <w:numFmt w:val="bullet"/>
      <w:lvlText w:val="•"/>
      <w:lvlJc w:val="left"/>
      <w:pPr>
        <w:ind w:left="2706" w:hanging="360"/>
      </w:pPr>
      <w:rPr>
        <w:rFonts w:hint="default"/>
      </w:rPr>
    </w:lvl>
    <w:lvl w:ilvl="4">
      <w:start w:val="1"/>
      <w:numFmt w:val="bullet"/>
      <w:lvlText w:val="•"/>
      <w:lvlJc w:val="left"/>
      <w:pPr>
        <w:ind w:left="3620" w:hanging="360"/>
      </w:pPr>
      <w:rPr>
        <w:rFonts w:hint="default"/>
      </w:rPr>
    </w:lvl>
    <w:lvl w:ilvl="5">
      <w:start w:val="1"/>
      <w:numFmt w:val="bullet"/>
      <w:lvlText w:val="•"/>
      <w:lvlJc w:val="left"/>
      <w:pPr>
        <w:ind w:left="4533" w:hanging="360"/>
      </w:pPr>
      <w:rPr>
        <w:rFonts w:hint="default"/>
      </w:rPr>
    </w:lvl>
    <w:lvl w:ilvl="6">
      <w:start w:val="1"/>
      <w:numFmt w:val="bullet"/>
      <w:lvlText w:val="•"/>
      <w:lvlJc w:val="left"/>
      <w:pPr>
        <w:ind w:left="5446" w:hanging="360"/>
      </w:pPr>
      <w:rPr>
        <w:rFonts w:hint="default"/>
      </w:rPr>
    </w:lvl>
    <w:lvl w:ilvl="7">
      <w:start w:val="1"/>
      <w:numFmt w:val="bullet"/>
      <w:lvlText w:val="•"/>
      <w:lvlJc w:val="left"/>
      <w:pPr>
        <w:ind w:left="6360" w:hanging="360"/>
      </w:pPr>
      <w:rPr>
        <w:rFonts w:hint="default"/>
      </w:rPr>
    </w:lvl>
    <w:lvl w:ilvl="8">
      <w:start w:val="1"/>
      <w:numFmt w:val="bullet"/>
      <w:lvlText w:val="•"/>
      <w:lvlJc w:val="left"/>
      <w:pPr>
        <w:ind w:left="7273" w:hanging="360"/>
      </w:pPr>
      <w:rPr>
        <w:rFonts w:hint="default"/>
      </w:rPr>
    </w:lvl>
  </w:abstractNum>
  <w:num w:numId="2">
    <w:abstractNumId w:val="1"/>
  </w:num>
  <w:num w:numId="7">
    <w:abstractNumId w:val="6"/>
  </w:num>
  <w:num w:numId="6">
    <w:abstractNumId w:val="5"/>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152"/>
    </w:pPr>
    <w:rPr>
      <w:rFonts w:ascii="Arial" w:hAnsi="Arial" w:eastAsia="Arial" w:cs="Arial"/>
      <w:sz w:val="22"/>
      <w:szCs w:val="22"/>
    </w:rPr>
  </w:style>
  <w:style w:styleId="TOC2" w:type="paragraph">
    <w:name w:val="TOC 2"/>
    <w:basedOn w:val="Normal"/>
    <w:uiPriority w:val="1"/>
    <w:qFormat/>
    <w:pPr>
      <w:spacing w:before="139"/>
      <w:ind w:left="373"/>
    </w:pPr>
    <w:rPr>
      <w:rFonts w:ascii="Arial" w:hAnsi="Arial" w:eastAsia="Arial" w:cs="Arial"/>
      <w:sz w:val="22"/>
      <w:szCs w:val="22"/>
    </w:rPr>
  </w:style>
  <w:style w:styleId="TOC3" w:type="paragraph">
    <w:name w:val="TOC 3"/>
    <w:basedOn w:val="Normal"/>
    <w:uiPriority w:val="1"/>
    <w:qFormat/>
    <w:pPr>
      <w:spacing w:before="139"/>
      <w:ind w:left="591"/>
    </w:pPr>
    <w:rPr>
      <w:rFonts w:ascii="Arial" w:hAnsi="Arial" w:eastAsia="Arial" w:cs="Arial"/>
      <w:sz w:val="22"/>
      <w:szCs w:val="22"/>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5"/>
      <w:ind w:left="152"/>
      <w:jc w:val="both"/>
      <w:outlineLvl w:val="1"/>
    </w:pPr>
    <w:rPr>
      <w:rFonts w:ascii="Arial" w:hAnsi="Arial" w:eastAsia="Arial" w:cs="Arial"/>
      <w:b/>
      <w:bCs/>
      <w:sz w:val="28"/>
      <w:szCs w:val="28"/>
    </w:rPr>
  </w:style>
  <w:style w:styleId="Heading2" w:type="paragraph">
    <w:name w:val="Heading 2"/>
    <w:basedOn w:val="Normal"/>
    <w:uiPriority w:val="1"/>
    <w:qFormat/>
    <w:pPr>
      <w:ind w:left="152"/>
      <w:jc w:val="both"/>
      <w:outlineLvl w:val="2"/>
    </w:pPr>
    <w:rPr>
      <w:rFonts w:ascii="Arial" w:hAnsi="Arial" w:eastAsia="Arial" w:cs="Arial"/>
      <w:b/>
      <w:bCs/>
      <w:sz w:val="26"/>
      <w:szCs w:val="26"/>
    </w:rPr>
  </w:style>
  <w:style w:styleId="Heading3" w:type="paragraph">
    <w:name w:val="Heading 3"/>
    <w:basedOn w:val="Normal"/>
    <w:uiPriority w:val="1"/>
    <w:qFormat/>
    <w:pPr>
      <w:spacing w:before="69"/>
      <w:ind w:left="152"/>
      <w:jc w:val="both"/>
      <w:outlineLvl w:val="3"/>
    </w:pPr>
    <w:rPr>
      <w:rFonts w:ascii="Arial" w:hAnsi="Arial" w:eastAsia="Arial" w:cs="Arial"/>
      <w:b/>
      <w:bCs/>
      <w:sz w:val="24"/>
      <w:szCs w:val="24"/>
    </w:rPr>
  </w:style>
  <w:style w:styleId="ListParagraph" w:type="paragraph">
    <w:name w:val="List Paragraph"/>
    <w:basedOn w:val="Normal"/>
    <w:uiPriority w:val="1"/>
    <w:qFormat/>
    <w:pPr>
      <w:spacing w:before="197"/>
      <w:ind w:left="872" w:right="110" w:hanging="360"/>
      <w:jc w:val="both"/>
    </w:pPr>
    <w:rPr>
      <w:rFonts w:ascii="Arial" w:hAnsi="Arial" w:eastAsia="Arial" w:cs="Arial"/>
    </w:rPr>
  </w:style>
  <w:style w:styleId="TableParagraph" w:type="paragraph">
    <w:name w:val="Table Paragraph"/>
    <w:basedOn w:val="Normal"/>
    <w:uiPriority w:val="1"/>
    <w:qFormat/>
    <w:pPr>
      <w:spacing w:before="7"/>
      <w:ind w:left="15"/>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image" Target="media/image2.jpeg"/><Relationship Id="rId11" Type="http://schemas.openxmlformats.org/officeDocument/2006/relationships/footer" Target="footer5.xml"/><Relationship Id="rId12" Type="http://schemas.openxmlformats.org/officeDocument/2006/relationships/footer" Target="footer6.xml"/><Relationship Id="rId13" Type="http://schemas.openxmlformats.org/officeDocument/2006/relationships/image" Target="media/image3.png"/><Relationship Id="rId14" Type="http://schemas.openxmlformats.org/officeDocument/2006/relationships/footer" Target="footer7.xml"/><Relationship Id="rId15" Type="http://schemas.openxmlformats.org/officeDocument/2006/relationships/footer" Target="footer8.xml"/><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image" Target="media/image6.jpeg"/><Relationship Id="rId19" Type="http://schemas.openxmlformats.org/officeDocument/2006/relationships/image" Target="media/image7.jpeg"/><Relationship Id="rId20" Type="http://schemas.openxmlformats.org/officeDocument/2006/relationships/image" Target="media/image8.png"/><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image" Target="media/image9.jpeg"/><Relationship Id="rId24" Type="http://schemas.openxmlformats.org/officeDocument/2006/relationships/image" Target="media/image10.jpeg"/><Relationship Id="rId25" Type="http://schemas.openxmlformats.org/officeDocument/2006/relationships/image" Target="media/image11.jpeg"/><Relationship Id="rId26" Type="http://schemas.openxmlformats.org/officeDocument/2006/relationships/image" Target="media/image12.jpeg"/><Relationship Id="rId27" Type="http://schemas.openxmlformats.org/officeDocument/2006/relationships/image" Target="media/image13.jpeg"/><Relationship Id="rId28" Type="http://schemas.openxmlformats.org/officeDocument/2006/relationships/image" Target="media/image14.jpeg"/><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footer" Target="footer11.xml"/><Relationship Id="rId32" Type="http://schemas.openxmlformats.org/officeDocument/2006/relationships/footer" Target="footer12.xml"/><Relationship Id="rId33" Type="http://schemas.openxmlformats.org/officeDocument/2006/relationships/image" Target="media/image17.png"/><Relationship Id="rId34" Type="http://schemas.openxmlformats.org/officeDocument/2006/relationships/image" Target="media/image18.png"/><Relationship Id="rId35" Type="http://schemas.openxmlformats.org/officeDocument/2006/relationships/image" Target="media/image19.png"/><Relationship Id="rId36" Type="http://schemas.openxmlformats.org/officeDocument/2006/relationships/image" Target="media/image20.png"/><Relationship Id="rId37" Type="http://schemas.openxmlformats.org/officeDocument/2006/relationships/image" Target="media/image21.png"/><Relationship Id="rId38" Type="http://schemas.openxmlformats.org/officeDocument/2006/relationships/footer" Target="footer13.xml"/><Relationship Id="rId39" Type="http://schemas.openxmlformats.org/officeDocument/2006/relationships/footer" Target="footer14.xml"/><Relationship Id="rId40" Type="http://schemas.openxmlformats.org/officeDocument/2006/relationships/footer" Target="footer15.xml"/><Relationship Id="rId41" Type="http://schemas.openxmlformats.org/officeDocument/2006/relationships/footer" Target="footer16.xml"/><Relationship Id="rId42" Type="http://schemas.openxmlformats.org/officeDocument/2006/relationships/image" Target="media/image22.jpeg"/><Relationship Id="rId43" Type="http://schemas.openxmlformats.org/officeDocument/2006/relationships/image" Target="media/image23.jpeg"/><Relationship Id="rId44" Type="http://schemas.openxmlformats.org/officeDocument/2006/relationships/hyperlink" Target="mailto:erlich_511@hotmail.com" TargetMode="External"/><Relationship Id="rId45" Type="http://schemas.openxmlformats.org/officeDocument/2006/relationships/hyperlink" Target="mailto:jpacosta00@hotmail.com" TargetMode="External"/><Relationship Id="rId46" Type="http://schemas.openxmlformats.org/officeDocument/2006/relationships/hyperlink" Target="mailto:jcvch@yahoo.com" TargetMode="External"/><Relationship Id="rId47" Type="http://schemas.openxmlformats.org/officeDocument/2006/relationships/hyperlink" Target="mailto:romojimenez@yahoo.com" TargetMode="External"/><Relationship Id="rId48" Type="http://schemas.openxmlformats.org/officeDocument/2006/relationships/footer" Target="footer17.xml"/><Relationship Id="rId49" Type="http://schemas.openxmlformats.org/officeDocument/2006/relationships/footer" Target="footer18.xml"/><Relationship Id="rId50" Type="http://schemas.openxmlformats.org/officeDocument/2006/relationships/image" Target="media/image24.jpeg"/><Relationship Id="rId51" Type="http://schemas.openxmlformats.org/officeDocument/2006/relationships/image" Target="media/image25.jpeg"/><Relationship Id="rId52" Type="http://schemas.openxmlformats.org/officeDocument/2006/relationships/image" Target="media/image26.png"/><Relationship Id="rId53" Type="http://schemas.openxmlformats.org/officeDocument/2006/relationships/image" Target="media/image27.png"/><Relationship Id="rId54" Type="http://schemas.openxmlformats.org/officeDocument/2006/relationships/image" Target="media/image28.png"/><Relationship Id="rId5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Ba-k.com</dc:creator>
  <dcterms:created xsi:type="dcterms:W3CDTF">2017-05-19T17:47:02Z</dcterms:created>
  <dcterms:modified xsi:type="dcterms:W3CDTF">2017-05-19T17:47:02Z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2015-12-09T00:00:00Z</vt:filetime>
  </property>
  <property fmtid="{D5CDD505-2E9C-101B-9397-08002B2CF9AE}" pid="3" name="Creator">
    <vt:lpwstr>Microsoft® Word 2013</vt:lpwstr>
  </property>
  <property fmtid="{D5CDD505-2E9C-101B-9397-08002B2CF9AE}" pid="4" name="LastSaved">
    <vt:filetime>2017-05-19T00:00:00Z</vt:filetime>
  </property>
</Properties>
</file>